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Oral Cancer Classification</w:t>
      </w:r>
    </w:p>
    <w:p>
      <w:pPr>
        <w:jc w:val="center"/>
      </w:pPr>
      <w:r>
        <w:rPr>
          <w:i/>
          <w:color w:val="2E74B5"/>
          <w:sz w:val="26"/>
        </w:rPr>
        <w:t>Model Configurations and the Custom EfficientNet V2</w:t>
      </w:r>
    </w:p>
    <w:p>
      <w:pPr>
        <w:spacing w:after="120"/>
      </w:pPr>
      <w:r>
        <w:rPr>
          <w:sz w:val="22"/>
        </w:rPr>
        <w:t>This document explains every backbone used in the Oral Cancer classification project, their shared configuration, the Custom EfficientNet V2 architecture, and the reasons it performed especially well on this dataset.</w:t>
      </w:r>
    </w:p>
    <w:p>
      <w:pPr>
        <w:spacing w:before="280" w:after="120"/>
      </w:pPr>
      <w:r>
        <w:rPr>
          <w:b/>
          <w:color w:val="1F3A68"/>
          <w:sz w:val="32"/>
        </w:rPr>
        <w:t>1. Task Setup</w:t>
      </w:r>
    </w:p>
    <w:p>
      <w:pPr>
        <w:spacing w:after="120"/>
      </w:pPr>
      <w:r>
        <w:rPr>
          <w:sz w:val="22"/>
        </w:rPr>
        <w:t>All nine models share the same task definition:</w:t>
      </w:r>
    </w:p>
    <w:p>
      <w:pPr>
        <w:pStyle w:val="ListBullet"/>
        <w:ind w:left="340"/>
      </w:pPr>
      <w:r>
        <w:rPr>
          <w:sz w:val="22"/>
        </w:rPr>
        <w:t>Binary head — Benign vs Malignant (2 classes)</w:t>
      </w:r>
    </w:p>
    <w:p>
      <w:pPr>
        <w:pStyle w:val="ListBullet"/>
        <w:ind w:left="340"/>
      </w:pPr>
      <w:r>
        <w:rPr>
          <w:sz w:val="22"/>
        </w:rPr>
        <w:t>Subtype head — ['CaS', 'CoS', 'Gum', 'MC', 'OC', 'OLP', 'OT'] (7 classes)</w:t>
      </w:r>
    </w:p>
    <w:p>
      <w:pPr>
        <w:pStyle w:val="ListBullet"/>
        <w:ind w:left="340"/>
      </w:pPr>
      <w:r>
        <w:rPr>
          <w:sz w:val="22"/>
        </w:rPr>
        <w:t>Malignant subtypes — MC, OC, CaS</w:t>
      </w:r>
    </w:p>
    <w:p>
      <w:pPr>
        <w:pStyle w:val="ListBullet"/>
        <w:ind w:left="340"/>
      </w:pPr>
      <w:r>
        <w:rPr>
          <w:sz w:val="22"/>
        </w:rPr>
        <w:t>Input size — 224 × 224</w:t>
      </w:r>
    </w:p>
    <w:p>
      <w:pPr>
        <w:pStyle w:val="ListBullet"/>
        <w:ind w:left="340"/>
      </w:pPr>
      <w:r>
        <w:rPr>
          <w:sz w:val="22"/>
        </w:rPr>
        <w:t>Architecture — MultiTaskOralClassifier in models/architecture.py: a shared backbone whose pooled feature vector feeds two parallel MLP heads (Linear → ReLU → Dropout → Linear). Each head has a 512-unit hidden layer and its own output dimension (2 or 7). Dropout on the shared feature vector = 0.5.</w:t>
      </w:r>
    </w:p>
    <w:p>
      <w:pPr>
        <w:spacing w:before="280" w:after="120"/>
      </w:pPr>
      <w:r>
        <w:rPr>
          <w:b/>
          <w:color w:val="1F3A68"/>
          <w:sz w:val="32"/>
        </w:rPr>
        <w:t>2. Shared Training Configuration</w:t>
      </w:r>
    </w:p>
    <w:p>
      <w:pPr>
        <w:spacing w:after="120"/>
      </w:pPr>
      <w:r>
        <w:rPr>
          <w:sz w:val="22"/>
        </w:rPr>
        <w:t>The eight standard models (everything except custom_efficientnet_v2) are trained through train.py with the values in configs/config.py: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Hyper-parameter</w:t>
            </w:r>
          </w:p>
        </w:tc>
        <w:tc>
          <w:tcPr>
            <w:tcW w:type="dxa" w:w="4986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IMG_SIZE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224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BATCH_SIZE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64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NUM_EPOCHS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LEARNING_RATE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1e-4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WEIGHT_DECAY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1e-4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DROPOUT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USE_PRETRAINED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False (trained from scratch)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Optimizer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AdamW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Scheduler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CosineAnnealingLR (eta_min = 1e-6)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Loss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MultiTaskLoss (binary CE + subtype CE)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Early stopping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patience = 15, min_delta = 1e-4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Seed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42</w:t>
            </w:r>
          </w:p>
        </w:tc>
      </w:tr>
    </w:tbl>
    <w:p>
      <w:pPr>
        <w:spacing w:after="120"/>
      </w:pPr>
      <w:r>
        <w:rPr>
          <w:sz w:val="22"/>
        </w:rPr>
        <w:t>All backbones are instantiated through timm.create_model(..., num_classes=0) so that each yields a pooled feature vector; the dual-head MLP is stacked on top.</w:t>
      </w:r>
    </w:p>
    <w:p>
      <w:pPr>
        <w:spacing w:before="280" w:after="120"/>
      </w:pPr>
      <w:r>
        <w:rPr>
          <w:b/>
          <w:color w:val="1F3A68"/>
          <w:sz w:val="32"/>
        </w:rPr>
        <w:t>3. The Nine Backbones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493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timm Name</w:t>
            </w:r>
          </w:p>
        </w:tc>
        <w:tc>
          <w:tcPr>
            <w:tcW w:type="dxa" w:w="2493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Feat</w:t>
            </w:r>
          </w:p>
        </w:tc>
        <w:tc>
          <w:tcPr>
            <w:tcW w:type="dxa" w:w="2493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resnet50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resnet50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2048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Classic bottleneck residual CNN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densenet121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densenet121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1024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Dense feature reuse via concatenation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convnext_tiny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convnext_tiny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768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Modernized ConvNet with LayerNorm + GELU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swin_t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swin_tiny_patch4_window7_224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768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Hierarchical windowed self-attention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efficientnet_b0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efficientnet_b0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1280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Original MBConv + SE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efficientnet_v2b2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tf_efficientnetv2_b2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1408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Fused-MBConv early stages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efficientnet_v2b3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tf_efficientnetv2_b3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1536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Deeper / wider B3 variant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efficientnet_v2s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tf_efficientnetv2_s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1280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Small variant (~22 M params)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custom_efficientnet_v2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(internal — see §5)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192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Trimmed V2-B0 + 3-branch AttentionHub</w:t>
            </w:r>
          </w:p>
        </w:tc>
      </w:tr>
    </w:tbl>
    <w:p>
      <w:pPr>
        <w:spacing w:after="120"/>
      </w:pPr>
      <w:r>
        <w:rPr>
          <w:sz w:val="22"/>
        </w:rPr>
        <w:t>All backbones plug into the same dual-head classifier; the only thing that changes between runs is num_features reported by the backbone.</w:t>
      </w:r>
    </w:p>
    <w:p>
      <w:pPr>
        <w:spacing w:before="280" w:after="120"/>
      </w:pPr>
      <w:r>
        <w:rPr>
          <w:b/>
          <w:color w:val="1F3A68"/>
          <w:sz w:val="32"/>
        </w:rPr>
        <w:t>4. Custom EfficientNet V2 — Training Recipe</w:t>
      </w:r>
    </w:p>
    <w:p>
      <w:pPr>
        <w:spacing w:after="120"/>
      </w:pPr>
      <w:r>
        <w:rPr>
          <w:sz w:val="22"/>
        </w:rPr>
        <w:t>custom_efficientnet_v2 has its own training script (custom_efficientnet_colab.py) with a tuned recipe that differs from the shared config: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Hyper-parameter</w:t>
            </w:r>
          </w:p>
        </w:tc>
        <w:tc>
          <w:tcPr>
            <w:tcW w:type="dxa" w:w="332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Standard models</w:t>
            </w:r>
          </w:p>
        </w:tc>
        <w:tc>
          <w:tcPr>
            <w:tcW w:type="dxa" w:w="332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Custom EfficientNet V2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Batch size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64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128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Learning rate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1e-4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1e-3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LR warmup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(none)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3 epochs linear 1e-5 → 1e-3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Scheduler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Cosine (200 ep)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Cosine after warmup (T_max = 197)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Weight init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default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Kaiming normal (Conv + Linear)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Evaluation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single forward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Test-Time Augmentation (TTA)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AMP (mixed prec.)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off / default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on, with gradient clipping</w:t>
            </w:r>
          </w:p>
        </w:tc>
      </w:tr>
    </w:tbl>
    <w:p>
      <w:pPr>
        <w:spacing w:after="120"/>
      </w:pPr>
      <w:r>
        <w:rPr>
          <w:sz w:val="22"/>
        </w:rPr>
        <w:t>The combination of higher LR + warmup + Kaiming init lets the network bootstrap quickly from scratch, while the smaller feature dimension (192 vs 768–2048) means the heads don't need as much regularization to avoid overfitting on a small medical-imaging dataset.</w:t>
      </w:r>
    </w:p>
    <w:p>
      <w:pPr>
        <w:spacing w:before="280" w:after="120"/>
      </w:pPr>
      <w:r>
        <w:rPr>
          <w:b/>
          <w:color w:val="1F3A68"/>
          <w:sz w:val="32"/>
        </w:rPr>
        <w:t>5. Custom EfficientNet V2 — Architecture</w:t>
      </w:r>
    </w:p>
    <w:p>
      <w:pPr>
        <w:spacing w:after="120"/>
      </w:pPr>
      <w:r>
        <w:rPr>
          <w:sz w:val="22"/>
        </w:rPr>
        <w:t>Defined in models/custom_efficientnet/model.py. The design starts from tf_efficientnetv2_b0 as a donor backbone and removes two of the final stages (Block 4 and Block 6 + conv_head), replacing Block 4 with a custom three-branch AttentionHub.</w:t>
      </w:r>
    </w:p>
    <w:p>
      <w:pPr>
        <w:spacing w:before="200" w:after="80"/>
      </w:pPr>
      <w:r>
        <w:rPr>
          <w:b/>
          <w:color w:val="2E74B5"/>
          <w:sz w:val="26"/>
        </w:rPr>
        <w:t>5.1 Stage layout</w:t>
      </w:r>
    </w:p>
    <w:p>
      <w:pPr>
        <w:spacing w:after="120"/>
        <w:ind w:left="340"/>
      </w:pPr>
      <w:r>
        <w:rPr>
          <w:rFonts w:ascii="Consolas" w:hAnsi="Consolas"/>
          <w:sz w:val="19"/>
        </w:rPr>
        <w:t>Input (B, 3, 224, 224)</w:t>
        <w:br/>
        <w:t xml:space="preserve">  │</w:t>
        <w:br/>
        <w:t>Stem             : Conv 3×3 s2 + BN + SiLU          →  32 ch, 112×112</w:t>
        <w:br/>
        <w:t>Stage 1          : 2 × Fused-MBConv (blocks 0-1)    →  32 ch, 112×112</w:t>
        <w:br/>
        <w:t>Stage 2          : 1 × Fused-MBConv (block 2)       →  48 ch,  56×56</w:t>
        <w:br/>
        <w:t>Stage 3          : 1 × MBConv       (block 3)       →  96 ch,  28×28</w:t>
        <w:br/>
        <w:t>Stage 4 (CUSTOM) : AttentionHub (BAM ∥ Triplet ∥ KAN)→ 112 ch,  28×28</w:t>
        <w:br/>
        <w:t>Stage 5          : 1 × MBConv + SE  (block 5)       → 192 ch,  14×14</w:t>
        <w:br/>
        <w:t>Global Avg Pool → Dropout → Linear(192 → num_classes)</w:t>
      </w:r>
    </w:p>
    <w:p>
      <w:pPr>
        <w:spacing w:after="120"/>
      </w:pPr>
      <w:r>
        <w:rPr>
          <w:sz w:val="22"/>
        </w:rPr>
        <w:t>The donor's Block 4 (the original 96 → 112 MBConv+SE stage) is replaced by the AttentionHub, and the heavier Block 6 + conv_head (which would lift features up to 1280 ch) are dropped entirely. The backbone therefore exposes only 192 features instead of EfficientNet V2-B0's native 1280.</w:t>
      </w:r>
    </w:p>
    <w:p>
      <w:pPr>
        <w:spacing w:before="200" w:after="80"/>
      </w:pPr>
      <w:r>
        <w:rPr>
          <w:b/>
          <w:color w:val="2E74B5"/>
          <w:sz w:val="26"/>
        </w:rPr>
        <w:t>5.2 The AttentionHub (Stage 4)</w:t>
      </w:r>
    </w:p>
    <w:p>
      <w:pPr>
        <w:spacing w:after="120"/>
      </w:pPr>
      <w:r>
        <w:rPr>
          <w:sz w:val="22"/>
        </w:rPr>
        <w:t>models/custom_efficientnet/attention_hub.py routes the 96-channel Stage-3 output through three parallel attention branches, each preceded by a 1×1 channel reduction to in_channels // 2 = 48.</w:t>
      </w:r>
    </w:p>
    <w:p>
      <w:pPr>
        <w:pStyle w:val="ListBullet"/>
        <w:ind w:left="340"/>
      </w:pPr>
      <w:r>
        <w:rPr>
          <w:sz w:val="22"/>
        </w:rPr>
        <w:t>BAM — Bottleneck Attention Module (bam.py). Channel gate: GAP → FC bottleneck → FC expand (reduction = 16). Spatial gate: 1×1 reduce → two dilated 3×3 convs (dilation = 4) → 1×1. Combined by sigmoid(channel + spatial) and applied multiplicatively. Good at suppressing background / staining artefacts while keeping both channel and spatial context.</w:t>
      </w:r>
    </w:p>
    <w:p>
      <w:pPr>
        <w:pStyle w:val="ListBullet"/>
        <w:ind w:left="340"/>
      </w:pPr>
      <w:r>
        <w:rPr>
          <w:sz w:val="22"/>
        </w:rPr>
        <w:t>Triplet Attention (triplet_attention.py). Three axis-permuted branches capture (C, H), (C, W) and (H, W) interactions via a ZPool + 7×7 Conv + BN + Sigmoid gate. Near-zero extra parameters yet captures cross-dimension dependencies that plain channel or spatial attention miss — valuable for localizing small lesion regions.</w:t>
      </w:r>
    </w:p>
    <w:p>
      <w:pPr>
        <w:pStyle w:val="ListBullet"/>
        <w:ind w:left="340"/>
      </w:pPr>
      <w:r>
        <w:rPr>
          <w:sz w:val="22"/>
        </w:rPr>
        <w:t>KAN Attention (kan.py). Channel attention based on a Kolmogorov-Arnold Network: GAP → learnable B-spline basis activation (per channel, 5 Gaussian bases, grid_range = 3.0) + residual SiLU → sigmoid → channel-wise gating. Replaces SE's two FC layers with a learnable non-linear curve per channel, giving more expressive per-channel recalibration at comparable parameter cost.</w:t>
      </w:r>
    </w:p>
    <w:p>
      <w:pPr>
        <w:spacing w:after="120"/>
      </w:pPr>
      <w:r>
        <w:rPr>
          <w:sz w:val="22"/>
        </w:rPr>
        <w:t>The three branches are then concatenated (48 × 3 = 144 ch) and fused by a 1×1 Conv + BN + SiLU projection back to 112 channels, matching the shape Stage 5 expects.</w:t>
      </w:r>
    </w:p>
    <w:p>
      <w:pPr>
        <w:spacing w:before="280" w:after="120"/>
      </w:pPr>
      <w:r>
        <w:rPr>
          <w:b/>
          <w:color w:val="1F3A68"/>
          <w:sz w:val="32"/>
        </w:rPr>
        <w:t>6. Why the Custom Model Performed Well on This Dataset</w:t>
      </w:r>
    </w:p>
    <w:p>
      <w:pPr>
        <w:spacing w:after="120"/>
      </w:pPr>
      <w:r>
        <w:rPr>
          <w:sz w:val="22"/>
        </w:rPr>
        <w:t>Oral lesion images are a small, noisy, fine-grained dataset: stain variation, variable lighting, small lesion regions, and class imbalance between the seven subtypes. The custom model's design choices line up tightly with those properties.</w:t>
      </w:r>
    </w:p>
    <w:p>
      <w:pPr>
        <w:spacing w:before="200" w:after="80"/>
      </w:pPr>
      <w:r>
        <w:rPr>
          <w:b/>
          <w:color w:val="2E74B5"/>
          <w:sz w:val="26"/>
        </w:rPr>
        <w:t>6.1 Trimmed backbone matches the data budget</w:t>
      </w:r>
    </w:p>
    <w:p>
      <w:pPr>
        <w:spacing w:after="120"/>
      </w:pPr>
      <w:r>
        <w:rPr>
          <w:sz w:val="22"/>
        </w:rPr>
        <w:t>EfficientNet V2-B0 ends with a 1280-d conv_head feature map. On a few thousand oral images, that's far more capacity than the signal supports, so full-size nets easily overfit. Dropping Block 6 and conv_head shrinks the feature vector to 192 dims, which removes ~75% of the parameters in the late stages, gives the dual MLP heads a low-dimensional, well-regularized input, and leaves the early Fused-MBConv stages (which learn stain / edge / shape primitives) completely intact.</w:t>
      </w:r>
    </w:p>
    <w:p>
      <w:pPr>
        <w:spacing w:before="200" w:after="80"/>
      </w:pPr>
      <w:r>
        <w:rPr>
          <w:b/>
          <w:color w:val="2E74B5"/>
          <w:sz w:val="26"/>
        </w:rPr>
        <w:t>6.2 Multi-view attention instead of deeper stacking</w:t>
      </w:r>
    </w:p>
    <w:p>
      <w:pPr>
        <w:spacing w:after="120"/>
      </w:pPr>
      <w:r>
        <w:rPr>
          <w:sz w:val="22"/>
        </w:rPr>
        <w:t>Instead of going deeper (which adds parameters), the AttentionHub spends that budget on three complementary attention views at the most semantically rich resolution (28×28): BAM captures "where + what, globally"; Triplet captures "cross-axis interactions, cheaply"; KAN provides "non-linear per-channel gain". This is exactly the inductive bias that helps fine-grained medical classification — the lesion often occupies a small, off-center region and must be emphasized over background tissue.</w:t>
      </w:r>
    </w:p>
    <w:p>
      <w:pPr>
        <w:spacing w:before="200" w:after="80"/>
      </w:pPr>
      <w:r>
        <w:rPr>
          <w:b/>
          <w:color w:val="2E74B5"/>
          <w:sz w:val="26"/>
        </w:rPr>
        <w:t>6.3 KAN channel attention is a better fit than SE</w:t>
      </w:r>
    </w:p>
    <w:p>
      <w:pPr>
        <w:spacing w:after="120"/>
      </w:pPr>
      <w:r>
        <w:rPr>
          <w:sz w:val="22"/>
        </w:rPr>
        <w:t>SE uses two FC layers with a fixed ReLU in the middle, which can saturate when many channels carry similar magnitudes (common in stained images). The B-spline activation in KAN learns a smooth per-channel response curve, so channels encoding subtle colour / texture cues get more flexible weighting without adding many parameters.</w:t>
      </w:r>
    </w:p>
    <w:p>
      <w:pPr>
        <w:spacing w:before="200" w:after="80"/>
      </w:pPr>
      <w:r>
        <w:rPr>
          <w:b/>
          <w:color w:val="2E74B5"/>
          <w:sz w:val="26"/>
        </w:rPr>
        <w:t>6.4 Kaiming init + LR warmup + high LR</w:t>
      </w:r>
    </w:p>
    <w:p>
      <w:pPr>
        <w:spacing w:after="120"/>
      </w:pPr>
      <w:r>
        <w:rPr>
          <w:sz w:val="22"/>
        </w:rPr>
        <w:t>Because the project sets USE_PRETRAINED = False, the standard models are trained from random weights at lr = 1e-4, which is conservative. The custom recipe uses lr = 1e-3 with a 3-epoch linear warmup and Kaiming normal init on all conv / linear layers. That lets the custom network make large, well-conditioned updates in the first few epochs — where the trimmed depth also means gradients don't vanish the way they can through a full V2-B0 trunk.</w:t>
      </w:r>
    </w:p>
    <w:p>
      <w:pPr>
        <w:spacing w:before="200" w:after="80"/>
      </w:pPr>
      <w:r>
        <w:rPr>
          <w:b/>
          <w:color w:val="2E74B5"/>
          <w:sz w:val="26"/>
        </w:rPr>
        <w:t>6.5 Test-Time Augmentation (TTA)</w:t>
      </w:r>
    </w:p>
    <w:p>
      <w:pPr>
        <w:spacing w:after="120"/>
      </w:pPr>
      <w:r>
        <w:rPr>
          <w:sz w:val="22"/>
        </w:rPr>
        <w:t>At evaluation, custom_efficientnet_colab.py averages predictions over multiple augmented views of each test image. For a small test set with lesion-position variability, TTA is a cheap 1–3% accuracy boost that the other models do not use.</w:t>
      </w:r>
    </w:p>
    <w:p>
      <w:pPr>
        <w:spacing w:before="200" w:after="80"/>
      </w:pPr>
      <w:r>
        <w:rPr>
          <w:b/>
          <w:color w:val="2E74B5"/>
          <w:sz w:val="26"/>
        </w:rPr>
        <w:t>6.6 Regularization balance</w:t>
      </w:r>
    </w:p>
    <w:p>
      <w:pPr>
        <w:spacing w:after="120"/>
      </w:pPr>
      <w:r>
        <w:rPr>
          <w:sz w:val="22"/>
        </w:rPr>
        <w:t>A smaller feature vector with three independent attention branches acts as an implicit regularizer — each branch sees only half the channels, and the fusion layer has to learn to trust them jointly. Combined with Dropout = 0.5 on the shared features and a 512-unit MLP head, the model has enough capacity for 7-way subtype discrimination without overfitting the binary task.</w:t>
      </w:r>
    </w:p>
    <w:p>
      <w:pPr>
        <w:spacing w:before="280" w:after="120"/>
      </w:pPr>
      <w:r>
        <w:rPr>
          <w:b/>
          <w:color w:val="1F3A68"/>
          <w:sz w:val="32"/>
        </w:rPr>
        <w:t>Summary</w:t>
      </w:r>
    </w:p>
    <w:p>
      <w:pPr>
        <w:spacing w:after="120"/>
      </w:pPr>
      <w:r>
        <w:rPr>
          <w:sz w:val="22"/>
        </w:rPr>
        <w:t>The Custom EfficientNet V2 is not "a bigger EfficientNet". It is a deliberately smaller, attention-heavy 5-stage trunk with a training recipe tuned for small-scale, from-scratch medical classification. Each design decision — trimmed depth, three-branch attention, KAN channel recalibration, Kaiming init with warmup, and TTA — targets a known weakness of vanilla CNNs on fine-grained pathology images, which is why it outperforms the eight off-the-shelf baselines on this dataset.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