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B365D"/>
          <w:sz w:val="44"/>
        </w:rPr>
        <w:t>Part-of-Speech Tagging with Hidden Markov Models</w:t>
      </w:r>
    </w:p>
    <w:p>
      <w:pPr>
        <w:spacing w:before="0" w:after="200"/>
      </w:pPr>
      <w:r>
        <w:rPr>
          <w:rFonts w:ascii="Calibri" w:hAnsi="Calibri"/>
          <w:b/>
          <w:color w:val="2B6CB0"/>
          <w:sz w:val="26"/>
        </w:rPr>
        <w:t>AML Phase 1 Final Report: HMM + Viterbi Baseline &amp; Empirical Ablations</w:t>
      </w:r>
    </w:p>
    <w:tbl>
      <w:tblPr>
        <w:tblW w:type="auto" w:w="0"/>
        <w:jc w:val="center"/>
        <w:tblLayout w:type="fixed"/>
        <w:tblLook w:firstColumn="1" w:firstRow="1" w:lastColumn="0" w:lastRow="0" w:noHBand="0" w:noVBand="1" w:val="04A0"/>
      </w:tblPr>
      <w:tblGrid>
        <w:gridCol w:w="9792"/>
      </w:tblGrid>
      <w:tr>
        <w:tc>
          <w:tcPr>
            <w:tcW w:type="dxa" w:w="9792"/>
            <w:tcMar>
              <w:top w:w="100" w:type="dxa"/>
              <w:bottom w:w="100" w:type="dxa"/>
              <w:left w:w="160" w:type="dxa"/>
              <w:right w:w="140" w:type="dxa"/>
            </w:tcMar>
            <w:shd w:fill="F8FAFC"/>
            <w:tcBorders>
              <w:top w:val="single" w:sz="4" w:space="0" w:color="2B6CB0"/>
              <w:bottom w:val="single" w:sz="4" w:space="0" w:color="2B6CB0"/>
              <w:left w:val="single" w:sz="4" w:space="0" w:color="2B6CB0"/>
              <w:right w:val="single" w:sz="4" w:space="0" w:color="2B6CB0"/>
            </w:tcBorders>
          </w:tcPr>
          <w:p>
            <w:pPr>
              <w:spacing w:after="0" w:line="288" w:lineRule="auto"/>
            </w:pPr>
            <w:r>
              <w:rPr>
                <w:rFonts w:ascii="Calibri" w:hAnsi="Calibri"/>
                <w:b/>
                <w:color w:val="1B365D"/>
                <w:sz w:val="19"/>
              </w:rPr>
              <w:t xml:space="preserve">Project 16: </w:t>
            </w:r>
            <w:r>
              <w:rPr>
                <w:rFonts w:ascii="Calibri" w:hAnsi="Calibri"/>
                <w:b w:val="0"/>
                <w:color w:val="2D3748"/>
                <w:sz w:val="19"/>
              </w:rPr>
              <w:t>Part-of-Speech Tagging via Hidden Markov Models and Bidirectional LSTMs</w:t>
              <w:br/>
            </w:r>
            <w:r>
              <w:rPr>
                <w:rFonts w:ascii="Calibri" w:hAnsi="Calibri"/>
                <w:b/>
                <w:color w:val="1B365D"/>
                <w:sz w:val="19"/>
              </w:rPr>
              <w:t xml:space="preserve">Course: </w:t>
            </w:r>
            <w:r>
              <w:rPr>
                <w:rFonts w:ascii="Calibri" w:hAnsi="Calibri"/>
                <w:b w:val="0"/>
                <w:color w:val="2D3748"/>
                <w:sz w:val="19"/>
              </w:rPr>
              <w:t>Advanced Machine Learning (AML)</w:t>
              <w:br/>
            </w:r>
            <w:r>
              <w:rPr>
                <w:rFonts w:ascii="Calibri" w:hAnsi="Calibri"/>
                <w:b/>
                <w:color w:val="1B365D"/>
                <w:sz w:val="19"/>
              </w:rPr>
              <w:t xml:space="preserve">Team Members: </w:t>
            </w:r>
            <w:r>
              <w:rPr>
                <w:rFonts w:ascii="Calibri" w:hAnsi="Calibri"/>
                <w:b w:val="0"/>
                <w:color w:val="2D3748"/>
                <w:sz w:val="19"/>
              </w:rPr>
              <w:t>[add names here]</w:t>
              <w:br/>
            </w:r>
            <w:r>
              <w:rPr>
                <w:rFonts w:ascii="Calibri" w:hAnsi="Calibri"/>
                <w:b/>
                <w:color w:val="1B365D"/>
                <w:sz w:val="19"/>
              </w:rPr>
              <w:t xml:space="preserve">Date: </w:t>
            </w:r>
            <w:r>
              <w:rPr>
                <w:rFonts w:ascii="Calibri" w:hAnsi="Calibri"/>
                <w:b w:val="0"/>
                <w:color w:val="2D3748"/>
                <w:sz w:val="19"/>
              </w:rPr>
              <w:t>October 2026</w:t>
            </w:r>
          </w:p>
        </w:tc>
      </w:tr>
    </w:tbl>
    <w:p>
      <w:pPr>
        <w:spacing w:after="160"/>
      </w:pPr>
    </w:p>
    <w:p>
      <w:pPr>
        <w:keepNext/>
        <w:spacing w:before="280" w:after="80"/>
      </w:pPr>
      <w:r>
        <w:rPr>
          <w:rFonts w:ascii="Calibri" w:hAnsi="Calibri"/>
          <w:b/>
          <w:color w:val="1B365D"/>
          <w:sz w:val="30"/>
        </w:rPr>
        <w:t>Abstract</w:t>
      </w:r>
    </w:p>
    <w:tbl>
      <w:tblPr>
        <w:tblW w:type="auto" w:w="0"/>
        <w:jc w:val="center"/>
        <w:tblLayout w:type="fixed"/>
        <w:tblLook w:firstColumn="1" w:firstRow="1" w:lastColumn="0" w:lastRow="0" w:noHBand="0" w:noVBand="1" w:val="04A0"/>
      </w:tblPr>
      <w:tblGrid>
        <w:gridCol w:w="9792"/>
      </w:tblGrid>
      <w:tr>
        <w:tc>
          <w:tcPr>
            <w:tcW w:type="dxa" w:w="9792"/>
            <w:tcMar>
              <w:top w:w="100" w:type="dxa"/>
              <w:bottom w:w="100" w:type="dxa"/>
              <w:left w:w="180" w:type="dxa"/>
              <w:right w:w="140" w:type="dxa"/>
            </w:tcMar>
            <w:shd w:fill="F1F5F9"/>
            <w:tcBorders>
              <w:top w:val="nil"/>
              <w:bottom w:val="nil"/>
              <w:left w:val="single" w:sz="24" w:space="0" w:color="1B365D"/>
              <w:right w:val="nil"/>
            </w:tcBorders>
          </w:tcPr>
          <w:p>
            <w:pPr>
              <w:spacing w:after="40" w:line="276" w:lineRule="auto"/>
            </w:pPr>
            <w:r>
              <w:rPr>
                <w:rFonts w:ascii="Calibri" w:hAnsi="Calibri"/>
                <w:b/>
                <w:color w:val="1B365D"/>
                <w:sz w:val="21"/>
              </w:rPr>
              <w:t>Executive Summary</w:t>
              <w:br/>
            </w:r>
            <w:r>
              <w:rPr>
                <w:rFonts w:ascii="Calibri" w:hAnsi="Calibri"/>
                <w:i/>
                <w:color w:val="2D3748"/>
                <w:sz w:val="20"/>
              </w:rPr>
              <w:t>We build a part-of-speech (POS) tagger for English web text using a first-order Hidden Markov Model (HMM). Its transition and emission probabilities are estimated by counting on the Universal Dependencies English EWT treebank, smoothed with add-k smoothing, and decoded with the Viterbi algorithm in log space. A baseline (v1) with a single unknown-word token reaches 90.03% token accuracy, 83.04% macro F1, and 53.51% accuracy on unknown words on the test set. Replacing the single unknown-word token with 11 shape-based buckets (v2), with the setting chosen on the development set, raises these to 92.24% token accuracy, 85.53% macro F1, and 75.72% accuracy on unknown words (+22.21 pp gain). Comprehensive baselines and ablation studies demonstrate that: (1) a naive Most-Frequent-Tag unigram baseline achieves 86.16% test accuracy, proving lexical memorization alone cannot resolve syntactic ambiguity; (2) Viterbi decoding contributes +2.33 percentage points over greedy left-to-right decoding by preventing garden-path cascading errors; (3) minimal emission smoothing (k &lt;= 0.001) is optimal, whereas aggressive smoothing dilutes the emission distribution; (4) shape-based unknown handling provides its largest benefit in data-scarce regimes (+4.58 pp at 10% training data); and (5) a 1,000-sample non-parametric bootstrap yields a 95% confidence interval of [+1.91%, +2.51%], mathematically confirming statistical significance. The remaining errors are concentrated in syntactic ambiguities between categories that share identical word forms (NOUN/PROPN, VERB/NOUN, VERB/AUX), motivating the Bidirectional LSTM sequence tagger developed in Phase 2.</w:t>
            </w:r>
          </w:p>
        </w:tc>
      </w:tr>
    </w:tbl>
    <w:p>
      <w:pPr>
        <w:spacing w:after="80"/>
      </w:pPr>
    </w:p>
    <w:p>
      <w:pPr>
        <w:keepNext/>
        <w:spacing w:before="280" w:after="80"/>
      </w:pPr>
      <w:r>
        <w:rPr>
          <w:rFonts w:ascii="Calibri" w:hAnsi="Calibri"/>
          <w:b/>
          <w:color w:val="1B365D"/>
          <w:sz w:val="30"/>
        </w:rPr>
        <w:t>1. Introduction</w:t>
      </w:r>
    </w:p>
    <w:p>
      <w:pPr>
        <w:spacing w:after="80" w:line="276" w:lineRule="auto"/>
      </w:pPr>
      <w:r>
        <w:rPr>
          <w:rFonts w:ascii="Calibri" w:hAnsi="Calibri"/>
          <w:color w:val="2D3748"/>
          <w:sz w:val="21"/>
        </w:rPr>
        <w:t>Part-of-speech tagging assigns a grammatical label (noun, verb, determiner, and so on) to every word of a sentence. The task is made difficult by ambiguity: the same word form can take different tags depending on context, for example 'book' in 'I read a book' (noun) and 'I book a ticket' (verb). New or rare words add a second difficulty, because the model has no direct evidence about them.</w:t>
      </w:r>
    </w:p>
    <w:p>
      <w:pPr>
        <w:spacing w:after="80" w:line="276" w:lineRule="auto"/>
      </w:pPr>
      <w:r>
        <w:rPr>
          <w:rFonts w:ascii="Calibri" w:hAnsi="Calibri"/>
          <w:color w:val="2D3748"/>
          <w:sz w:val="21"/>
        </w:rPr>
        <w:t>The project compares two sequence taggers: a generative HMM decoded with the Viterbi algorithm (the AML baseline, covered in this report) and a bidirectional LSTM (the DL phase, to follow). This report covers the first phase only. Its goals are to build a well-tuned HMM baseline, to measure it with the metrics required by the project (token accuracy, macro F1, unknown-word accuracy and an error analysis by tag), and to identify where the HMM falls short.</w:t>
      </w:r>
    </w:p>
    <w:p>
      <w:pPr>
        <w:keepNext/>
        <w:spacing w:before="280" w:after="80"/>
      </w:pPr>
      <w:r>
        <w:rPr>
          <w:rFonts w:ascii="Calibri" w:hAnsi="Calibri"/>
          <w:b/>
          <w:color w:val="1B365D"/>
          <w:sz w:val="30"/>
        </w:rPr>
        <w:t>2. Dataset</w:t>
      </w:r>
    </w:p>
    <w:p>
      <w:pPr>
        <w:spacing w:after="80" w:line="276" w:lineRule="auto"/>
      </w:pPr>
      <w:r>
        <w:rPr>
          <w:rFonts w:ascii="Calibri" w:hAnsi="Calibri"/>
          <w:color w:val="2D3748"/>
          <w:sz w:val="21"/>
        </w:rPr>
        <w:t>We use the English Web Treebank from Universal Dependencies (UD English EWT, release v2.18, CC BY-SA 4.0) with its official train, development, and test split. The text comes from informal web sources (blogs, emails, reviews, and similar), so it contains slang, typos, numbers, and web addresses. We use the universal POS (UPOS) column, which has 17 tags. Multiword tokens (ids such as 1-2) and empty nodes (ids such as 8.1) are not real tokens and are skipped, so that words and tags remain aligned.</w:t>
      </w:r>
    </w:p>
    <w:p>
      <w:pPr>
        <w:keepNext/>
        <w:spacing w:before="160" w:after="60"/>
      </w:pPr>
      <w:r>
        <w:rPr>
          <w:rFonts w:ascii="Calibri" w:hAnsi="Calibri"/>
          <w:b/>
          <w:color w:val="1B365D"/>
          <w:sz w:val="20"/>
        </w:rPr>
        <w:t>Table 1. Dataset statistics. The out-of-vocabulary (OOV) rate is the share of tokens whose lowercased form never occurs in the training split.</w:t>
      </w:r>
    </w:p>
    <w:tbl>
      <w:tblPr>
        <w:tblW w:type="auto" w:w="0"/>
        <w:jc w:val="center"/>
        <w:tblLayout w:type="fixed"/>
        <w:tblLook w:firstColumn="1" w:firstRow="1" w:lastColumn="0" w:lastRow="0" w:noHBand="0" w:noVBand="1" w:val="04A0"/>
      </w:tblPr>
      <w:tblGrid>
        <w:gridCol w:w="2880"/>
        <w:gridCol w:w="2304"/>
        <w:gridCol w:w="2304"/>
        <w:gridCol w:w="2304"/>
      </w:tblGrid>
      <w:tr>
        <w:trPr>
          <w:tblHeader/>
        </w:trPr>
        <w:tc>
          <w:tcPr>
            <w:tcW w:type="dxa" w:w="2448"/>
            <w:tcMar>
              <w:top w:w="120" w:type="dxa"/>
              <w:bottom w:w="120" w:type="dxa"/>
              <w:left w:w="140" w:type="dxa"/>
              <w:right w:w="140" w:type="dxa"/>
            </w:tcMar>
            <w:shd w:fill="1B365D"/>
            <w:tcBorders>
              <w:top w:val="single" w:sz="4" w:space="0" w:color="1B365D"/>
              <w:bottom w:val="single" w:sz="4" w:space="0" w:color="1B365D"/>
              <w:left w:val="nil"/>
              <w:right w:val="nil"/>
            </w:tcBorders>
          </w:tcPr>
          <w:p>
            <w:pPr>
              <w:spacing w:after="0"/>
              <w:jc w:val="left"/>
            </w:pPr>
            <w:r>
              <w:rPr>
                <w:rFonts w:ascii="Calibri" w:hAnsi="Calibri"/>
                <w:b/>
                <w:color w:val="FFFFFF"/>
                <w:sz w:val="19"/>
              </w:rPr>
              <w:t>Split</w:t>
            </w:r>
          </w:p>
        </w:tc>
        <w:tc>
          <w:tcPr>
            <w:tcW w:type="dxa" w:w="2448"/>
            <w:tcMar>
              <w:top w:w="120" w:type="dxa"/>
              <w:bottom w:w="120" w:type="dxa"/>
              <w:left w:w="140" w:type="dxa"/>
              <w:right w:w="140" w:type="dxa"/>
            </w:tcMar>
            <w:shd w:fill="1B365D"/>
            <w:tcBorders>
              <w:top w:val="single" w:sz="4" w:space="0" w:color="1B365D"/>
              <w:bottom w:val="single" w:sz="4" w:space="0" w:color="1B365D"/>
              <w:left w:val="nil"/>
              <w:right w:val="nil"/>
            </w:tcBorders>
          </w:tcPr>
          <w:p>
            <w:pPr>
              <w:spacing w:after="0"/>
              <w:jc w:val="right"/>
            </w:pPr>
            <w:r>
              <w:rPr>
                <w:rFonts w:ascii="Calibri" w:hAnsi="Calibri"/>
                <w:b/>
                <w:color w:val="FFFFFF"/>
                <w:sz w:val="19"/>
              </w:rPr>
              <w:t>Sentences</w:t>
            </w:r>
          </w:p>
        </w:tc>
        <w:tc>
          <w:tcPr>
            <w:tcW w:type="dxa" w:w="2448"/>
            <w:tcMar>
              <w:top w:w="120" w:type="dxa"/>
              <w:bottom w:w="120" w:type="dxa"/>
              <w:left w:w="140" w:type="dxa"/>
              <w:right w:w="140" w:type="dxa"/>
            </w:tcMar>
            <w:shd w:fill="1B365D"/>
            <w:tcBorders>
              <w:top w:val="single" w:sz="4" w:space="0" w:color="1B365D"/>
              <w:bottom w:val="single" w:sz="4" w:space="0" w:color="1B365D"/>
              <w:left w:val="nil"/>
              <w:right w:val="nil"/>
            </w:tcBorders>
          </w:tcPr>
          <w:p>
            <w:pPr>
              <w:spacing w:after="0"/>
              <w:jc w:val="right"/>
            </w:pPr>
            <w:r>
              <w:rPr>
                <w:rFonts w:ascii="Calibri" w:hAnsi="Calibri"/>
                <w:b/>
                <w:color w:val="FFFFFF"/>
                <w:sz w:val="19"/>
              </w:rPr>
              <w:t>Tokens</w:t>
            </w:r>
          </w:p>
        </w:tc>
        <w:tc>
          <w:tcPr>
            <w:tcW w:type="dxa" w:w="2448"/>
            <w:tcMar>
              <w:top w:w="120" w:type="dxa"/>
              <w:bottom w:w="120" w:type="dxa"/>
              <w:left w:w="140" w:type="dxa"/>
              <w:right w:w="140" w:type="dxa"/>
            </w:tcMar>
            <w:shd w:fill="1B365D"/>
            <w:tcBorders>
              <w:top w:val="single" w:sz="4" w:space="0" w:color="1B365D"/>
              <w:bottom w:val="single" w:sz="4" w:space="0" w:color="1B365D"/>
              <w:left w:val="nil"/>
              <w:right w:val="nil"/>
            </w:tcBorders>
          </w:tcPr>
          <w:p>
            <w:pPr>
              <w:spacing w:after="0"/>
              <w:jc w:val="right"/>
            </w:pPr>
            <w:r>
              <w:rPr>
                <w:rFonts w:ascii="Calibri" w:hAnsi="Calibri"/>
                <w:b/>
                <w:color w:val="FFFFFF"/>
                <w:sz w:val="19"/>
              </w:rPr>
              <w:t>OOV rate</w:t>
            </w:r>
          </w:p>
        </w:tc>
      </w:tr>
      <w:tr>
        <w:tc>
          <w:tcPr>
            <w:tcW w:type="dxa" w:w="244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left"/>
            </w:pPr>
            <w:r>
              <w:rPr>
                <w:rFonts w:ascii="Calibri" w:hAnsi="Calibri"/>
                <w:color w:val="2D3748"/>
                <w:sz w:val="18"/>
              </w:rPr>
              <w:t>Train</w:t>
            </w:r>
          </w:p>
        </w:tc>
        <w:tc>
          <w:tcPr>
            <w:tcW w:type="dxa" w:w="244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12,544</w:t>
            </w:r>
          </w:p>
        </w:tc>
        <w:tc>
          <w:tcPr>
            <w:tcW w:type="dxa" w:w="244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204,578</w:t>
            </w:r>
          </w:p>
        </w:tc>
        <w:tc>
          <w:tcPr>
            <w:tcW w:type="dxa" w:w="244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w:t>
            </w:r>
          </w:p>
        </w:tc>
      </w:tr>
      <w:tr>
        <w:tc>
          <w:tcPr>
            <w:tcW w:type="dxa" w:w="244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left"/>
            </w:pPr>
            <w:r>
              <w:rPr>
                <w:rFonts w:ascii="Calibri" w:hAnsi="Calibri"/>
                <w:color w:val="2D3748"/>
                <w:sz w:val="18"/>
              </w:rPr>
              <w:t>Development</w:t>
            </w:r>
          </w:p>
        </w:tc>
        <w:tc>
          <w:tcPr>
            <w:tcW w:type="dxa" w:w="244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2,001</w:t>
            </w:r>
          </w:p>
        </w:tc>
        <w:tc>
          <w:tcPr>
            <w:tcW w:type="dxa" w:w="244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25,148</w:t>
            </w:r>
          </w:p>
        </w:tc>
        <w:tc>
          <w:tcPr>
            <w:tcW w:type="dxa" w:w="244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6.79%</w:t>
            </w:r>
          </w:p>
        </w:tc>
      </w:tr>
      <w:tr>
        <w:tc>
          <w:tcPr>
            <w:tcW w:type="dxa" w:w="244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left"/>
            </w:pPr>
            <w:r>
              <w:rPr>
                <w:rFonts w:ascii="Calibri" w:hAnsi="Calibri"/>
                <w:color w:val="2D3748"/>
                <w:sz w:val="18"/>
              </w:rPr>
              <w:t>Test</w:t>
            </w:r>
          </w:p>
        </w:tc>
        <w:tc>
          <w:tcPr>
            <w:tcW w:type="dxa" w:w="244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2,077</w:t>
            </w:r>
          </w:p>
        </w:tc>
        <w:tc>
          <w:tcPr>
            <w:tcW w:type="dxa" w:w="244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25,094</w:t>
            </w:r>
          </w:p>
        </w:tc>
        <w:tc>
          <w:tcPr>
            <w:tcW w:type="dxa" w:w="244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7.50%</w:t>
            </w:r>
          </w:p>
        </w:tc>
      </w:tr>
    </w:tbl>
    <w:p>
      <w:pPr>
        <w:spacing w:after="120"/>
      </w:pPr>
    </w:p>
    <w:p>
      <w:pPr>
        <w:spacing w:after="80" w:line="276" w:lineRule="auto"/>
      </w:pPr>
      <w:r>
        <w:rPr>
          <w:rFonts w:ascii="Calibri" w:hAnsi="Calibri"/>
          <w:color w:val="2D3748"/>
          <w:sz w:val="21"/>
        </w:rPr>
        <w:t>The training split contains 16,654 distinct word forms (lowercased). On the test split, 1,882 of 25,094 tokens are OOV, which is why unknown-word handling matters for this dataset.</w:t>
      </w:r>
    </w:p>
    <w:p>
      <w:pPr>
        <w:keepNext/>
        <w:spacing w:before="280" w:after="80"/>
      </w:pPr>
      <w:r>
        <w:rPr>
          <w:rFonts w:ascii="Calibri" w:hAnsi="Calibri"/>
          <w:b/>
          <w:color w:val="1B365D"/>
          <w:sz w:val="30"/>
        </w:rPr>
        <w:t>3. Background: HMMs and the Viterbi Algorithm</w:t>
      </w:r>
    </w:p>
    <w:p>
      <w:pPr>
        <w:spacing w:after="80" w:line="276" w:lineRule="auto"/>
      </w:pPr>
      <w:r>
        <w:rPr>
          <w:rFonts w:ascii="Calibri" w:hAnsi="Calibri"/>
          <w:color w:val="2D3748"/>
          <w:sz w:val="21"/>
        </w:rPr>
        <w:t>A Hidden Markov Model describes a sequence in which a hidden state sequence generates the observed symbols (Rabiner, 1989). For POS tagging the hidden states are the tags and the observations are the words. The model is defined by three probability tables, estimated here by counting because every training word already carries its gold tag.</w:t>
      </w:r>
    </w:p>
    <w:p>
      <w:pPr>
        <w:keepNext/>
        <w:spacing w:before="160" w:after="60"/>
      </w:pPr>
      <w:r>
        <w:rPr>
          <w:rFonts w:ascii="Calibri" w:hAnsi="Calibri"/>
          <w:b/>
          <w:color w:val="1B365D"/>
          <w:sz w:val="20"/>
        </w:rPr>
        <w:t>Table 2. Elements of the HMM and their meaning in the tagger.</w:t>
      </w:r>
    </w:p>
    <w:tbl>
      <w:tblPr>
        <w:tblW w:type="auto" w:w="0"/>
        <w:jc w:val="center"/>
        <w:tblLayout w:type="fixed"/>
        <w:tblLook w:firstColumn="1" w:firstRow="1" w:lastColumn="0" w:lastRow="0" w:noHBand="0" w:noVBand="1" w:val="04A0"/>
      </w:tblPr>
      <w:tblGrid>
        <w:gridCol w:w="1728"/>
        <w:gridCol w:w="3744"/>
        <w:gridCol w:w="4320"/>
      </w:tblGrid>
      <w:tr>
        <w:trPr>
          <w:tblHeader/>
        </w:trPr>
        <w:tc>
          <w:tcPr>
            <w:tcW w:type="dxa" w:w="3264"/>
            <w:tcMar>
              <w:top w:w="120" w:type="dxa"/>
              <w:bottom w:w="120" w:type="dxa"/>
              <w:left w:w="140" w:type="dxa"/>
              <w:right w:w="140" w:type="dxa"/>
            </w:tcMar>
            <w:shd w:fill="1B365D"/>
            <w:tcBorders>
              <w:top w:val="single" w:sz="4" w:space="0" w:color="1B365D"/>
              <w:bottom w:val="single" w:sz="4" w:space="0" w:color="1B365D"/>
              <w:left w:val="nil"/>
              <w:right w:val="nil"/>
            </w:tcBorders>
          </w:tcPr>
          <w:p>
            <w:pPr>
              <w:spacing w:after="0"/>
              <w:jc w:val="left"/>
            </w:pPr>
            <w:r>
              <w:rPr>
                <w:rFonts w:ascii="Calibri" w:hAnsi="Calibri"/>
                <w:b/>
                <w:color w:val="FFFFFF"/>
                <w:sz w:val="19"/>
              </w:rPr>
              <w:t>Symbol</w:t>
            </w:r>
          </w:p>
        </w:tc>
        <w:tc>
          <w:tcPr>
            <w:tcW w:type="dxa" w:w="3264"/>
            <w:tcMar>
              <w:top w:w="120" w:type="dxa"/>
              <w:bottom w:w="120" w:type="dxa"/>
              <w:left w:w="140" w:type="dxa"/>
              <w:right w:w="140" w:type="dxa"/>
            </w:tcMar>
            <w:shd w:fill="1B365D"/>
            <w:tcBorders>
              <w:top w:val="single" w:sz="4" w:space="0" w:color="1B365D"/>
              <w:bottom w:val="single" w:sz="4" w:space="0" w:color="1B365D"/>
              <w:left w:val="nil"/>
              <w:right w:val="nil"/>
            </w:tcBorders>
          </w:tcPr>
          <w:p>
            <w:pPr>
              <w:spacing w:after="0"/>
              <w:jc w:val="left"/>
            </w:pPr>
            <w:r>
              <w:rPr>
                <w:rFonts w:ascii="Calibri" w:hAnsi="Calibri"/>
                <w:b/>
                <w:color w:val="FFFFFF"/>
                <w:sz w:val="19"/>
              </w:rPr>
              <w:t>Meaning</w:t>
            </w:r>
          </w:p>
        </w:tc>
        <w:tc>
          <w:tcPr>
            <w:tcW w:type="dxa" w:w="3264"/>
            <w:tcMar>
              <w:top w:w="120" w:type="dxa"/>
              <w:bottom w:w="120" w:type="dxa"/>
              <w:left w:w="140" w:type="dxa"/>
              <w:right w:w="140" w:type="dxa"/>
            </w:tcMar>
            <w:shd w:fill="1B365D"/>
            <w:tcBorders>
              <w:top w:val="single" w:sz="4" w:space="0" w:color="1B365D"/>
              <w:bottom w:val="single" w:sz="4" w:space="0" w:color="1B365D"/>
              <w:left w:val="nil"/>
              <w:right w:val="nil"/>
            </w:tcBorders>
          </w:tcPr>
          <w:p>
            <w:pPr>
              <w:spacing w:after="0"/>
              <w:jc w:val="left"/>
            </w:pPr>
            <w:r>
              <w:rPr>
                <w:rFonts w:ascii="Calibri" w:hAnsi="Calibri"/>
                <w:b/>
                <w:color w:val="FFFFFF"/>
                <w:sz w:val="19"/>
              </w:rPr>
              <w:t>In our POS tagger</w:t>
            </w:r>
          </w:p>
        </w:tc>
      </w:tr>
      <w:tr>
        <w:tc>
          <w:tcPr>
            <w:tcW w:type="dxa" w:w="326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left"/>
            </w:pPr>
            <w:r>
              <w:rPr>
                <w:rFonts w:ascii="Calibri" w:hAnsi="Calibri"/>
                <w:color w:val="2D3748"/>
                <w:sz w:val="18"/>
              </w:rPr>
              <w:t>π</w:t>
            </w:r>
          </w:p>
        </w:tc>
        <w:tc>
          <w:tcPr>
            <w:tcW w:type="dxa" w:w="326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left"/>
            </w:pPr>
            <w:r>
              <w:rPr>
                <w:rFonts w:ascii="Calibri" w:hAnsi="Calibri"/>
                <w:color w:val="2D3748"/>
                <w:sz w:val="18"/>
              </w:rPr>
              <w:t>Initial state distribution</w:t>
            </w:r>
          </w:p>
        </w:tc>
        <w:tc>
          <w:tcPr>
            <w:tcW w:type="dxa" w:w="326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left"/>
            </w:pPr>
            <w:r>
              <w:rPr>
                <w:rFonts w:ascii="Calibri" w:hAnsi="Calibri"/>
                <w:color w:val="2D3748"/>
                <w:sz w:val="18"/>
              </w:rPr>
              <w:t>Probability that a sentence starts with a given tag</w:t>
            </w:r>
          </w:p>
        </w:tc>
      </w:tr>
      <w:tr>
        <w:tc>
          <w:tcPr>
            <w:tcW w:type="dxa" w:w="3264"/>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left"/>
            </w:pPr>
            <w:r>
              <w:rPr>
                <w:rFonts w:ascii="Calibri" w:hAnsi="Calibri"/>
                <w:color w:val="2D3748"/>
                <w:sz w:val="18"/>
              </w:rPr>
              <w:t>A</w:t>
            </w:r>
          </w:p>
        </w:tc>
        <w:tc>
          <w:tcPr>
            <w:tcW w:type="dxa" w:w="3264"/>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left"/>
            </w:pPr>
            <w:r>
              <w:rPr>
                <w:rFonts w:ascii="Calibri" w:hAnsi="Calibri"/>
                <w:color w:val="2D3748"/>
                <w:sz w:val="18"/>
              </w:rPr>
              <w:t>Transition probabilities a(i, j)</w:t>
            </w:r>
          </w:p>
        </w:tc>
        <w:tc>
          <w:tcPr>
            <w:tcW w:type="dxa" w:w="3264"/>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left"/>
            </w:pPr>
            <w:r>
              <w:rPr>
                <w:rFonts w:ascii="Calibri" w:hAnsi="Calibri"/>
                <w:color w:val="2D3748"/>
                <w:sz w:val="18"/>
              </w:rPr>
              <w:t>P(next tag = j | current tag = i)</w:t>
            </w:r>
          </w:p>
        </w:tc>
      </w:tr>
      <w:tr>
        <w:tc>
          <w:tcPr>
            <w:tcW w:type="dxa" w:w="326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left"/>
            </w:pPr>
            <w:r>
              <w:rPr>
                <w:rFonts w:ascii="Calibri" w:hAnsi="Calibri"/>
                <w:color w:val="2D3748"/>
                <w:sz w:val="18"/>
              </w:rPr>
              <w:t>B</w:t>
            </w:r>
          </w:p>
        </w:tc>
        <w:tc>
          <w:tcPr>
            <w:tcW w:type="dxa" w:w="326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left"/>
            </w:pPr>
            <w:r>
              <w:rPr>
                <w:rFonts w:ascii="Calibri" w:hAnsi="Calibri"/>
                <w:color w:val="2D3748"/>
                <w:sz w:val="18"/>
              </w:rPr>
              <w:t>Emission probabilities b(j, k)</w:t>
            </w:r>
          </w:p>
        </w:tc>
        <w:tc>
          <w:tcPr>
            <w:tcW w:type="dxa" w:w="326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left"/>
            </w:pPr>
            <w:r>
              <w:rPr>
                <w:rFonts w:ascii="Calibri" w:hAnsi="Calibri"/>
                <w:color w:val="2D3748"/>
                <w:sz w:val="18"/>
              </w:rPr>
              <w:t>P(word k | tag j)</w:t>
            </w:r>
          </w:p>
        </w:tc>
      </w:tr>
    </w:tbl>
    <w:p>
      <w:pPr>
        <w:spacing w:after="120"/>
      </w:pPr>
    </w:p>
    <w:p>
      <w:pPr>
        <w:keepNext/>
        <w:spacing w:before="160" w:after="60"/>
        <w:jc w:val="center"/>
      </w:pPr>
      <w:r>
        <w:drawing>
          <wp:inline xmlns:a="http://schemas.openxmlformats.org/drawingml/2006/main" xmlns:pic="http://schemas.openxmlformats.org/drawingml/2006/picture">
            <wp:extent cx="5303520" cy="2386584"/>
            <wp:docPr id="1" name="Picture 1"/>
            <wp:cNvGraphicFramePr>
              <a:graphicFrameLocks noChangeAspect="1"/>
            </wp:cNvGraphicFramePr>
            <a:graphic>
              <a:graphicData uri="http://schemas.openxmlformats.org/drawingml/2006/picture">
                <pic:pic>
                  <pic:nvPicPr>
                    <pic:cNvPr id="0" name="hmm_architecture.png"/>
                    <pic:cNvPicPr/>
                  </pic:nvPicPr>
                  <pic:blipFill>
                    <a:blip r:embed="rId9"/>
                    <a:stretch>
                      <a:fillRect/>
                    </a:stretch>
                  </pic:blipFill>
                  <pic:spPr>
                    <a:xfrm>
                      <a:off x="0" y="0"/>
                      <a:ext cx="5303520" cy="2386584"/>
                    </a:xfrm>
                    <a:prstGeom prst="rect"/>
                  </pic:spPr>
                </pic:pic>
              </a:graphicData>
            </a:graphic>
          </wp:inline>
        </w:drawing>
      </w:r>
    </w:p>
    <w:p>
      <w:pPr>
        <w:spacing w:before="0" w:after="160"/>
        <w:jc w:val="center"/>
      </w:pPr>
      <w:r>
        <w:rPr>
          <w:rFonts w:ascii="Calibri" w:hAnsi="Calibri"/>
          <w:i/>
          <w:color w:val="64748B"/>
          <w:sz w:val="18"/>
        </w:rPr>
        <w:t>Figure 1. First-Order Hidden Markov Model (HMM) sequence tagging architecture, showing hidden state transitions a(i, j), observation emissions b(j, k), and initial distribution π.</w:t>
      </w:r>
    </w:p>
    <w:p>
      <w:pPr>
        <w:spacing w:after="80" w:line="276" w:lineRule="auto"/>
      </w:pPr>
      <w:r>
        <w:rPr>
          <w:rFonts w:ascii="Calibri" w:hAnsi="Calibri"/>
          <w:color w:val="2D3748"/>
          <w:sz w:val="21"/>
        </w:rPr>
        <w:t>The model makes two simplifying assumptions. First, the Markov assumption: a tag depends only on the previous tag. Second, each word depends only on its own tag. The joint probability of a tag sequence Q and a sentence O is therefore a product of transition and emission terms:</w:t>
      </w:r>
    </w:p>
    <w:tbl>
      <w:tblPr>
        <w:tblW w:type="auto" w:w="0"/>
        <w:jc w:val="center"/>
        <w:tblLayout w:type="fixed"/>
        <w:tblLook w:firstColumn="1" w:firstRow="1" w:lastColumn="0" w:lastRow="0" w:noHBand="0" w:noVBand="1" w:val="04A0"/>
      </w:tblPr>
      <w:tblGrid>
        <w:gridCol w:w="9792"/>
      </w:tblGrid>
      <w:tr>
        <w:tc>
          <w:tcPr>
            <w:tcW w:type="dxa" w:w="9792"/>
            <w:tcMar>
              <w:top w:w="100" w:type="dxa"/>
              <w:bottom w:w="100" w:type="dxa"/>
              <w:left w:w="180" w:type="dxa"/>
              <w:right w:w="140" w:type="dxa"/>
            </w:tcMar>
            <w:shd w:fill="F1F5F9"/>
            <w:tcBorders>
              <w:top w:val="nil"/>
              <w:bottom w:val="nil"/>
              <w:left w:val="single" w:sz="24" w:space="0" w:color="1B365D"/>
              <w:right w:val="nil"/>
            </w:tcBorders>
          </w:tcPr>
          <w:p>
            <w:pPr>
              <w:spacing w:after="40" w:line="276" w:lineRule="auto"/>
            </w:pPr>
            <w:r>
              <w:rPr>
                <w:rFonts w:ascii="Calibri" w:hAnsi="Calibri"/>
                <w:b/>
                <w:color w:val="1B365D"/>
                <w:sz w:val="21"/>
              </w:rPr>
              <w:t>Joint Probability Formulation</w:t>
              <w:br/>
            </w:r>
            <w:r>
              <w:rPr>
                <w:rFonts w:ascii="Calibri" w:hAnsi="Calibri"/>
                <w:i/>
                <w:color w:val="2D3748"/>
                <w:sz w:val="20"/>
              </w:rPr>
              <w:t>P(Q, O) = π_q1 · b_q1(O_1) · a_q1,q2 · b_q2(O_2) · … · a_q(T-1),qT · b_qT(O_T)</w:t>
            </w:r>
          </w:p>
        </w:tc>
      </w:tr>
    </w:tbl>
    <w:p>
      <w:pPr>
        <w:spacing w:after="80"/>
      </w:pPr>
    </w:p>
    <w:p>
      <w:pPr>
        <w:spacing w:after="80" w:line="276" w:lineRule="auto"/>
      </w:pPr>
      <w:r>
        <w:rPr>
          <w:rFonts w:ascii="Calibri" w:hAnsi="Calibri"/>
          <w:color w:val="2D3748"/>
          <w:sz w:val="21"/>
        </w:rPr>
        <w:t>Finding the best tag sequence by trying all N^T possibilities is infeasible (for N = 17 tags and T = 10 words it is already about 2 x 10^12 sequences). The Viterbi algorithm solves this by dynamic programming on a lattice with one column per word and one row per tag. For each cell it keeps the score of the best path ending there, δ, and a backpointer, ψ:</w:t>
      </w:r>
    </w:p>
    <w:tbl>
      <w:tblPr>
        <w:tblW w:type="auto" w:w="0"/>
        <w:jc w:val="center"/>
        <w:tblLayout w:type="fixed"/>
        <w:tblLook w:firstColumn="1" w:firstRow="1" w:lastColumn="0" w:lastRow="0" w:noHBand="0" w:noVBand="1" w:val="04A0"/>
      </w:tblPr>
      <w:tblGrid>
        <w:gridCol w:w="9792"/>
      </w:tblGrid>
      <w:tr>
        <w:tc>
          <w:tcPr>
            <w:tcW w:type="dxa" w:w="9792"/>
            <w:tcMar>
              <w:top w:w="100" w:type="dxa"/>
              <w:bottom w:w="100" w:type="dxa"/>
              <w:left w:w="180" w:type="dxa"/>
              <w:right w:w="140" w:type="dxa"/>
            </w:tcMar>
            <w:shd w:fill="F1F5F9"/>
            <w:tcBorders>
              <w:top w:val="nil"/>
              <w:bottom w:val="nil"/>
              <w:left w:val="single" w:sz="24" w:space="0" w:color="1B365D"/>
              <w:right w:val="nil"/>
            </w:tcBorders>
          </w:tcPr>
          <w:p>
            <w:pPr>
              <w:spacing w:after="40" w:line="276" w:lineRule="auto"/>
            </w:pPr>
            <w:r>
              <w:rPr>
                <w:rFonts w:ascii="Calibri" w:hAnsi="Calibri"/>
                <w:b/>
                <w:color w:val="1B365D"/>
                <w:sz w:val="21"/>
              </w:rPr>
              <w:t>Viterbi Forward-Backward Recurrence</w:t>
              <w:br/>
            </w:r>
            <w:r>
              <w:rPr>
                <w:rFonts w:ascii="Calibri" w:hAnsi="Calibri"/>
                <w:i/>
                <w:color w:val="2D3748"/>
                <w:sz w:val="20"/>
              </w:rPr>
              <w:t>δ_1(i) = π_i · b_i(O_1)</w:t>
              <w:br/>
              <w:t>δ_t(j) = max_i [ δ_{t-1}(i) · a_ij ] · b_j(O_t)</w:t>
              <w:br/>
              <w:t>ψ_t(j) = argmax_i [ δ_{t-1}(i) · a_ij ]</w:t>
              <w:br/>
              <w:t>q*_T = argmax_i δ_T(i),   q*_t = ψ_{t+1}( q*_{t+1} )</w:t>
            </w:r>
          </w:p>
        </w:tc>
      </w:tr>
    </w:tbl>
    <w:p>
      <w:pPr>
        <w:spacing w:after="80"/>
      </w:pPr>
    </w:p>
    <w:p>
      <w:pPr>
        <w:spacing w:after="80" w:line="276" w:lineRule="auto"/>
      </w:pPr>
      <w:r>
        <w:rPr>
          <w:rFonts w:ascii="Calibri" w:hAnsi="Calibri"/>
          <w:color w:val="2D3748"/>
          <w:sz w:val="21"/>
        </w:rPr>
        <w:t>The computational cost is proportional to N^2 x T instead of N^T. Viterbi is the forward recursion with a maximum in place of a sum, plus backpointers. Because products of many probabilities underflow, all computation is executed in log space, transforming products into sums:</w:t>
      </w:r>
    </w:p>
    <w:tbl>
      <w:tblPr>
        <w:tblW w:type="auto" w:w="0"/>
        <w:jc w:val="center"/>
        <w:tblLayout w:type="fixed"/>
        <w:tblLook w:firstColumn="1" w:firstRow="1" w:lastColumn="0" w:lastRow="0" w:noHBand="0" w:noVBand="1" w:val="04A0"/>
      </w:tblPr>
      <w:tblGrid>
        <w:gridCol w:w="9792"/>
      </w:tblGrid>
      <w:tr>
        <w:tc>
          <w:tcPr>
            <w:tcW w:type="dxa" w:w="9792"/>
            <w:tcMar>
              <w:top w:w="100" w:type="dxa"/>
              <w:bottom w:w="100" w:type="dxa"/>
              <w:left w:w="180" w:type="dxa"/>
              <w:right w:w="140" w:type="dxa"/>
            </w:tcMar>
            <w:shd w:fill="F1F5F9"/>
            <w:tcBorders>
              <w:top w:val="nil"/>
              <w:bottom w:val="nil"/>
              <w:left w:val="single" w:sz="24" w:space="0" w:color="1B365D"/>
              <w:right w:val="nil"/>
            </w:tcBorders>
          </w:tcPr>
          <w:p>
            <w:pPr>
              <w:spacing w:after="40" w:line="276" w:lineRule="auto"/>
            </w:pPr>
            <w:r>
              <w:rPr>
                <w:rFonts w:ascii="Calibri" w:hAnsi="Calibri"/>
                <w:b/>
                <w:color w:val="1B365D"/>
                <w:sz w:val="21"/>
              </w:rPr>
              <w:t>Log-Space Dynamic Programming</w:t>
              <w:br/>
            </w:r>
            <w:r>
              <w:rPr>
                <w:rFonts w:ascii="Calibri" w:hAnsi="Calibri"/>
                <w:i/>
                <w:color w:val="2D3748"/>
                <w:sz w:val="20"/>
              </w:rPr>
              <w:t>φ_t(j) = max_i [ φ_{t-1}(i) + log a_ij ] + log b_j(O_t)</w:t>
            </w:r>
          </w:p>
        </w:tc>
      </w:tr>
    </w:tbl>
    <w:p>
      <w:pPr>
        <w:spacing w:after="80"/>
      </w:pPr>
    </w:p>
    <w:p>
      <w:pPr>
        <w:keepNext/>
        <w:spacing w:before="280" w:after="80"/>
      </w:pPr>
      <w:r>
        <w:rPr>
          <w:rFonts w:ascii="Calibri" w:hAnsi="Calibri"/>
          <w:b/>
          <w:color w:val="1B365D"/>
          <w:sz w:val="30"/>
        </w:rPr>
        <w:t>4. Method</w:t>
      </w:r>
    </w:p>
    <w:p>
      <w:pPr>
        <w:keepNext/>
        <w:spacing w:before="200" w:after="60"/>
      </w:pPr>
      <w:r>
        <w:rPr>
          <w:rFonts w:ascii="Calibri" w:hAnsi="Calibri"/>
          <w:b/>
          <w:color w:val="2B6CB0"/>
          <w:sz w:val="25"/>
        </w:rPr>
        <w:t>4.1 Parameter estimation</w:t>
      </w:r>
    </w:p>
    <w:p>
      <w:pPr>
        <w:spacing w:after="80" w:line="276" w:lineRule="auto"/>
      </w:pPr>
      <w:r>
        <w:rPr>
          <w:rFonts w:ascii="Calibri" w:hAnsi="Calibri"/>
          <w:color w:val="2D3748"/>
          <w:sz w:val="21"/>
        </w:rPr>
        <w:t>Each sentence is wrapped with an imaginary START state before the first word and an END state after the last word. We count tag-to-tag transitions (including START to first tag and last tag to END) and tag-to-word emissions on the training split. The START row of the transition table plays the role of the initial distribution π. The vocabulary is built from the training split only, and words are lowercased.</w:t>
      </w:r>
    </w:p>
    <w:p>
      <w:pPr>
        <w:keepNext/>
        <w:spacing w:before="200" w:after="60"/>
      </w:pPr>
      <w:r>
        <w:rPr>
          <w:rFonts w:ascii="Calibri" w:hAnsi="Calibri"/>
          <w:b/>
          <w:color w:val="2B6CB0"/>
          <w:sz w:val="25"/>
        </w:rPr>
        <w:t>4.2 Smoothing</w:t>
      </w:r>
    </w:p>
    <w:p>
      <w:pPr>
        <w:spacing w:after="80" w:line="276" w:lineRule="auto"/>
      </w:pPr>
      <w:r>
        <w:rPr>
          <w:rFonts w:ascii="Calibri" w:hAnsi="Calibri"/>
          <w:color w:val="2D3748"/>
          <w:sz w:val="21"/>
        </w:rPr>
        <w:t>Raw counts give probability zero to anything unseen, and a single zero removes a whole Viterbi path. We therefore use add-k smoothing: a small constant is added to every legal count before normalising. Only legal moves receive probability mass (START to a tag, tag to tag, tag to END). Transitions and emissions use separate constants, tuned on the development set over the grid {0.001, 0.01, 0.1, 1}. The best values were k_trans = 1 and k_emit = 0.001. Transition smoothing hardly mattered (the table covers only 17 tags and is densely populated), while emission smoothing did.</w:t>
      </w:r>
    </w:p>
    <w:p>
      <w:pPr>
        <w:keepNext/>
        <w:spacing w:before="200" w:after="60"/>
      </w:pPr>
      <w:r>
        <w:rPr>
          <w:rFonts w:ascii="Calibri" w:hAnsi="Calibri"/>
          <w:b/>
          <w:color w:val="2B6CB0"/>
          <w:sz w:val="25"/>
        </w:rPr>
        <w:t>4.3 Unknown words</w:t>
      </w:r>
    </w:p>
    <w:p>
      <w:pPr>
        <w:spacing w:after="80" w:line="276" w:lineRule="auto"/>
      </w:pPr>
      <w:r>
        <w:rPr>
          <w:rFonts w:ascii="Calibri" w:hAnsi="Calibri"/>
          <w:color w:val="2D3748"/>
          <w:sz w:val="21"/>
        </w:rPr>
        <w:t>HMM v1. Words seen fewer than twice in training are replaced by a single token, &lt;UNK&gt;, so the model learns what rare words look like. At test time every word outside the vocabulary maps to &lt;UNK&gt;.</w:t>
      </w:r>
    </w:p>
    <w:p>
      <w:pPr>
        <w:spacing w:after="80" w:line="276" w:lineRule="auto"/>
      </w:pPr>
      <w:r>
        <w:rPr>
          <w:rFonts w:ascii="Calibri" w:hAnsi="Calibri"/>
          <w:color w:val="2D3748"/>
          <w:sz w:val="21"/>
        </w:rPr>
        <w:t>HMM v2. The single &lt;UNK&gt; token is split into 11 buckets based on the shape of the word, so that, for example, a number and a capitalised name no longer share one emission distribution. The shape is read from the original casing, which keeps capital-letter information even though known words are lowercased. Each bucket learns its own emission distribution from the rare training words that fall into it.</w:t>
      </w:r>
    </w:p>
    <w:p>
      <w:pPr>
        <w:keepNext/>
        <w:spacing w:before="160" w:after="60"/>
      </w:pPr>
      <w:r>
        <w:rPr>
          <w:rFonts w:ascii="Calibri" w:hAnsi="Calibri"/>
          <w:b/>
          <w:color w:val="1B365D"/>
          <w:sz w:val="20"/>
        </w:rPr>
        <w:t>Table 3. Unknown-word buckets in HMM v2 (rules are applied sequentially in this order).</w:t>
      </w:r>
    </w:p>
    <w:tbl>
      <w:tblPr>
        <w:tblW w:type="auto" w:w="0"/>
        <w:jc w:val="center"/>
        <w:tblLayout w:type="fixed"/>
        <w:tblLook w:firstColumn="1" w:firstRow="1" w:lastColumn="0" w:lastRow="0" w:noHBand="0" w:noVBand="1" w:val="04A0"/>
      </w:tblPr>
      <w:tblGrid>
        <w:gridCol w:w="3600"/>
        <w:gridCol w:w="6192"/>
      </w:tblGrid>
      <w:tr>
        <w:trPr>
          <w:tblHeader/>
        </w:trPr>
        <w:tc>
          <w:tcPr>
            <w:tcW w:type="dxa" w:w="4896"/>
            <w:tcMar>
              <w:top w:w="120" w:type="dxa"/>
              <w:bottom w:w="120" w:type="dxa"/>
              <w:left w:w="140" w:type="dxa"/>
              <w:right w:w="140" w:type="dxa"/>
            </w:tcMar>
            <w:shd w:fill="1B365D"/>
            <w:tcBorders>
              <w:top w:val="single" w:sz="4" w:space="0" w:color="1B365D"/>
              <w:bottom w:val="single" w:sz="4" w:space="0" w:color="1B365D"/>
              <w:left w:val="nil"/>
              <w:right w:val="nil"/>
            </w:tcBorders>
          </w:tcPr>
          <w:p>
            <w:pPr>
              <w:spacing w:after="0"/>
              <w:jc w:val="left"/>
            </w:pPr>
            <w:r>
              <w:rPr>
                <w:rFonts w:ascii="Calibri" w:hAnsi="Calibri"/>
                <w:b/>
                <w:color w:val="FFFFFF"/>
                <w:sz w:val="19"/>
              </w:rPr>
              <w:t>Bucket</w:t>
            </w:r>
          </w:p>
        </w:tc>
        <w:tc>
          <w:tcPr>
            <w:tcW w:type="dxa" w:w="4896"/>
            <w:tcMar>
              <w:top w:w="120" w:type="dxa"/>
              <w:bottom w:w="120" w:type="dxa"/>
              <w:left w:w="140" w:type="dxa"/>
              <w:right w:w="140" w:type="dxa"/>
            </w:tcMar>
            <w:shd w:fill="1B365D"/>
            <w:tcBorders>
              <w:top w:val="single" w:sz="4" w:space="0" w:color="1B365D"/>
              <w:bottom w:val="single" w:sz="4" w:space="0" w:color="1B365D"/>
              <w:left w:val="nil"/>
              <w:right w:val="nil"/>
            </w:tcBorders>
          </w:tcPr>
          <w:p>
            <w:pPr>
              <w:spacing w:after="0"/>
              <w:jc w:val="left"/>
            </w:pPr>
            <w:r>
              <w:rPr>
                <w:rFonts w:ascii="Calibri" w:hAnsi="Calibri"/>
                <w:b/>
                <w:color w:val="FFFFFF"/>
                <w:sz w:val="19"/>
              </w:rPr>
              <w:t>Rule</w:t>
            </w:r>
          </w:p>
        </w:tc>
      </w:tr>
      <w:tr>
        <w:tc>
          <w:tcPr>
            <w:tcW w:type="dxa" w:w="4896"/>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left"/>
            </w:pPr>
            <w:r>
              <w:rPr>
                <w:rFonts w:ascii="Calibri" w:hAnsi="Calibri"/>
                <w:color w:val="2D3748"/>
                <w:sz w:val="18"/>
              </w:rPr>
              <w:t>&lt;UNK-SYM&gt;</w:t>
            </w:r>
          </w:p>
        </w:tc>
        <w:tc>
          <w:tcPr>
            <w:tcW w:type="dxa" w:w="4896"/>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left"/>
            </w:pPr>
            <w:r>
              <w:rPr>
                <w:rFonts w:ascii="Calibri" w:hAnsi="Calibri"/>
                <w:color w:val="2D3748"/>
                <w:sz w:val="18"/>
              </w:rPr>
              <w:t>No letter or digit in the word (punctuation, emoticons)</w:t>
            </w:r>
          </w:p>
        </w:tc>
      </w:tr>
      <w:tr>
        <w:tc>
          <w:tcPr>
            <w:tcW w:type="dxa" w:w="4896"/>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left"/>
            </w:pPr>
            <w:r>
              <w:rPr>
                <w:rFonts w:ascii="Calibri" w:hAnsi="Calibri"/>
                <w:color w:val="2D3748"/>
                <w:sz w:val="18"/>
              </w:rPr>
              <w:t>&lt;UNK-URL&gt;</w:t>
            </w:r>
          </w:p>
        </w:tc>
        <w:tc>
          <w:tcPr>
            <w:tcW w:type="dxa" w:w="4896"/>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left"/>
            </w:pPr>
            <w:r>
              <w:rPr>
                <w:rFonts w:ascii="Calibri" w:hAnsi="Calibri"/>
                <w:color w:val="2D3748"/>
                <w:sz w:val="18"/>
              </w:rPr>
              <w:t>Looks like a web address or e-mail (http, www, @, .com, .org, .net)</w:t>
            </w:r>
          </w:p>
        </w:tc>
      </w:tr>
      <w:tr>
        <w:tc>
          <w:tcPr>
            <w:tcW w:type="dxa" w:w="4896"/>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left"/>
            </w:pPr>
            <w:r>
              <w:rPr>
                <w:rFonts w:ascii="Calibri" w:hAnsi="Calibri"/>
                <w:color w:val="2D3748"/>
                <w:sz w:val="18"/>
              </w:rPr>
              <w:t>&lt;UNK-NUM&gt;</w:t>
            </w:r>
          </w:p>
        </w:tc>
        <w:tc>
          <w:tcPr>
            <w:tcW w:type="dxa" w:w="4896"/>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left"/>
            </w:pPr>
            <w:r>
              <w:rPr>
                <w:rFonts w:ascii="Calibri" w:hAnsi="Calibri"/>
                <w:color w:val="2D3748"/>
                <w:sz w:val="18"/>
              </w:rPr>
              <w:t>Contains a digit</w:t>
            </w:r>
          </w:p>
        </w:tc>
      </w:tr>
      <w:tr>
        <w:tc>
          <w:tcPr>
            <w:tcW w:type="dxa" w:w="4896"/>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left"/>
            </w:pPr>
            <w:r>
              <w:rPr>
                <w:rFonts w:ascii="Calibri" w:hAnsi="Calibri"/>
                <w:color w:val="2D3748"/>
                <w:sz w:val="18"/>
              </w:rPr>
              <w:t>&lt;UNK-ALLCAP&gt;</w:t>
            </w:r>
          </w:p>
        </w:tc>
        <w:tc>
          <w:tcPr>
            <w:tcW w:type="dxa" w:w="4896"/>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left"/>
            </w:pPr>
            <w:r>
              <w:rPr>
                <w:rFonts w:ascii="Calibri" w:hAnsi="Calibri"/>
                <w:color w:val="2D3748"/>
                <w:sz w:val="18"/>
              </w:rPr>
              <w:t>All capital letters, more than one character</w:t>
            </w:r>
          </w:p>
        </w:tc>
      </w:tr>
      <w:tr>
        <w:tc>
          <w:tcPr>
            <w:tcW w:type="dxa" w:w="4896"/>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left"/>
            </w:pPr>
            <w:r>
              <w:rPr>
                <w:rFonts w:ascii="Calibri" w:hAnsi="Calibri"/>
                <w:color w:val="2D3748"/>
                <w:sz w:val="18"/>
              </w:rPr>
              <w:t>&lt;UNK-CAP&gt;</w:t>
            </w:r>
          </w:p>
        </w:tc>
        <w:tc>
          <w:tcPr>
            <w:tcW w:type="dxa" w:w="4896"/>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left"/>
            </w:pPr>
            <w:r>
              <w:rPr>
                <w:rFonts w:ascii="Calibri" w:hAnsi="Calibri"/>
                <w:color w:val="2D3748"/>
                <w:sz w:val="18"/>
              </w:rPr>
              <w:t>Starts with a capital letter</w:t>
            </w:r>
          </w:p>
        </w:tc>
      </w:tr>
      <w:tr>
        <w:tc>
          <w:tcPr>
            <w:tcW w:type="dxa" w:w="4896"/>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left"/>
            </w:pPr>
            <w:r>
              <w:rPr>
                <w:rFonts w:ascii="Calibri" w:hAnsi="Calibri"/>
                <w:color w:val="2D3748"/>
                <w:sz w:val="18"/>
              </w:rPr>
              <w:t>&lt;UNK-HYPHEN&gt;</w:t>
            </w:r>
          </w:p>
        </w:tc>
        <w:tc>
          <w:tcPr>
            <w:tcW w:type="dxa" w:w="4896"/>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left"/>
            </w:pPr>
            <w:r>
              <w:rPr>
                <w:rFonts w:ascii="Calibri" w:hAnsi="Calibri"/>
                <w:color w:val="2D3748"/>
                <w:sz w:val="18"/>
              </w:rPr>
              <w:t>Contains a hyphen</w:t>
            </w:r>
          </w:p>
        </w:tc>
      </w:tr>
      <w:tr>
        <w:tc>
          <w:tcPr>
            <w:tcW w:type="dxa" w:w="4896"/>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left"/>
            </w:pPr>
            <w:r>
              <w:rPr>
                <w:rFonts w:ascii="Calibri" w:hAnsi="Calibri"/>
                <w:color w:val="2D3748"/>
                <w:sz w:val="18"/>
              </w:rPr>
              <w:t>&lt;UNK-ING&gt;, &lt;UNK-ED&gt;, &lt;UNK-LY&gt;, &lt;UNK-S&gt;</w:t>
            </w:r>
          </w:p>
        </w:tc>
        <w:tc>
          <w:tcPr>
            <w:tcW w:type="dxa" w:w="4896"/>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left"/>
            </w:pPr>
            <w:r>
              <w:rPr>
                <w:rFonts w:ascii="Calibri" w:hAnsi="Calibri"/>
                <w:color w:val="2D3748"/>
                <w:sz w:val="18"/>
              </w:rPr>
              <w:t>Ends in -ing, -ed, -ly or -s (with a minimum word length)</w:t>
            </w:r>
          </w:p>
        </w:tc>
      </w:tr>
      <w:tr>
        <w:tc>
          <w:tcPr>
            <w:tcW w:type="dxa" w:w="4896"/>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left"/>
            </w:pPr>
            <w:r>
              <w:rPr>
                <w:rFonts w:ascii="Calibri" w:hAnsi="Calibri"/>
                <w:color w:val="2D3748"/>
                <w:sz w:val="18"/>
              </w:rPr>
              <w:t>&lt;UNK&gt;</w:t>
            </w:r>
          </w:p>
        </w:tc>
        <w:tc>
          <w:tcPr>
            <w:tcW w:type="dxa" w:w="4896"/>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left"/>
            </w:pPr>
            <w:r>
              <w:rPr>
                <w:rFonts w:ascii="Calibri" w:hAnsi="Calibri"/>
                <w:color w:val="2D3748"/>
                <w:sz w:val="18"/>
              </w:rPr>
              <w:t>Everything else (generic fallback)</w:t>
            </w:r>
          </w:p>
        </w:tc>
      </w:tr>
    </w:tbl>
    <w:p>
      <w:pPr>
        <w:spacing w:after="120"/>
      </w:pPr>
    </w:p>
    <w:p>
      <w:pPr>
        <w:keepNext/>
        <w:spacing w:before="160" w:after="60"/>
        <w:jc w:val="center"/>
      </w:pPr>
      <w:r>
        <w:drawing>
          <wp:inline xmlns:a="http://schemas.openxmlformats.org/drawingml/2006/main" xmlns:pic="http://schemas.openxmlformats.org/drawingml/2006/picture">
            <wp:extent cx="5303520" cy="2314263"/>
            <wp:docPr id="2" name="Picture 2"/>
            <wp:cNvGraphicFramePr>
              <a:graphicFrameLocks noChangeAspect="1"/>
            </wp:cNvGraphicFramePr>
            <a:graphic>
              <a:graphicData uri="http://schemas.openxmlformats.org/drawingml/2006/picture">
                <pic:pic>
                  <pic:nvPicPr>
                    <pic:cNvPr id="0" name="unk_bucket_hierarchy.png"/>
                    <pic:cNvPicPr/>
                  </pic:nvPicPr>
                  <pic:blipFill>
                    <a:blip r:embed="rId10"/>
                    <a:stretch>
                      <a:fillRect/>
                    </a:stretch>
                  </pic:blipFill>
                  <pic:spPr>
                    <a:xfrm>
                      <a:off x="0" y="0"/>
                      <a:ext cx="5303520" cy="2314263"/>
                    </a:xfrm>
                    <a:prstGeom prst="rect"/>
                  </pic:spPr>
                </pic:pic>
              </a:graphicData>
            </a:graphic>
          </wp:inline>
        </w:drawing>
      </w:r>
    </w:p>
    <w:p>
      <w:pPr>
        <w:spacing w:before="0" w:after="160"/>
        <w:jc w:val="center"/>
      </w:pPr>
      <w:r>
        <w:rPr>
          <w:rFonts w:ascii="Calibri" w:hAnsi="Calibri"/>
          <w:i/>
          <w:color w:val="64748B"/>
          <w:sz w:val="18"/>
        </w:rPr>
        <w:t>Figure 2. HMM v2 hierarchical morphological unknown-word classification pipeline.</w:t>
      </w:r>
    </w:p>
    <w:p>
      <w:pPr>
        <w:keepNext/>
        <w:spacing w:before="200" w:after="60"/>
      </w:pPr>
      <w:r>
        <w:rPr>
          <w:rFonts w:ascii="Calibri" w:hAnsi="Calibri"/>
          <w:b/>
          <w:color w:val="2B6CB0"/>
          <w:sz w:val="25"/>
        </w:rPr>
        <w:t>4.4 Decoding</w:t>
      </w:r>
    </w:p>
    <w:p>
      <w:pPr>
        <w:spacing w:after="80" w:line="276" w:lineRule="auto"/>
      </w:pPr>
      <w:r>
        <w:rPr>
          <w:rFonts w:ascii="Calibri" w:hAnsi="Calibri"/>
          <w:color w:val="2D3748"/>
          <w:sz w:val="21"/>
        </w:rPr>
        <w:t>Sentences are decoded with the log-space Viterbi algorithm of Section 3. The final tag must also be able to move to END, and the best path is recovered by following the backpointers. We checked the implementation on example sentences and used it unchanged for all experiments.</w:t>
      </w:r>
    </w:p>
    <w:p>
      <w:pPr>
        <w:keepNext/>
        <w:spacing w:before="280" w:after="80"/>
      </w:pPr>
      <w:r>
        <w:rPr>
          <w:rFonts w:ascii="Calibri" w:hAnsi="Calibri"/>
          <w:b/>
          <w:color w:val="1B365D"/>
          <w:sz w:val="30"/>
        </w:rPr>
        <w:t>5. Experimental Setup</w:t>
      </w:r>
    </w:p>
    <w:p>
      <w:pPr>
        <w:spacing w:after="80" w:line="276" w:lineRule="auto"/>
      </w:pPr>
      <w:r>
        <w:rPr>
          <w:rFonts w:ascii="Calibri" w:hAnsi="Calibri"/>
          <w:b/>
          <w:color w:val="1B365D"/>
          <w:sz w:val="21"/>
        </w:rPr>
        <w:t xml:space="preserve">Splits: </w:t>
      </w:r>
      <w:r>
        <w:rPr>
          <w:rFonts w:ascii="Calibri" w:hAnsi="Calibri"/>
          <w:color w:val="2D3748"/>
          <w:sz w:val="21"/>
        </w:rPr>
        <w:t>All parameters are estimated on the training split. All hyperparameter choices (smoothing constants, lowercasing, rarity threshold, bucket scheme) are made on the development split. The test split is used strictly once to report final numbers.</w:t>
      </w:r>
    </w:p>
    <w:p>
      <w:pPr>
        <w:spacing w:after="80" w:line="276" w:lineRule="auto"/>
      </w:pPr>
      <w:r>
        <w:rPr>
          <w:rFonts w:ascii="Calibri" w:hAnsi="Calibri"/>
          <w:b/>
          <w:color w:val="1B365D"/>
          <w:sz w:val="21"/>
        </w:rPr>
        <w:t xml:space="preserve">Token accuracy: </w:t>
      </w:r>
      <w:r>
        <w:rPr>
          <w:rFonts w:ascii="Calibri" w:hAnsi="Calibri"/>
          <w:color w:val="2D3748"/>
          <w:sz w:val="21"/>
        </w:rPr>
        <w:t>The share of tokens whose predicted tag equals the gold tag.</w:t>
      </w:r>
    </w:p>
    <w:p>
      <w:pPr>
        <w:spacing w:after="80" w:line="276" w:lineRule="auto"/>
      </w:pPr>
      <w:r>
        <w:rPr>
          <w:rFonts w:ascii="Calibri" w:hAnsi="Calibri"/>
          <w:b/>
          <w:color w:val="1B365D"/>
          <w:sz w:val="21"/>
        </w:rPr>
        <w:t xml:space="preserve">Macro F1: </w:t>
      </w:r>
      <w:r>
        <w:rPr>
          <w:rFonts w:ascii="Calibri" w:hAnsi="Calibri"/>
          <w:color w:val="2D3748"/>
          <w:sz w:val="21"/>
        </w:rPr>
        <w:t>The F1 score computed per tag over the 17 tags and averaged with equal weight, so rare tags count as much as frequent ones.</w:t>
      </w:r>
    </w:p>
    <w:p>
      <w:pPr>
        <w:spacing w:after="80" w:line="276" w:lineRule="auto"/>
      </w:pPr>
      <w:r>
        <w:rPr>
          <w:rFonts w:ascii="Calibri" w:hAnsi="Calibri"/>
          <w:b/>
          <w:color w:val="1B365D"/>
          <w:sz w:val="21"/>
        </w:rPr>
        <w:t xml:space="preserve">Unknown-word accuracy: </w:t>
      </w:r>
      <w:r>
        <w:rPr>
          <w:rFonts w:ascii="Calibri" w:hAnsi="Calibri"/>
          <w:color w:val="2D3748"/>
          <w:sz w:val="21"/>
        </w:rPr>
        <w:t>Token accuracy restricted to tokens whose lowercased form never occurs in the training split. The same definition is used for every model so that numbers are comparable.</w:t>
      </w:r>
    </w:p>
    <w:p>
      <w:pPr>
        <w:spacing w:after="80" w:line="276" w:lineRule="auto"/>
      </w:pPr>
      <w:r>
        <w:rPr>
          <w:rFonts w:ascii="Calibri" w:hAnsi="Calibri"/>
          <w:b/>
          <w:color w:val="1B365D"/>
          <w:sz w:val="21"/>
        </w:rPr>
        <w:t xml:space="preserve">Error analysis: </w:t>
      </w:r>
      <w:r>
        <w:rPr>
          <w:rFonts w:ascii="Calibri" w:hAnsi="Calibri"/>
          <w:color w:val="2D3748"/>
          <w:sz w:val="21"/>
        </w:rPr>
        <w:t>Per-tag precision, recall and F1, the most frequent gold-to-predicted confusions, and a confusion matrix.</w:t>
      </w:r>
    </w:p>
    <w:p>
      <w:pPr>
        <w:keepNext/>
        <w:spacing w:before="280" w:after="80"/>
      </w:pPr>
      <w:r>
        <w:rPr>
          <w:rFonts w:ascii="Calibri" w:hAnsi="Calibri"/>
          <w:b/>
          <w:color w:val="1B365D"/>
          <w:sz w:val="30"/>
        </w:rPr>
        <w:t>6. Results</w:t>
      </w:r>
    </w:p>
    <w:p>
      <w:pPr>
        <w:keepNext/>
        <w:spacing w:before="200" w:after="60"/>
      </w:pPr>
      <w:r>
        <w:rPr>
          <w:rFonts w:ascii="Calibri" w:hAnsi="Calibri"/>
          <w:b/>
          <w:color w:val="2B6CB0"/>
          <w:sz w:val="25"/>
        </w:rPr>
        <w:t>6.1 Development-set experiments</w:t>
      </w:r>
    </w:p>
    <w:p>
      <w:pPr>
        <w:spacing w:after="80" w:line="276" w:lineRule="auto"/>
      </w:pPr>
      <w:r>
        <w:rPr>
          <w:rFonts w:ascii="Calibri" w:hAnsi="Calibri"/>
          <w:color w:val="2D3748"/>
          <w:sz w:val="21"/>
        </w:rPr>
        <w:t>We compared lowercasing on or off, shape-based buckets on or off, the rarity threshold below which a word becomes unknown (1, 2, 3 or 5), and three values of the emission smoothing constant (the best is shown for each row). Table 4 lists every combination, sorted by development accuracy.</w:t>
      </w:r>
    </w:p>
    <w:p>
      <w:pPr>
        <w:keepNext/>
        <w:spacing w:before="160" w:after="60"/>
      </w:pPr>
      <w:r>
        <w:rPr>
          <w:rFonts w:ascii="Calibri" w:hAnsi="Calibri"/>
          <w:b/>
          <w:color w:val="1B365D"/>
          <w:sz w:val="20"/>
        </w:rPr>
        <w:t>Table 4. Development-set comparison of settings (best k_emit shown per row).</w:t>
      </w:r>
    </w:p>
    <w:tbl>
      <w:tblPr>
        <w:tblW w:type="auto" w:w="0"/>
        <w:jc w:val="center"/>
        <w:tblLayout w:type="fixed"/>
        <w:tblLook w:firstColumn="1" w:firstRow="1" w:lastColumn="0" w:lastRow="0" w:noHBand="0" w:noVBand="1" w:val="04A0"/>
      </w:tblPr>
      <w:tblGrid>
        <w:gridCol w:w="576"/>
        <w:gridCol w:w="1296"/>
        <w:gridCol w:w="1584"/>
        <w:gridCol w:w="1152"/>
        <w:gridCol w:w="1008"/>
        <w:gridCol w:w="1296"/>
        <w:gridCol w:w="1584"/>
        <w:gridCol w:w="1296"/>
      </w:tblGrid>
      <w:tr>
        <w:trPr>
          <w:tblHeader/>
        </w:trPr>
        <w:tc>
          <w:tcPr>
            <w:tcW w:type="dxa" w:w="1224"/>
            <w:tcMar>
              <w:top w:w="120" w:type="dxa"/>
              <w:bottom w:w="120" w:type="dxa"/>
              <w:left w:w="140" w:type="dxa"/>
              <w:right w:w="140" w:type="dxa"/>
            </w:tcMar>
            <w:shd w:fill="1B365D"/>
            <w:tcBorders>
              <w:top w:val="single" w:sz="4" w:space="0" w:color="1B365D"/>
              <w:bottom w:val="single" w:sz="4" w:space="0" w:color="1B365D"/>
              <w:left w:val="nil"/>
              <w:right w:val="nil"/>
            </w:tcBorders>
          </w:tcPr>
          <w:p>
            <w:pPr>
              <w:spacing w:after="0"/>
              <w:jc w:val="right"/>
            </w:pPr>
            <w:r>
              <w:rPr>
                <w:rFonts w:ascii="Calibri" w:hAnsi="Calibri"/>
                <w:b/>
                <w:color w:val="FFFFFF"/>
                <w:sz w:val="19"/>
              </w:rPr>
              <w:t>#</w:t>
            </w:r>
          </w:p>
        </w:tc>
        <w:tc>
          <w:tcPr>
            <w:tcW w:type="dxa" w:w="1224"/>
            <w:tcMar>
              <w:top w:w="120" w:type="dxa"/>
              <w:bottom w:w="120" w:type="dxa"/>
              <w:left w:w="140" w:type="dxa"/>
              <w:right w:w="140" w:type="dxa"/>
            </w:tcMar>
            <w:shd w:fill="1B365D"/>
            <w:tcBorders>
              <w:top w:val="single" w:sz="4" w:space="0" w:color="1B365D"/>
              <w:bottom w:val="single" w:sz="4" w:space="0" w:color="1B365D"/>
              <w:left w:val="nil"/>
              <w:right w:val="nil"/>
            </w:tcBorders>
          </w:tcPr>
          <w:p>
            <w:pPr>
              <w:spacing w:after="0"/>
              <w:jc w:val="left"/>
            </w:pPr>
            <w:r>
              <w:rPr>
                <w:rFonts w:ascii="Calibri" w:hAnsi="Calibri"/>
                <w:b/>
                <w:color w:val="FFFFFF"/>
                <w:sz w:val="19"/>
              </w:rPr>
              <w:t>Lowercase</w:t>
            </w:r>
          </w:p>
        </w:tc>
        <w:tc>
          <w:tcPr>
            <w:tcW w:type="dxa" w:w="1224"/>
            <w:tcMar>
              <w:top w:w="120" w:type="dxa"/>
              <w:bottom w:w="120" w:type="dxa"/>
              <w:left w:w="140" w:type="dxa"/>
              <w:right w:w="140" w:type="dxa"/>
            </w:tcMar>
            <w:shd w:fill="1B365D"/>
            <w:tcBorders>
              <w:top w:val="single" w:sz="4" w:space="0" w:color="1B365D"/>
              <w:bottom w:val="single" w:sz="4" w:space="0" w:color="1B365D"/>
              <w:left w:val="nil"/>
              <w:right w:val="nil"/>
            </w:tcBorders>
          </w:tcPr>
          <w:p>
            <w:pPr>
              <w:spacing w:after="0"/>
              <w:jc w:val="left"/>
            </w:pPr>
            <w:r>
              <w:rPr>
                <w:rFonts w:ascii="Calibri" w:hAnsi="Calibri"/>
                <w:b/>
                <w:color w:val="FFFFFF"/>
                <w:sz w:val="19"/>
              </w:rPr>
              <w:t>Shape buckets</w:t>
            </w:r>
          </w:p>
        </w:tc>
        <w:tc>
          <w:tcPr>
            <w:tcW w:type="dxa" w:w="1224"/>
            <w:tcMar>
              <w:top w:w="120" w:type="dxa"/>
              <w:bottom w:w="120" w:type="dxa"/>
              <w:left w:w="140" w:type="dxa"/>
              <w:right w:w="140" w:type="dxa"/>
            </w:tcMar>
            <w:shd w:fill="1B365D"/>
            <w:tcBorders>
              <w:top w:val="single" w:sz="4" w:space="0" w:color="1B365D"/>
              <w:bottom w:val="single" w:sz="4" w:space="0" w:color="1B365D"/>
              <w:left w:val="nil"/>
              <w:right w:val="nil"/>
            </w:tcBorders>
          </w:tcPr>
          <w:p>
            <w:pPr>
              <w:spacing w:after="0"/>
              <w:jc w:val="right"/>
            </w:pPr>
            <w:r>
              <w:rPr>
                <w:rFonts w:ascii="Calibri" w:hAnsi="Calibri"/>
                <w:b/>
                <w:color w:val="FFFFFF"/>
                <w:sz w:val="19"/>
              </w:rPr>
              <w:t>min_freq</w:t>
            </w:r>
          </w:p>
        </w:tc>
        <w:tc>
          <w:tcPr>
            <w:tcW w:type="dxa" w:w="1224"/>
            <w:tcMar>
              <w:top w:w="120" w:type="dxa"/>
              <w:bottom w:w="120" w:type="dxa"/>
              <w:left w:w="140" w:type="dxa"/>
              <w:right w:w="140" w:type="dxa"/>
            </w:tcMar>
            <w:shd w:fill="1B365D"/>
            <w:tcBorders>
              <w:top w:val="single" w:sz="4" w:space="0" w:color="1B365D"/>
              <w:bottom w:val="single" w:sz="4" w:space="0" w:color="1B365D"/>
              <w:left w:val="nil"/>
              <w:right w:val="nil"/>
            </w:tcBorders>
          </w:tcPr>
          <w:p>
            <w:pPr>
              <w:spacing w:after="0"/>
              <w:jc w:val="right"/>
            </w:pPr>
            <w:r>
              <w:rPr>
                <w:rFonts w:ascii="Calibri" w:hAnsi="Calibri"/>
                <w:b/>
                <w:color w:val="FFFFFF"/>
                <w:sz w:val="19"/>
              </w:rPr>
              <w:t>k_emit</w:t>
            </w:r>
          </w:p>
        </w:tc>
        <w:tc>
          <w:tcPr>
            <w:tcW w:type="dxa" w:w="1224"/>
            <w:tcMar>
              <w:top w:w="120" w:type="dxa"/>
              <w:bottom w:w="120" w:type="dxa"/>
              <w:left w:w="140" w:type="dxa"/>
              <w:right w:w="140" w:type="dxa"/>
            </w:tcMar>
            <w:shd w:fill="1B365D"/>
            <w:tcBorders>
              <w:top w:val="single" w:sz="4" w:space="0" w:color="1B365D"/>
              <w:bottom w:val="single" w:sz="4" w:space="0" w:color="1B365D"/>
              <w:left w:val="nil"/>
              <w:right w:val="nil"/>
            </w:tcBorders>
          </w:tcPr>
          <w:p>
            <w:pPr>
              <w:spacing w:after="0"/>
              <w:jc w:val="right"/>
            </w:pPr>
            <w:r>
              <w:rPr>
                <w:rFonts w:ascii="Calibri" w:hAnsi="Calibri"/>
                <w:b/>
                <w:color w:val="FFFFFF"/>
                <w:sz w:val="19"/>
              </w:rPr>
              <w:t>Dev acc.</w:t>
            </w:r>
          </w:p>
        </w:tc>
        <w:tc>
          <w:tcPr>
            <w:tcW w:type="dxa" w:w="1224"/>
            <w:tcMar>
              <w:top w:w="120" w:type="dxa"/>
              <w:bottom w:w="120" w:type="dxa"/>
              <w:left w:w="140" w:type="dxa"/>
              <w:right w:w="140" w:type="dxa"/>
            </w:tcMar>
            <w:shd w:fill="1B365D"/>
            <w:tcBorders>
              <w:top w:val="single" w:sz="4" w:space="0" w:color="1B365D"/>
              <w:bottom w:val="single" w:sz="4" w:space="0" w:color="1B365D"/>
              <w:left w:val="nil"/>
              <w:right w:val="nil"/>
            </w:tcBorders>
          </w:tcPr>
          <w:p>
            <w:pPr>
              <w:spacing w:after="0"/>
              <w:jc w:val="right"/>
            </w:pPr>
            <w:r>
              <w:rPr>
                <w:rFonts w:ascii="Calibri" w:hAnsi="Calibri"/>
                <w:b/>
                <w:color w:val="FFFFFF"/>
                <w:sz w:val="19"/>
              </w:rPr>
              <w:t>Dev unseen acc.</w:t>
            </w:r>
          </w:p>
        </w:tc>
        <w:tc>
          <w:tcPr>
            <w:tcW w:type="dxa" w:w="1224"/>
            <w:tcMar>
              <w:top w:w="120" w:type="dxa"/>
              <w:bottom w:w="120" w:type="dxa"/>
              <w:left w:w="140" w:type="dxa"/>
              <w:right w:w="140" w:type="dxa"/>
            </w:tcMar>
            <w:shd w:fill="1B365D"/>
            <w:tcBorders>
              <w:top w:val="single" w:sz="4" w:space="0" w:color="1B365D"/>
              <w:bottom w:val="single" w:sz="4" w:space="0" w:color="1B365D"/>
              <w:left w:val="nil"/>
              <w:right w:val="nil"/>
            </w:tcBorders>
          </w:tcPr>
          <w:p>
            <w:pPr>
              <w:spacing w:after="0"/>
              <w:jc w:val="left"/>
            </w:pPr>
            <w:r>
              <w:rPr>
                <w:rFonts w:ascii="Calibri" w:hAnsi="Calibri"/>
                <w:b/>
                <w:color w:val="FFFFFF"/>
                <w:sz w:val="19"/>
              </w:rPr>
              <w:t>Note</w:t>
            </w:r>
          </w:p>
        </w:tc>
      </w:tr>
      <w:tr>
        <w:tc>
          <w:tcPr>
            <w:tcW w:type="dxa" w:w="122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1</w:t>
            </w:r>
          </w:p>
        </w:tc>
        <w:tc>
          <w:tcPr>
            <w:tcW w:type="dxa" w:w="122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left"/>
            </w:pPr>
            <w:r>
              <w:rPr>
                <w:rFonts w:ascii="Calibri" w:hAnsi="Calibri"/>
                <w:color w:val="2D3748"/>
                <w:sz w:val="18"/>
              </w:rPr>
              <w:t>yes</w:t>
            </w:r>
          </w:p>
        </w:tc>
        <w:tc>
          <w:tcPr>
            <w:tcW w:type="dxa" w:w="122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left"/>
            </w:pPr>
            <w:r>
              <w:rPr>
                <w:rFonts w:ascii="Calibri" w:hAnsi="Calibri"/>
                <w:color w:val="2D3748"/>
                <w:sz w:val="18"/>
              </w:rPr>
              <w:t>yes</w:t>
            </w:r>
          </w:p>
        </w:tc>
        <w:tc>
          <w:tcPr>
            <w:tcW w:type="dxa" w:w="122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2</w:t>
            </w:r>
          </w:p>
        </w:tc>
        <w:tc>
          <w:tcPr>
            <w:tcW w:type="dxa" w:w="122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0.001</w:t>
            </w:r>
          </w:p>
        </w:tc>
        <w:tc>
          <w:tcPr>
            <w:tcW w:type="dxa" w:w="122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91.55%</w:t>
            </w:r>
          </w:p>
        </w:tc>
        <w:tc>
          <w:tcPr>
            <w:tcW w:type="dxa" w:w="122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75.23%</w:t>
            </w:r>
          </w:p>
        </w:tc>
        <w:tc>
          <w:tcPr>
            <w:tcW w:type="dxa" w:w="122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left"/>
            </w:pPr>
            <w:r>
              <w:rPr>
                <w:rFonts w:ascii="Calibri" w:hAnsi="Calibri"/>
                <w:color w:val="2D3748"/>
                <w:sz w:val="18"/>
              </w:rPr>
              <w:t>v2 (chosen)</w:t>
            </w:r>
          </w:p>
        </w:tc>
      </w:tr>
      <w:tr>
        <w:tc>
          <w:tcPr>
            <w:tcW w:type="dxa" w:w="1224"/>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2</w:t>
            </w:r>
          </w:p>
        </w:tc>
        <w:tc>
          <w:tcPr>
            <w:tcW w:type="dxa" w:w="1224"/>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left"/>
            </w:pPr>
            <w:r>
              <w:rPr>
                <w:rFonts w:ascii="Calibri" w:hAnsi="Calibri"/>
                <w:color w:val="2D3748"/>
                <w:sz w:val="18"/>
              </w:rPr>
              <w:t>yes</w:t>
            </w:r>
          </w:p>
        </w:tc>
        <w:tc>
          <w:tcPr>
            <w:tcW w:type="dxa" w:w="1224"/>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left"/>
            </w:pPr>
            <w:r>
              <w:rPr>
                <w:rFonts w:ascii="Calibri" w:hAnsi="Calibri"/>
                <w:color w:val="2D3748"/>
                <w:sz w:val="18"/>
              </w:rPr>
              <w:t>yes</w:t>
            </w:r>
          </w:p>
        </w:tc>
        <w:tc>
          <w:tcPr>
            <w:tcW w:type="dxa" w:w="1224"/>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3</w:t>
            </w:r>
          </w:p>
        </w:tc>
        <w:tc>
          <w:tcPr>
            <w:tcW w:type="dxa" w:w="1224"/>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0.001</w:t>
            </w:r>
          </w:p>
        </w:tc>
        <w:tc>
          <w:tcPr>
            <w:tcW w:type="dxa" w:w="1224"/>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91.30%</w:t>
            </w:r>
          </w:p>
        </w:tc>
        <w:tc>
          <w:tcPr>
            <w:tcW w:type="dxa" w:w="1224"/>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74.30%</w:t>
            </w:r>
          </w:p>
        </w:tc>
        <w:tc>
          <w:tcPr>
            <w:tcW w:type="dxa" w:w="1224"/>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left"/>
            </w:pPr>
            <w:r>
              <w:rPr>
                <w:rFonts w:ascii="Calibri" w:hAnsi="Calibri"/>
                <w:color w:val="2D3748"/>
                <w:sz w:val="18"/>
              </w:rPr>
            </w:r>
          </w:p>
        </w:tc>
      </w:tr>
      <w:tr>
        <w:tc>
          <w:tcPr>
            <w:tcW w:type="dxa" w:w="122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3</w:t>
            </w:r>
          </w:p>
        </w:tc>
        <w:tc>
          <w:tcPr>
            <w:tcW w:type="dxa" w:w="122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left"/>
            </w:pPr>
            <w:r>
              <w:rPr>
                <w:rFonts w:ascii="Calibri" w:hAnsi="Calibri"/>
                <w:color w:val="2D3748"/>
                <w:sz w:val="18"/>
              </w:rPr>
              <w:t>no</w:t>
            </w:r>
          </w:p>
        </w:tc>
        <w:tc>
          <w:tcPr>
            <w:tcW w:type="dxa" w:w="122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left"/>
            </w:pPr>
            <w:r>
              <w:rPr>
                <w:rFonts w:ascii="Calibri" w:hAnsi="Calibri"/>
                <w:color w:val="2D3748"/>
                <w:sz w:val="18"/>
              </w:rPr>
              <w:t>yes</w:t>
            </w:r>
          </w:p>
        </w:tc>
        <w:tc>
          <w:tcPr>
            <w:tcW w:type="dxa" w:w="122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2</w:t>
            </w:r>
          </w:p>
        </w:tc>
        <w:tc>
          <w:tcPr>
            <w:tcW w:type="dxa" w:w="122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0.001</w:t>
            </w:r>
          </w:p>
        </w:tc>
        <w:tc>
          <w:tcPr>
            <w:tcW w:type="dxa" w:w="122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90.97%</w:t>
            </w:r>
          </w:p>
        </w:tc>
        <w:tc>
          <w:tcPr>
            <w:tcW w:type="dxa" w:w="122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72.54%</w:t>
            </w:r>
          </w:p>
        </w:tc>
        <w:tc>
          <w:tcPr>
            <w:tcW w:type="dxa" w:w="122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left"/>
            </w:pPr>
            <w:r>
              <w:rPr>
                <w:rFonts w:ascii="Calibri" w:hAnsi="Calibri"/>
                <w:color w:val="2D3748"/>
                <w:sz w:val="18"/>
              </w:rPr>
            </w:r>
          </w:p>
        </w:tc>
      </w:tr>
      <w:tr>
        <w:tc>
          <w:tcPr>
            <w:tcW w:type="dxa" w:w="1224"/>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4</w:t>
            </w:r>
          </w:p>
        </w:tc>
        <w:tc>
          <w:tcPr>
            <w:tcW w:type="dxa" w:w="1224"/>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left"/>
            </w:pPr>
            <w:r>
              <w:rPr>
                <w:rFonts w:ascii="Calibri" w:hAnsi="Calibri"/>
                <w:color w:val="2D3748"/>
                <w:sz w:val="18"/>
              </w:rPr>
              <w:t>yes</w:t>
            </w:r>
          </w:p>
        </w:tc>
        <w:tc>
          <w:tcPr>
            <w:tcW w:type="dxa" w:w="1224"/>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left"/>
            </w:pPr>
            <w:r>
              <w:rPr>
                <w:rFonts w:ascii="Calibri" w:hAnsi="Calibri"/>
                <w:color w:val="2D3748"/>
                <w:sz w:val="18"/>
              </w:rPr>
              <w:t>yes</w:t>
            </w:r>
          </w:p>
        </w:tc>
        <w:tc>
          <w:tcPr>
            <w:tcW w:type="dxa" w:w="1224"/>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5</w:t>
            </w:r>
          </w:p>
        </w:tc>
        <w:tc>
          <w:tcPr>
            <w:tcW w:type="dxa" w:w="1224"/>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0.01</w:t>
            </w:r>
          </w:p>
        </w:tc>
        <w:tc>
          <w:tcPr>
            <w:tcW w:type="dxa" w:w="1224"/>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90.73%</w:t>
            </w:r>
          </w:p>
        </w:tc>
        <w:tc>
          <w:tcPr>
            <w:tcW w:type="dxa" w:w="1224"/>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73.71%</w:t>
            </w:r>
          </w:p>
        </w:tc>
        <w:tc>
          <w:tcPr>
            <w:tcW w:type="dxa" w:w="1224"/>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left"/>
            </w:pPr>
            <w:r>
              <w:rPr>
                <w:rFonts w:ascii="Calibri" w:hAnsi="Calibri"/>
                <w:color w:val="2D3748"/>
                <w:sz w:val="18"/>
              </w:rPr>
            </w:r>
          </w:p>
        </w:tc>
      </w:tr>
      <w:tr>
        <w:tc>
          <w:tcPr>
            <w:tcW w:type="dxa" w:w="122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5</w:t>
            </w:r>
          </w:p>
        </w:tc>
        <w:tc>
          <w:tcPr>
            <w:tcW w:type="dxa" w:w="122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left"/>
            </w:pPr>
            <w:r>
              <w:rPr>
                <w:rFonts w:ascii="Calibri" w:hAnsi="Calibri"/>
                <w:color w:val="2D3748"/>
                <w:sz w:val="18"/>
              </w:rPr>
              <w:t>no</w:t>
            </w:r>
          </w:p>
        </w:tc>
        <w:tc>
          <w:tcPr>
            <w:tcW w:type="dxa" w:w="122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left"/>
            </w:pPr>
            <w:r>
              <w:rPr>
                <w:rFonts w:ascii="Calibri" w:hAnsi="Calibri"/>
                <w:color w:val="2D3748"/>
                <w:sz w:val="18"/>
              </w:rPr>
              <w:t>yes</w:t>
            </w:r>
          </w:p>
        </w:tc>
        <w:tc>
          <w:tcPr>
            <w:tcW w:type="dxa" w:w="122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3</w:t>
            </w:r>
          </w:p>
        </w:tc>
        <w:tc>
          <w:tcPr>
            <w:tcW w:type="dxa" w:w="122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0.001</w:t>
            </w:r>
          </w:p>
        </w:tc>
        <w:tc>
          <w:tcPr>
            <w:tcW w:type="dxa" w:w="122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90.55%</w:t>
            </w:r>
          </w:p>
        </w:tc>
        <w:tc>
          <w:tcPr>
            <w:tcW w:type="dxa" w:w="122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72.54%</w:t>
            </w:r>
          </w:p>
        </w:tc>
        <w:tc>
          <w:tcPr>
            <w:tcW w:type="dxa" w:w="122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left"/>
            </w:pPr>
            <w:r>
              <w:rPr>
                <w:rFonts w:ascii="Calibri" w:hAnsi="Calibri"/>
                <w:color w:val="2D3748"/>
                <w:sz w:val="18"/>
              </w:rPr>
            </w:r>
          </w:p>
        </w:tc>
      </w:tr>
      <w:tr>
        <w:tc>
          <w:tcPr>
            <w:tcW w:type="dxa" w:w="1224"/>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6</w:t>
            </w:r>
          </w:p>
        </w:tc>
        <w:tc>
          <w:tcPr>
            <w:tcW w:type="dxa" w:w="1224"/>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left"/>
            </w:pPr>
            <w:r>
              <w:rPr>
                <w:rFonts w:ascii="Calibri" w:hAnsi="Calibri"/>
                <w:color w:val="2D3748"/>
                <w:sz w:val="18"/>
              </w:rPr>
              <w:t>no</w:t>
            </w:r>
          </w:p>
        </w:tc>
        <w:tc>
          <w:tcPr>
            <w:tcW w:type="dxa" w:w="1224"/>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left"/>
            </w:pPr>
            <w:r>
              <w:rPr>
                <w:rFonts w:ascii="Calibri" w:hAnsi="Calibri"/>
                <w:color w:val="2D3748"/>
                <w:sz w:val="18"/>
              </w:rPr>
              <w:t>yes</w:t>
            </w:r>
          </w:p>
        </w:tc>
        <w:tc>
          <w:tcPr>
            <w:tcW w:type="dxa" w:w="1224"/>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5</w:t>
            </w:r>
          </w:p>
        </w:tc>
        <w:tc>
          <w:tcPr>
            <w:tcW w:type="dxa" w:w="1224"/>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0.001</w:t>
            </w:r>
          </w:p>
        </w:tc>
        <w:tc>
          <w:tcPr>
            <w:tcW w:type="dxa" w:w="1224"/>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89.69%</w:t>
            </w:r>
          </w:p>
        </w:tc>
        <w:tc>
          <w:tcPr>
            <w:tcW w:type="dxa" w:w="1224"/>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72.72%</w:t>
            </w:r>
          </w:p>
        </w:tc>
        <w:tc>
          <w:tcPr>
            <w:tcW w:type="dxa" w:w="1224"/>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left"/>
            </w:pPr>
            <w:r>
              <w:rPr>
                <w:rFonts w:ascii="Calibri" w:hAnsi="Calibri"/>
                <w:color w:val="2D3748"/>
                <w:sz w:val="18"/>
              </w:rPr>
            </w:r>
          </w:p>
        </w:tc>
      </w:tr>
      <w:tr>
        <w:tc>
          <w:tcPr>
            <w:tcW w:type="dxa" w:w="122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7</w:t>
            </w:r>
          </w:p>
        </w:tc>
        <w:tc>
          <w:tcPr>
            <w:tcW w:type="dxa" w:w="122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left"/>
            </w:pPr>
            <w:r>
              <w:rPr>
                <w:rFonts w:ascii="Calibri" w:hAnsi="Calibri"/>
                <w:color w:val="2D3748"/>
                <w:sz w:val="18"/>
              </w:rPr>
              <w:t>yes</w:t>
            </w:r>
          </w:p>
        </w:tc>
        <w:tc>
          <w:tcPr>
            <w:tcW w:type="dxa" w:w="122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left"/>
            </w:pPr>
            <w:r>
              <w:rPr>
                <w:rFonts w:ascii="Calibri" w:hAnsi="Calibri"/>
                <w:color w:val="2D3748"/>
                <w:sz w:val="18"/>
              </w:rPr>
              <w:t>no</w:t>
            </w:r>
          </w:p>
        </w:tc>
        <w:tc>
          <w:tcPr>
            <w:tcW w:type="dxa" w:w="122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2</w:t>
            </w:r>
          </w:p>
        </w:tc>
        <w:tc>
          <w:tcPr>
            <w:tcW w:type="dxa" w:w="122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0.001</w:t>
            </w:r>
          </w:p>
        </w:tc>
        <w:tc>
          <w:tcPr>
            <w:tcW w:type="dxa" w:w="122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89.49%</w:t>
            </w:r>
          </w:p>
        </w:tc>
        <w:tc>
          <w:tcPr>
            <w:tcW w:type="dxa" w:w="122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54.27%</w:t>
            </w:r>
          </w:p>
        </w:tc>
        <w:tc>
          <w:tcPr>
            <w:tcW w:type="dxa" w:w="122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left"/>
            </w:pPr>
            <w:r>
              <w:rPr>
                <w:rFonts w:ascii="Calibri" w:hAnsi="Calibri"/>
                <w:color w:val="2D3748"/>
                <w:sz w:val="18"/>
              </w:rPr>
              <w:t>v1 setting</w:t>
            </w:r>
          </w:p>
        </w:tc>
      </w:tr>
      <w:tr>
        <w:tc>
          <w:tcPr>
            <w:tcW w:type="dxa" w:w="1224"/>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8</w:t>
            </w:r>
          </w:p>
        </w:tc>
        <w:tc>
          <w:tcPr>
            <w:tcW w:type="dxa" w:w="1224"/>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left"/>
            </w:pPr>
            <w:r>
              <w:rPr>
                <w:rFonts w:ascii="Calibri" w:hAnsi="Calibri"/>
                <w:color w:val="2D3748"/>
                <w:sz w:val="18"/>
              </w:rPr>
              <w:t>no</w:t>
            </w:r>
          </w:p>
        </w:tc>
        <w:tc>
          <w:tcPr>
            <w:tcW w:type="dxa" w:w="1224"/>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left"/>
            </w:pPr>
            <w:r>
              <w:rPr>
                <w:rFonts w:ascii="Calibri" w:hAnsi="Calibri"/>
                <w:color w:val="2D3748"/>
                <w:sz w:val="18"/>
              </w:rPr>
              <w:t>no</w:t>
            </w:r>
          </w:p>
        </w:tc>
        <w:tc>
          <w:tcPr>
            <w:tcW w:type="dxa" w:w="1224"/>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2</w:t>
            </w:r>
          </w:p>
        </w:tc>
        <w:tc>
          <w:tcPr>
            <w:tcW w:type="dxa" w:w="1224"/>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0.001</w:t>
            </w:r>
          </w:p>
        </w:tc>
        <w:tc>
          <w:tcPr>
            <w:tcW w:type="dxa" w:w="1224"/>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89.28%</w:t>
            </w:r>
          </w:p>
        </w:tc>
        <w:tc>
          <w:tcPr>
            <w:tcW w:type="dxa" w:w="1224"/>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55.04%</w:t>
            </w:r>
          </w:p>
        </w:tc>
        <w:tc>
          <w:tcPr>
            <w:tcW w:type="dxa" w:w="1224"/>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left"/>
            </w:pPr>
            <w:r>
              <w:rPr>
                <w:rFonts w:ascii="Calibri" w:hAnsi="Calibri"/>
                <w:color w:val="2D3748"/>
                <w:sz w:val="18"/>
              </w:rPr>
            </w:r>
          </w:p>
        </w:tc>
      </w:tr>
      <w:tr>
        <w:tc>
          <w:tcPr>
            <w:tcW w:type="dxa" w:w="122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9</w:t>
            </w:r>
          </w:p>
        </w:tc>
        <w:tc>
          <w:tcPr>
            <w:tcW w:type="dxa" w:w="122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left"/>
            </w:pPr>
            <w:r>
              <w:rPr>
                <w:rFonts w:ascii="Calibri" w:hAnsi="Calibri"/>
                <w:color w:val="2D3748"/>
                <w:sz w:val="18"/>
              </w:rPr>
              <w:t>yes</w:t>
            </w:r>
          </w:p>
        </w:tc>
        <w:tc>
          <w:tcPr>
            <w:tcW w:type="dxa" w:w="122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left"/>
            </w:pPr>
            <w:r>
              <w:rPr>
                <w:rFonts w:ascii="Calibri" w:hAnsi="Calibri"/>
                <w:color w:val="2D3748"/>
                <w:sz w:val="18"/>
              </w:rPr>
              <w:t>no</w:t>
            </w:r>
          </w:p>
        </w:tc>
        <w:tc>
          <w:tcPr>
            <w:tcW w:type="dxa" w:w="122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3</w:t>
            </w:r>
          </w:p>
        </w:tc>
        <w:tc>
          <w:tcPr>
            <w:tcW w:type="dxa" w:w="122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0.001</w:t>
            </w:r>
          </w:p>
        </w:tc>
        <w:tc>
          <w:tcPr>
            <w:tcW w:type="dxa" w:w="122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88.85%</w:t>
            </w:r>
          </w:p>
        </w:tc>
        <w:tc>
          <w:tcPr>
            <w:tcW w:type="dxa" w:w="122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53.98%</w:t>
            </w:r>
          </w:p>
        </w:tc>
        <w:tc>
          <w:tcPr>
            <w:tcW w:type="dxa" w:w="122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left"/>
            </w:pPr>
            <w:r>
              <w:rPr>
                <w:rFonts w:ascii="Calibri" w:hAnsi="Calibri"/>
                <w:color w:val="2D3748"/>
                <w:sz w:val="18"/>
              </w:rPr>
            </w:r>
          </w:p>
        </w:tc>
      </w:tr>
      <w:tr>
        <w:tc>
          <w:tcPr>
            <w:tcW w:type="dxa" w:w="1224"/>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10</w:t>
            </w:r>
          </w:p>
        </w:tc>
        <w:tc>
          <w:tcPr>
            <w:tcW w:type="dxa" w:w="1224"/>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left"/>
            </w:pPr>
            <w:r>
              <w:rPr>
                <w:rFonts w:ascii="Calibri" w:hAnsi="Calibri"/>
                <w:color w:val="2D3748"/>
                <w:sz w:val="18"/>
              </w:rPr>
              <w:t>no</w:t>
            </w:r>
          </w:p>
        </w:tc>
        <w:tc>
          <w:tcPr>
            <w:tcW w:type="dxa" w:w="1224"/>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left"/>
            </w:pPr>
            <w:r>
              <w:rPr>
                <w:rFonts w:ascii="Calibri" w:hAnsi="Calibri"/>
                <w:color w:val="2D3748"/>
                <w:sz w:val="18"/>
              </w:rPr>
              <w:t>no</w:t>
            </w:r>
          </w:p>
        </w:tc>
        <w:tc>
          <w:tcPr>
            <w:tcW w:type="dxa" w:w="1224"/>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3</w:t>
            </w:r>
          </w:p>
        </w:tc>
        <w:tc>
          <w:tcPr>
            <w:tcW w:type="dxa" w:w="1224"/>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0.001</w:t>
            </w:r>
          </w:p>
        </w:tc>
        <w:tc>
          <w:tcPr>
            <w:tcW w:type="dxa" w:w="1224"/>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88.53%</w:t>
            </w:r>
          </w:p>
        </w:tc>
        <w:tc>
          <w:tcPr>
            <w:tcW w:type="dxa" w:w="1224"/>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55.09%</w:t>
            </w:r>
          </w:p>
        </w:tc>
        <w:tc>
          <w:tcPr>
            <w:tcW w:type="dxa" w:w="1224"/>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left"/>
            </w:pPr>
            <w:r>
              <w:rPr>
                <w:rFonts w:ascii="Calibri" w:hAnsi="Calibri"/>
                <w:color w:val="2D3748"/>
                <w:sz w:val="18"/>
              </w:rPr>
            </w:r>
          </w:p>
        </w:tc>
      </w:tr>
      <w:tr>
        <w:tc>
          <w:tcPr>
            <w:tcW w:type="dxa" w:w="122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11</w:t>
            </w:r>
          </w:p>
        </w:tc>
        <w:tc>
          <w:tcPr>
            <w:tcW w:type="dxa" w:w="122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left"/>
            </w:pPr>
            <w:r>
              <w:rPr>
                <w:rFonts w:ascii="Calibri" w:hAnsi="Calibri"/>
                <w:color w:val="2D3748"/>
                <w:sz w:val="18"/>
              </w:rPr>
              <w:t>yes</w:t>
            </w:r>
          </w:p>
        </w:tc>
        <w:tc>
          <w:tcPr>
            <w:tcW w:type="dxa" w:w="122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left"/>
            </w:pPr>
            <w:r>
              <w:rPr>
                <w:rFonts w:ascii="Calibri" w:hAnsi="Calibri"/>
                <w:color w:val="2D3748"/>
                <w:sz w:val="18"/>
              </w:rPr>
              <w:t>yes</w:t>
            </w:r>
          </w:p>
        </w:tc>
        <w:tc>
          <w:tcPr>
            <w:tcW w:type="dxa" w:w="122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1</w:t>
            </w:r>
          </w:p>
        </w:tc>
        <w:tc>
          <w:tcPr>
            <w:tcW w:type="dxa" w:w="122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0.1</w:t>
            </w:r>
          </w:p>
        </w:tc>
        <w:tc>
          <w:tcPr>
            <w:tcW w:type="dxa" w:w="122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88.12%</w:t>
            </w:r>
          </w:p>
        </w:tc>
        <w:tc>
          <w:tcPr>
            <w:tcW w:type="dxa" w:w="122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31.44%</w:t>
            </w:r>
          </w:p>
        </w:tc>
        <w:tc>
          <w:tcPr>
            <w:tcW w:type="dxa" w:w="122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left"/>
            </w:pPr>
            <w:r>
              <w:rPr>
                <w:rFonts w:ascii="Calibri" w:hAnsi="Calibri"/>
                <w:color w:val="2D3748"/>
                <w:sz w:val="18"/>
              </w:rPr>
            </w:r>
          </w:p>
        </w:tc>
      </w:tr>
      <w:tr>
        <w:tc>
          <w:tcPr>
            <w:tcW w:type="dxa" w:w="1224"/>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12</w:t>
            </w:r>
          </w:p>
        </w:tc>
        <w:tc>
          <w:tcPr>
            <w:tcW w:type="dxa" w:w="1224"/>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left"/>
            </w:pPr>
            <w:r>
              <w:rPr>
                <w:rFonts w:ascii="Calibri" w:hAnsi="Calibri"/>
                <w:color w:val="2D3748"/>
                <w:sz w:val="18"/>
              </w:rPr>
              <w:t>yes</w:t>
            </w:r>
          </w:p>
        </w:tc>
        <w:tc>
          <w:tcPr>
            <w:tcW w:type="dxa" w:w="1224"/>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left"/>
            </w:pPr>
            <w:r>
              <w:rPr>
                <w:rFonts w:ascii="Calibri" w:hAnsi="Calibri"/>
                <w:color w:val="2D3748"/>
                <w:sz w:val="18"/>
              </w:rPr>
              <w:t>no</w:t>
            </w:r>
          </w:p>
        </w:tc>
        <w:tc>
          <w:tcPr>
            <w:tcW w:type="dxa" w:w="1224"/>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1</w:t>
            </w:r>
          </w:p>
        </w:tc>
        <w:tc>
          <w:tcPr>
            <w:tcW w:type="dxa" w:w="1224"/>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0.1</w:t>
            </w:r>
          </w:p>
        </w:tc>
        <w:tc>
          <w:tcPr>
            <w:tcW w:type="dxa" w:w="1224"/>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88.11%</w:t>
            </w:r>
          </w:p>
        </w:tc>
        <w:tc>
          <w:tcPr>
            <w:tcW w:type="dxa" w:w="1224"/>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31.44%</w:t>
            </w:r>
          </w:p>
        </w:tc>
        <w:tc>
          <w:tcPr>
            <w:tcW w:type="dxa" w:w="1224"/>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left"/>
            </w:pPr>
            <w:r>
              <w:rPr>
                <w:rFonts w:ascii="Calibri" w:hAnsi="Calibri"/>
                <w:color w:val="2D3748"/>
                <w:sz w:val="18"/>
              </w:rPr>
            </w:r>
          </w:p>
        </w:tc>
      </w:tr>
      <w:tr>
        <w:tc>
          <w:tcPr>
            <w:tcW w:type="dxa" w:w="122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13</w:t>
            </w:r>
          </w:p>
        </w:tc>
        <w:tc>
          <w:tcPr>
            <w:tcW w:type="dxa" w:w="122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left"/>
            </w:pPr>
            <w:r>
              <w:rPr>
                <w:rFonts w:ascii="Calibri" w:hAnsi="Calibri"/>
                <w:color w:val="2D3748"/>
                <w:sz w:val="18"/>
              </w:rPr>
              <w:t>yes</w:t>
            </w:r>
          </w:p>
        </w:tc>
        <w:tc>
          <w:tcPr>
            <w:tcW w:type="dxa" w:w="122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left"/>
            </w:pPr>
            <w:r>
              <w:rPr>
                <w:rFonts w:ascii="Calibri" w:hAnsi="Calibri"/>
                <w:color w:val="2D3748"/>
                <w:sz w:val="18"/>
              </w:rPr>
              <w:t>no</w:t>
            </w:r>
          </w:p>
        </w:tc>
        <w:tc>
          <w:tcPr>
            <w:tcW w:type="dxa" w:w="122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5</w:t>
            </w:r>
          </w:p>
        </w:tc>
        <w:tc>
          <w:tcPr>
            <w:tcW w:type="dxa" w:w="122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0.01</w:t>
            </w:r>
          </w:p>
        </w:tc>
        <w:tc>
          <w:tcPr>
            <w:tcW w:type="dxa" w:w="122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87.78%</w:t>
            </w:r>
          </w:p>
        </w:tc>
        <w:tc>
          <w:tcPr>
            <w:tcW w:type="dxa" w:w="122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54.22%</w:t>
            </w:r>
          </w:p>
        </w:tc>
        <w:tc>
          <w:tcPr>
            <w:tcW w:type="dxa" w:w="122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left"/>
            </w:pPr>
            <w:r>
              <w:rPr>
                <w:rFonts w:ascii="Calibri" w:hAnsi="Calibri"/>
                <w:color w:val="2D3748"/>
                <w:sz w:val="18"/>
              </w:rPr>
            </w:r>
          </w:p>
        </w:tc>
      </w:tr>
      <w:tr>
        <w:tc>
          <w:tcPr>
            <w:tcW w:type="dxa" w:w="1224"/>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14</w:t>
            </w:r>
          </w:p>
        </w:tc>
        <w:tc>
          <w:tcPr>
            <w:tcW w:type="dxa" w:w="1224"/>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left"/>
            </w:pPr>
            <w:r>
              <w:rPr>
                <w:rFonts w:ascii="Calibri" w:hAnsi="Calibri"/>
                <w:color w:val="2D3748"/>
                <w:sz w:val="18"/>
              </w:rPr>
              <w:t>no</w:t>
            </w:r>
          </w:p>
        </w:tc>
        <w:tc>
          <w:tcPr>
            <w:tcW w:type="dxa" w:w="1224"/>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left"/>
            </w:pPr>
            <w:r>
              <w:rPr>
                <w:rFonts w:ascii="Calibri" w:hAnsi="Calibri"/>
                <w:color w:val="2D3748"/>
                <w:sz w:val="18"/>
              </w:rPr>
              <w:t>yes</w:t>
            </w:r>
          </w:p>
        </w:tc>
        <w:tc>
          <w:tcPr>
            <w:tcW w:type="dxa" w:w="1224"/>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1</w:t>
            </w:r>
          </w:p>
        </w:tc>
        <w:tc>
          <w:tcPr>
            <w:tcW w:type="dxa" w:w="1224"/>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0.001</w:t>
            </w:r>
          </w:p>
        </w:tc>
        <w:tc>
          <w:tcPr>
            <w:tcW w:type="dxa" w:w="1224"/>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87.49%</w:t>
            </w:r>
          </w:p>
        </w:tc>
        <w:tc>
          <w:tcPr>
            <w:tcW w:type="dxa" w:w="1224"/>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26.70%</w:t>
            </w:r>
          </w:p>
        </w:tc>
        <w:tc>
          <w:tcPr>
            <w:tcW w:type="dxa" w:w="1224"/>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left"/>
            </w:pPr>
            <w:r>
              <w:rPr>
                <w:rFonts w:ascii="Calibri" w:hAnsi="Calibri"/>
                <w:color w:val="2D3748"/>
                <w:sz w:val="18"/>
              </w:rPr>
            </w:r>
          </w:p>
        </w:tc>
      </w:tr>
      <w:tr>
        <w:tc>
          <w:tcPr>
            <w:tcW w:type="dxa" w:w="122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15</w:t>
            </w:r>
          </w:p>
        </w:tc>
        <w:tc>
          <w:tcPr>
            <w:tcW w:type="dxa" w:w="122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left"/>
            </w:pPr>
            <w:r>
              <w:rPr>
                <w:rFonts w:ascii="Calibri" w:hAnsi="Calibri"/>
                <w:color w:val="2D3748"/>
                <w:sz w:val="18"/>
              </w:rPr>
              <w:t>no</w:t>
            </w:r>
          </w:p>
        </w:tc>
        <w:tc>
          <w:tcPr>
            <w:tcW w:type="dxa" w:w="122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left"/>
            </w:pPr>
            <w:r>
              <w:rPr>
                <w:rFonts w:ascii="Calibri" w:hAnsi="Calibri"/>
                <w:color w:val="2D3748"/>
                <w:sz w:val="18"/>
              </w:rPr>
              <w:t>no</w:t>
            </w:r>
          </w:p>
        </w:tc>
        <w:tc>
          <w:tcPr>
            <w:tcW w:type="dxa" w:w="122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1</w:t>
            </w:r>
          </w:p>
        </w:tc>
        <w:tc>
          <w:tcPr>
            <w:tcW w:type="dxa" w:w="122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0.001</w:t>
            </w:r>
          </w:p>
        </w:tc>
        <w:tc>
          <w:tcPr>
            <w:tcW w:type="dxa" w:w="122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87.49%</w:t>
            </w:r>
          </w:p>
        </w:tc>
        <w:tc>
          <w:tcPr>
            <w:tcW w:type="dxa" w:w="122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26.70%</w:t>
            </w:r>
          </w:p>
        </w:tc>
        <w:tc>
          <w:tcPr>
            <w:tcW w:type="dxa" w:w="122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left"/>
            </w:pPr>
            <w:r>
              <w:rPr>
                <w:rFonts w:ascii="Calibri" w:hAnsi="Calibri"/>
                <w:color w:val="2D3748"/>
                <w:sz w:val="18"/>
              </w:rPr>
            </w:r>
          </w:p>
        </w:tc>
      </w:tr>
      <w:tr>
        <w:tc>
          <w:tcPr>
            <w:tcW w:type="dxa" w:w="1224"/>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16</w:t>
            </w:r>
          </w:p>
        </w:tc>
        <w:tc>
          <w:tcPr>
            <w:tcW w:type="dxa" w:w="1224"/>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left"/>
            </w:pPr>
            <w:r>
              <w:rPr>
                <w:rFonts w:ascii="Calibri" w:hAnsi="Calibri"/>
                <w:color w:val="2D3748"/>
                <w:sz w:val="18"/>
              </w:rPr>
              <w:t>no</w:t>
            </w:r>
          </w:p>
        </w:tc>
        <w:tc>
          <w:tcPr>
            <w:tcW w:type="dxa" w:w="1224"/>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left"/>
            </w:pPr>
            <w:r>
              <w:rPr>
                <w:rFonts w:ascii="Calibri" w:hAnsi="Calibri"/>
                <w:color w:val="2D3748"/>
                <w:sz w:val="18"/>
              </w:rPr>
              <w:t>no</w:t>
            </w:r>
          </w:p>
        </w:tc>
        <w:tc>
          <w:tcPr>
            <w:tcW w:type="dxa" w:w="1224"/>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5</w:t>
            </w:r>
          </w:p>
        </w:tc>
        <w:tc>
          <w:tcPr>
            <w:tcW w:type="dxa" w:w="1224"/>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0.001</w:t>
            </w:r>
          </w:p>
        </w:tc>
        <w:tc>
          <w:tcPr>
            <w:tcW w:type="dxa" w:w="1224"/>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87.00%</w:t>
            </w:r>
          </w:p>
        </w:tc>
        <w:tc>
          <w:tcPr>
            <w:tcW w:type="dxa" w:w="1224"/>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54.45%</w:t>
            </w:r>
          </w:p>
        </w:tc>
        <w:tc>
          <w:tcPr>
            <w:tcW w:type="dxa" w:w="1224"/>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left"/>
            </w:pPr>
            <w:r>
              <w:rPr>
                <w:rFonts w:ascii="Calibri" w:hAnsi="Calibri"/>
                <w:color w:val="2D3748"/>
                <w:sz w:val="18"/>
              </w:rPr>
            </w:r>
          </w:p>
        </w:tc>
      </w:tr>
    </w:tbl>
    <w:p>
      <w:pPr>
        <w:spacing w:after="120"/>
      </w:pPr>
    </w:p>
    <w:p>
      <w:pPr>
        <w:spacing w:after="80" w:line="276" w:lineRule="auto"/>
      </w:pPr>
      <w:r>
        <w:rPr>
          <w:rFonts w:ascii="Calibri" w:hAnsi="Calibri"/>
          <w:color w:val="2D3748"/>
          <w:sz w:val="21"/>
        </w:rPr>
        <w:t>Shape-based buckets gave the largest gain. Development accuracy rose from 89.49% (v1) to 91.55% (v2), and unknown-word accuracy from about 54% to about 75%.</w:t>
      </w:r>
    </w:p>
    <w:p>
      <w:pPr>
        <w:spacing w:after="80" w:line="276" w:lineRule="auto"/>
      </w:pPr>
      <w:r>
        <w:rPr>
          <w:rFonts w:ascii="Calibri" w:hAnsi="Calibri"/>
          <w:color w:val="2D3748"/>
          <w:sz w:val="21"/>
        </w:rPr>
        <w:t>Turning lowercasing off on its own did not help (89.28% against 89.49%). Splitting 'Apple' and 'apple' appears to dilute the counts of known words. Keeping lowercasing and getting the capitalisation clue through the &lt;UNK-CAP&gt; bucket worked best.</w:t>
      </w:r>
    </w:p>
    <w:p>
      <w:pPr>
        <w:spacing w:after="80" w:line="276" w:lineRule="auto"/>
      </w:pPr>
      <w:r>
        <w:rPr>
          <w:rFonts w:ascii="Calibri" w:hAnsi="Calibri"/>
          <w:color w:val="2D3748"/>
          <w:sz w:val="21"/>
        </w:rPr>
        <w:t>A rarity threshold of 1 was clearly harmful (unknown-word accuracy of 27% to 31%). With this setting no training word is ever treated as unknown, so the unknown-word rows learn nothing. A threshold of 2 was best; 3 and 5 were worse.</w:t>
      </w:r>
    </w:p>
    <w:p>
      <w:pPr>
        <w:keepNext/>
        <w:spacing w:before="200" w:after="60"/>
      </w:pPr>
      <w:r>
        <w:rPr>
          <w:rFonts w:ascii="Calibri" w:hAnsi="Calibri"/>
          <w:b/>
          <w:color w:val="2B6CB0"/>
          <w:sz w:val="25"/>
        </w:rPr>
        <w:t>6.2 Test-set results</w:t>
      </w:r>
    </w:p>
    <w:p>
      <w:pPr>
        <w:keepNext/>
        <w:spacing w:before="160" w:after="60"/>
      </w:pPr>
      <w:r>
        <w:rPr>
          <w:rFonts w:ascii="Calibri" w:hAnsi="Calibri"/>
          <w:b/>
          <w:color w:val="1B365D"/>
          <w:sz w:val="20"/>
        </w:rPr>
        <w:t>Table 5. Test-set results for the two HMM versions.</w:t>
      </w:r>
    </w:p>
    <w:tbl>
      <w:tblPr>
        <w:tblW w:type="auto" w:w="0"/>
        <w:jc w:val="center"/>
        <w:tblLayout w:type="fixed"/>
        <w:tblLook w:firstColumn="1" w:firstRow="1" w:lastColumn="0" w:lastRow="0" w:noHBand="0" w:noVBand="1" w:val="04A0"/>
      </w:tblPr>
      <w:tblGrid>
        <w:gridCol w:w="3600"/>
        <w:gridCol w:w="2016"/>
        <w:gridCol w:w="2016"/>
        <w:gridCol w:w="2160"/>
      </w:tblGrid>
      <w:tr>
        <w:trPr>
          <w:tblHeader/>
        </w:trPr>
        <w:tc>
          <w:tcPr>
            <w:tcW w:type="dxa" w:w="2448"/>
            <w:tcMar>
              <w:top w:w="120" w:type="dxa"/>
              <w:bottom w:w="120" w:type="dxa"/>
              <w:left w:w="140" w:type="dxa"/>
              <w:right w:w="140" w:type="dxa"/>
            </w:tcMar>
            <w:shd w:fill="1B365D"/>
            <w:tcBorders>
              <w:top w:val="single" w:sz="4" w:space="0" w:color="1B365D"/>
              <w:bottom w:val="single" w:sz="4" w:space="0" w:color="1B365D"/>
              <w:left w:val="nil"/>
              <w:right w:val="nil"/>
            </w:tcBorders>
          </w:tcPr>
          <w:p>
            <w:pPr>
              <w:spacing w:after="0"/>
              <w:jc w:val="left"/>
            </w:pPr>
            <w:r>
              <w:rPr>
                <w:rFonts w:ascii="Calibri" w:hAnsi="Calibri"/>
                <w:b/>
                <w:color w:val="FFFFFF"/>
                <w:sz w:val="19"/>
              </w:rPr>
              <w:t>Metric</w:t>
            </w:r>
          </w:p>
        </w:tc>
        <w:tc>
          <w:tcPr>
            <w:tcW w:type="dxa" w:w="2448"/>
            <w:tcMar>
              <w:top w:w="120" w:type="dxa"/>
              <w:bottom w:w="120" w:type="dxa"/>
              <w:left w:w="140" w:type="dxa"/>
              <w:right w:w="140" w:type="dxa"/>
            </w:tcMar>
            <w:shd w:fill="1B365D"/>
            <w:tcBorders>
              <w:top w:val="single" w:sz="4" w:space="0" w:color="1B365D"/>
              <w:bottom w:val="single" w:sz="4" w:space="0" w:color="1B365D"/>
              <w:left w:val="nil"/>
              <w:right w:val="nil"/>
            </w:tcBorders>
          </w:tcPr>
          <w:p>
            <w:pPr>
              <w:spacing w:after="0"/>
              <w:jc w:val="right"/>
            </w:pPr>
            <w:r>
              <w:rPr>
                <w:rFonts w:ascii="Calibri" w:hAnsi="Calibri"/>
                <w:b/>
                <w:color w:val="FFFFFF"/>
                <w:sz w:val="19"/>
              </w:rPr>
              <w:t>HMM v1</w:t>
            </w:r>
          </w:p>
        </w:tc>
        <w:tc>
          <w:tcPr>
            <w:tcW w:type="dxa" w:w="2448"/>
            <w:tcMar>
              <w:top w:w="120" w:type="dxa"/>
              <w:bottom w:w="120" w:type="dxa"/>
              <w:left w:w="140" w:type="dxa"/>
              <w:right w:w="140" w:type="dxa"/>
            </w:tcMar>
            <w:shd w:fill="1B365D"/>
            <w:tcBorders>
              <w:top w:val="single" w:sz="4" w:space="0" w:color="1B365D"/>
              <w:bottom w:val="single" w:sz="4" w:space="0" w:color="1B365D"/>
              <w:left w:val="nil"/>
              <w:right w:val="nil"/>
            </w:tcBorders>
          </w:tcPr>
          <w:p>
            <w:pPr>
              <w:spacing w:after="0"/>
              <w:jc w:val="right"/>
            </w:pPr>
            <w:r>
              <w:rPr>
                <w:rFonts w:ascii="Calibri" w:hAnsi="Calibri"/>
                <w:b/>
                <w:color w:val="FFFFFF"/>
                <w:sz w:val="19"/>
              </w:rPr>
              <w:t>HMM v2</w:t>
            </w:r>
          </w:p>
        </w:tc>
        <w:tc>
          <w:tcPr>
            <w:tcW w:type="dxa" w:w="2448"/>
            <w:tcMar>
              <w:top w:w="120" w:type="dxa"/>
              <w:bottom w:w="120" w:type="dxa"/>
              <w:left w:w="140" w:type="dxa"/>
              <w:right w:w="140" w:type="dxa"/>
            </w:tcMar>
            <w:shd w:fill="1B365D"/>
            <w:tcBorders>
              <w:top w:val="single" w:sz="4" w:space="0" w:color="1B365D"/>
              <w:bottom w:val="single" w:sz="4" w:space="0" w:color="1B365D"/>
              <w:left w:val="nil"/>
              <w:right w:val="nil"/>
            </w:tcBorders>
          </w:tcPr>
          <w:p>
            <w:pPr>
              <w:spacing w:after="0"/>
              <w:jc w:val="right"/>
            </w:pPr>
            <w:r>
              <w:rPr>
                <w:rFonts w:ascii="Calibri" w:hAnsi="Calibri"/>
                <w:b/>
                <w:color w:val="FFFFFF"/>
                <w:sz w:val="19"/>
              </w:rPr>
              <w:t>Change</w:t>
            </w:r>
          </w:p>
        </w:tc>
      </w:tr>
      <w:tr>
        <w:tc>
          <w:tcPr>
            <w:tcW w:type="dxa" w:w="244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left"/>
            </w:pPr>
            <w:r>
              <w:rPr>
                <w:rFonts w:ascii="Calibri" w:hAnsi="Calibri"/>
                <w:color w:val="2D3748"/>
                <w:sz w:val="18"/>
              </w:rPr>
              <w:t>Token accuracy</w:t>
            </w:r>
          </w:p>
        </w:tc>
        <w:tc>
          <w:tcPr>
            <w:tcW w:type="dxa" w:w="244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90.03%</w:t>
            </w:r>
          </w:p>
        </w:tc>
        <w:tc>
          <w:tcPr>
            <w:tcW w:type="dxa" w:w="244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92.24%</w:t>
            </w:r>
          </w:p>
        </w:tc>
        <w:tc>
          <w:tcPr>
            <w:tcW w:type="dxa" w:w="244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+2.22 pp</w:t>
            </w:r>
          </w:p>
        </w:tc>
      </w:tr>
      <w:tr>
        <w:tc>
          <w:tcPr>
            <w:tcW w:type="dxa" w:w="244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left"/>
            </w:pPr>
            <w:r>
              <w:rPr>
                <w:rFonts w:ascii="Calibri" w:hAnsi="Calibri"/>
                <w:color w:val="2D3748"/>
                <w:sz w:val="18"/>
              </w:rPr>
              <w:t>Macro F1</w:t>
            </w:r>
          </w:p>
        </w:tc>
        <w:tc>
          <w:tcPr>
            <w:tcW w:type="dxa" w:w="244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83.04%</w:t>
            </w:r>
          </w:p>
        </w:tc>
        <w:tc>
          <w:tcPr>
            <w:tcW w:type="dxa" w:w="244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85.53%</w:t>
            </w:r>
          </w:p>
        </w:tc>
        <w:tc>
          <w:tcPr>
            <w:tcW w:type="dxa" w:w="244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+2.49 pp</w:t>
            </w:r>
          </w:p>
        </w:tc>
      </w:tr>
      <w:tr>
        <w:tc>
          <w:tcPr>
            <w:tcW w:type="dxa" w:w="244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left"/>
            </w:pPr>
            <w:r>
              <w:rPr>
                <w:rFonts w:ascii="Calibri" w:hAnsi="Calibri"/>
                <w:color w:val="2D3748"/>
                <w:sz w:val="18"/>
              </w:rPr>
              <w:t>Known-word accuracy</w:t>
            </w:r>
          </w:p>
        </w:tc>
        <w:tc>
          <w:tcPr>
            <w:tcW w:type="dxa" w:w="244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92.99%</w:t>
            </w:r>
          </w:p>
        </w:tc>
        <w:tc>
          <w:tcPr>
            <w:tcW w:type="dxa" w:w="244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93.58%</w:t>
            </w:r>
          </w:p>
        </w:tc>
        <w:tc>
          <w:tcPr>
            <w:tcW w:type="dxa" w:w="244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+0.59 pp</w:t>
            </w:r>
          </w:p>
        </w:tc>
      </w:tr>
      <w:tr>
        <w:tc>
          <w:tcPr>
            <w:tcW w:type="dxa" w:w="244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left"/>
            </w:pPr>
            <w:r>
              <w:rPr>
                <w:rFonts w:ascii="Calibri" w:hAnsi="Calibri"/>
                <w:color w:val="2D3748"/>
                <w:sz w:val="18"/>
              </w:rPr>
              <w:t>Unknown-word accuracy</w:t>
            </w:r>
          </w:p>
        </w:tc>
        <w:tc>
          <w:tcPr>
            <w:tcW w:type="dxa" w:w="244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53.51%</w:t>
            </w:r>
          </w:p>
        </w:tc>
        <w:tc>
          <w:tcPr>
            <w:tcW w:type="dxa" w:w="244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75.72%</w:t>
            </w:r>
          </w:p>
        </w:tc>
        <w:tc>
          <w:tcPr>
            <w:tcW w:type="dxa" w:w="244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+22.21 pp</w:t>
            </w:r>
          </w:p>
        </w:tc>
      </w:tr>
    </w:tbl>
    <w:p>
      <w:pPr>
        <w:spacing w:after="120"/>
      </w:pPr>
    </w:p>
    <w:p>
      <w:pPr>
        <w:spacing w:after="80" w:line="276" w:lineRule="auto"/>
      </w:pPr>
      <w:r>
        <w:rPr>
          <w:rFonts w:ascii="Calibri" w:hAnsi="Calibri"/>
          <w:color w:val="2D3748"/>
          <w:sz w:val="21"/>
        </w:rPr>
        <w:t>HMM v2 improves every metric. Known-word accuracy changes little (92.99% to 93.58%), so almost all of the gain comes from unknown words, where accuracy rises by 22.2 points. The development gain (2.06 points) and the test gain (2.22 points) are very similar.</w:t>
      </w:r>
    </w:p>
    <w:p>
      <w:pPr>
        <w:keepNext/>
        <w:spacing w:before="200" w:after="60"/>
      </w:pPr>
      <w:r>
        <w:rPr>
          <w:rFonts w:ascii="Calibri" w:hAnsi="Calibri"/>
          <w:b/>
          <w:color w:val="2B6CB0"/>
          <w:sz w:val="25"/>
        </w:rPr>
        <w:t>6.3 Per-tag results</w:t>
      </w:r>
    </w:p>
    <w:p>
      <w:pPr>
        <w:keepNext/>
        <w:spacing w:before="160" w:after="60"/>
      </w:pPr>
      <w:r>
        <w:rPr>
          <w:rFonts w:ascii="Calibri" w:hAnsi="Calibri"/>
          <w:b/>
          <w:color w:val="1B365D"/>
          <w:sz w:val="20"/>
        </w:rPr>
        <w:t>Table 6. Per-tag F1 on the test set.</w:t>
      </w:r>
    </w:p>
    <w:tbl>
      <w:tblPr>
        <w:tblW w:type="auto" w:w="0"/>
        <w:jc w:val="center"/>
        <w:tblLayout w:type="fixed"/>
        <w:tblLook w:firstColumn="1" w:firstRow="1" w:lastColumn="0" w:lastRow="0" w:noHBand="0" w:noVBand="1" w:val="04A0"/>
      </w:tblPr>
      <w:tblGrid>
        <w:gridCol w:w="2160"/>
        <w:gridCol w:w="2016"/>
        <w:gridCol w:w="1872"/>
        <w:gridCol w:w="1872"/>
        <w:gridCol w:w="1872"/>
      </w:tblGrid>
      <w:tr>
        <w:trPr>
          <w:tblHeader/>
        </w:trPr>
        <w:tc>
          <w:tcPr>
            <w:tcW w:type="dxa" w:w="1958"/>
            <w:tcMar>
              <w:top w:w="120" w:type="dxa"/>
              <w:bottom w:w="120" w:type="dxa"/>
              <w:left w:w="140" w:type="dxa"/>
              <w:right w:w="140" w:type="dxa"/>
            </w:tcMar>
            <w:shd w:fill="1B365D"/>
            <w:tcBorders>
              <w:top w:val="single" w:sz="4" w:space="0" w:color="1B365D"/>
              <w:bottom w:val="single" w:sz="4" w:space="0" w:color="1B365D"/>
              <w:left w:val="nil"/>
              <w:right w:val="nil"/>
            </w:tcBorders>
          </w:tcPr>
          <w:p>
            <w:pPr>
              <w:spacing w:after="0"/>
              <w:jc w:val="left"/>
            </w:pPr>
            <w:r>
              <w:rPr>
                <w:rFonts w:ascii="Calibri" w:hAnsi="Calibri"/>
                <w:b/>
                <w:color w:val="FFFFFF"/>
                <w:sz w:val="19"/>
              </w:rPr>
              <w:t>Tag</w:t>
            </w:r>
          </w:p>
        </w:tc>
        <w:tc>
          <w:tcPr>
            <w:tcW w:type="dxa" w:w="1958"/>
            <w:tcMar>
              <w:top w:w="120" w:type="dxa"/>
              <w:bottom w:w="120" w:type="dxa"/>
              <w:left w:w="140" w:type="dxa"/>
              <w:right w:w="140" w:type="dxa"/>
            </w:tcMar>
            <w:shd w:fill="1B365D"/>
            <w:tcBorders>
              <w:top w:val="single" w:sz="4" w:space="0" w:color="1B365D"/>
              <w:bottom w:val="single" w:sz="4" w:space="0" w:color="1B365D"/>
              <w:left w:val="nil"/>
              <w:right w:val="nil"/>
            </w:tcBorders>
          </w:tcPr>
          <w:p>
            <w:pPr>
              <w:spacing w:after="0"/>
              <w:jc w:val="right"/>
            </w:pPr>
            <w:r>
              <w:rPr>
                <w:rFonts w:ascii="Calibri" w:hAnsi="Calibri"/>
                <w:b/>
                <w:color w:val="FFFFFF"/>
                <w:sz w:val="19"/>
              </w:rPr>
              <w:t>Test tokens</w:t>
            </w:r>
          </w:p>
        </w:tc>
        <w:tc>
          <w:tcPr>
            <w:tcW w:type="dxa" w:w="1958"/>
            <w:tcMar>
              <w:top w:w="120" w:type="dxa"/>
              <w:bottom w:w="120" w:type="dxa"/>
              <w:left w:w="140" w:type="dxa"/>
              <w:right w:w="140" w:type="dxa"/>
            </w:tcMar>
            <w:shd w:fill="1B365D"/>
            <w:tcBorders>
              <w:top w:val="single" w:sz="4" w:space="0" w:color="1B365D"/>
              <w:bottom w:val="single" w:sz="4" w:space="0" w:color="1B365D"/>
              <w:left w:val="nil"/>
              <w:right w:val="nil"/>
            </w:tcBorders>
          </w:tcPr>
          <w:p>
            <w:pPr>
              <w:spacing w:after="0"/>
              <w:jc w:val="right"/>
            </w:pPr>
            <w:r>
              <w:rPr>
                <w:rFonts w:ascii="Calibri" w:hAnsi="Calibri"/>
                <w:b/>
                <w:color w:val="FFFFFF"/>
                <w:sz w:val="19"/>
              </w:rPr>
              <w:t>F1 v1</w:t>
            </w:r>
          </w:p>
        </w:tc>
        <w:tc>
          <w:tcPr>
            <w:tcW w:type="dxa" w:w="1958"/>
            <w:tcMar>
              <w:top w:w="120" w:type="dxa"/>
              <w:bottom w:w="120" w:type="dxa"/>
              <w:left w:w="140" w:type="dxa"/>
              <w:right w:w="140" w:type="dxa"/>
            </w:tcMar>
            <w:shd w:fill="1B365D"/>
            <w:tcBorders>
              <w:top w:val="single" w:sz="4" w:space="0" w:color="1B365D"/>
              <w:bottom w:val="single" w:sz="4" w:space="0" w:color="1B365D"/>
              <w:left w:val="nil"/>
              <w:right w:val="nil"/>
            </w:tcBorders>
          </w:tcPr>
          <w:p>
            <w:pPr>
              <w:spacing w:after="0"/>
              <w:jc w:val="right"/>
            </w:pPr>
            <w:r>
              <w:rPr>
                <w:rFonts w:ascii="Calibri" w:hAnsi="Calibri"/>
                <w:b/>
                <w:color w:val="FFFFFF"/>
                <w:sz w:val="19"/>
              </w:rPr>
              <w:t>F1 v2</w:t>
            </w:r>
          </w:p>
        </w:tc>
        <w:tc>
          <w:tcPr>
            <w:tcW w:type="dxa" w:w="1958"/>
            <w:tcMar>
              <w:top w:w="120" w:type="dxa"/>
              <w:bottom w:w="120" w:type="dxa"/>
              <w:left w:w="140" w:type="dxa"/>
              <w:right w:w="140" w:type="dxa"/>
            </w:tcMar>
            <w:shd w:fill="1B365D"/>
            <w:tcBorders>
              <w:top w:val="single" w:sz="4" w:space="0" w:color="1B365D"/>
              <w:bottom w:val="single" w:sz="4" w:space="0" w:color="1B365D"/>
              <w:left w:val="nil"/>
              <w:right w:val="nil"/>
            </w:tcBorders>
          </w:tcPr>
          <w:p>
            <w:pPr>
              <w:spacing w:after="0"/>
              <w:jc w:val="right"/>
            </w:pPr>
            <w:r>
              <w:rPr>
                <w:rFonts w:ascii="Calibri" w:hAnsi="Calibri"/>
                <w:b/>
                <w:color w:val="FFFFFF"/>
                <w:sz w:val="19"/>
              </w:rPr>
              <w:t>Change</w:t>
            </w:r>
          </w:p>
        </w:tc>
      </w:tr>
      <w:tr>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left"/>
            </w:pPr>
            <w:r>
              <w:rPr>
                <w:rFonts w:ascii="Calibri" w:hAnsi="Calibri"/>
                <w:color w:val="2D3748"/>
                <w:sz w:val="18"/>
              </w:rPr>
              <w:t>CCONJ</w:t>
            </w:r>
          </w:p>
        </w:tc>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736</w:t>
            </w:r>
          </w:p>
        </w:tc>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0.993</w:t>
            </w:r>
          </w:p>
        </w:tc>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0.993</w:t>
            </w:r>
          </w:p>
        </w:tc>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+0.000</w:t>
            </w:r>
          </w:p>
        </w:tc>
      </w:tr>
      <w:tr>
        <w:tc>
          <w:tcPr>
            <w:tcW w:type="dxa" w:w="195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left"/>
            </w:pPr>
            <w:r>
              <w:rPr>
                <w:rFonts w:ascii="Calibri" w:hAnsi="Calibri"/>
                <w:color w:val="2D3748"/>
                <w:sz w:val="18"/>
              </w:rPr>
              <w:t>PUNCT</w:t>
            </w:r>
          </w:p>
        </w:tc>
        <w:tc>
          <w:tcPr>
            <w:tcW w:type="dxa" w:w="195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3,096</w:t>
            </w:r>
          </w:p>
        </w:tc>
        <w:tc>
          <w:tcPr>
            <w:tcW w:type="dxa" w:w="195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0.987</w:t>
            </w:r>
          </w:p>
        </w:tc>
        <w:tc>
          <w:tcPr>
            <w:tcW w:type="dxa" w:w="195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0.991</w:t>
            </w:r>
          </w:p>
        </w:tc>
        <w:tc>
          <w:tcPr>
            <w:tcW w:type="dxa" w:w="195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+0.004</w:t>
            </w:r>
          </w:p>
        </w:tc>
      </w:tr>
      <w:tr>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left"/>
            </w:pPr>
            <w:r>
              <w:rPr>
                <w:rFonts w:ascii="Calibri" w:hAnsi="Calibri"/>
                <w:color w:val="2D3748"/>
                <w:sz w:val="18"/>
              </w:rPr>
              <w:t>DET</w:t>
            </w:r>
          </w:p>
        </w:tc>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1,897</w:t>
            </w:r>
          </w:p>
        </w:tc>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0.975</w:t>
            </w:r>
          </w:p>
        </w:tc>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0.976</w:t>
            </w:r>
          </w:p>
        </w:tc>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+0.001</w:t>
            </w:r>
          </w:p>
        </w:tc>
      </w:tr>
      <w:tr>
        <w:tc>
          <w:tcPr>
            <w:tcW w:type="dxa" w:w="195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left"/>
            </w:pPr>
            <w:r>
              <w:rPr>
                <w:rFonts w:ascii="Calibri" w:hAnsi="Calibri"/>
                <w:color w:val="2D3748"/>
                <w:sz w:val="18"/>
              </w:rPr>
              <w:t>PRON</w:t>
            </w:r>
          </w:p>
        </w:tc>
        <w:tc>
          <w:tcPr>
            <w:tcW w:type="dxa" w:w="195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2,164</w:t>
            </w:r>
          </w:p>
        </w:tc>
        <w:tc>
          <w:tcPr>
            <w:tcW w:type="dxa" w:w="195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0.971</w:t>
            </w:r>
          </w:p>
        </w:tc>
        <w:tc>
          <w:tcPr>
            <w:tcW w:type="dxa" w:w="195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0.971</w:t>
            </w:r>
          </w:p>
        </w:tc>
        <w:tc>
          <w:tcPr>
            <w:tcW w:type="dxa" w:w="195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+0.000</w:t>
            </w:r>
          </w:p>
        </w:tc>
      </w:tr>
      <w:tr>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left"/>
            </w:pPr>
            <w:r>
              <w:rPr>
                <w:rFonts w:ascii="Calibri" w:hAnsi="Calibri"/>
                <w:color w:val="2D3748"/>
                <w:sz w:val="18"/>
              </w:rPr>
              <w:t>AUX</w:t>
            </w:r>
          </w:p>
        </w:tc>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1,543</w:t>
            </w:r>
          </w:p>
        </w:tc>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0.949</w:t>
            </w:r>
          </w:p>
        </w:tc>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0.948</w:t>
            </w:r>
          </w:p>
        </w:tc>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-0.002</w:t>
            </w:r>
          </w:p>
        </w:tc>
      </w:tr>
      <w:tr>
        <w:tc>
          <w:tcPr>
            <w:tcW w:type="dxa" w:w="195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left"/>
            </w:pPr>
            <w:r>
              <w:rPr>
                <w:rFonts w:ascii="Calibri" w:hAnsi="Calibri"/>
                <w:color w:val="2D3748"/>
                <w:sz w:val="18"/>
              </w:rPr>
              <w:t>PART</w:t>
            </w:r>
          </w:p>
        </w:tc>
        <w:tc>
          <w:tcPr>
            <w:tcW w:type="dxa" w:w="195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649</w:t>
            </w:r>
          </w:p>
        </w:tc>
        <w:tc>
          <w:tcPr>
            <w:tcW w:type="dxa" w:w="195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0.939</w:t>
            </w:r>
          </w:p>
        </w:tc>
        <w:tc>
          <w:tcPr>
            <w:tcW w:type="dxa" w:w="195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0.942</w:t>
            </w:r>
          </w:p>
        </w:tc>
        <w:tc>
          <w:tcPr>
            <w:tcW w:type="dxa" w:w="195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+0.003</w:t>
            </w:r>
          </w:p>
        </w:tc>
      </w:tr>
      <w:tr>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left"/>
            </w:pPr>
            <w:r>
              <w:rPr>
                <w:rFonts w:ascii="Calibri" w:hAnsi="Calibri"/>
                <w:color w:val="2D3748"/>
                <w:sz w:val="18"/>
              </w:rPr>
              <w:t>ADP</w:t>
            </w:r>
          </w:p>
        </w:tc>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2,025</w:t>
            </w:r>
          </w:p>
        </w:tc>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0.931</w:t>
            </w:r>
          </w:p>
        </w:tc>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0.936</w:t>
            </w:r>
          </w:p>
        </w:tc>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+0.004</w:t>
            </w:r>
          </w:p>
        </w:tc>
      </w:tr>
      <w:tr>
        <w:tc>
          <w:tcPr>
            <w:tcW w:type="dxa" w:w="195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left"/>
            </w:pPr>
            <w:r>
              <w:rPr>
                <w:rFonts w:ascii="Calibri" w:hAnsi="Calibri"/>
                <w:color w:val="2D3748"/>
                <w:sz w:val="18"/>
              </w:rPr>
              <w:t>NUM</w:t>
            </w:r>
          </w:p>
        </w:tc>
        <w:tc>
          <w:tcPr>
            <w:tcW w:type="dxa" w:w="195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542</w:t>
            </w:r>
          </w:p>
        </w:tc>
        <w:tc>
          <w:tcPr>
            <w:tcW w:type="dxa" w:w="195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0.711</w:t>
            </w:r>
          </w:p>
        </w:tc>
        <w:tc>
          <w:tcPr>
            <w:tcW w:type="dxa" w:w="195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0.918</w:t>
            </w:r>
          </w:p>
        </w:tc>
        <w:tc>
          <w:tcPr>
            <w:tcW w:type="dxa" w:w="195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+0.206</w:t>
            </w:r>
          </w:p>
        </w:tc>
      </w:tr>
      <w:tr>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left"/>
            </w:pPr>
            <w:r>
              <w:rPr>
                <w:rFonts w:ascii="Calibri" w:hAnsi="Calibri"/>
                <w:color w:val="2D3748"/>
                <w:sz w:val="18"/>
              </w:rPr>
              <w:t>VERB</w:t>
            </w:r>
          </w:p>
        </w:tc>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2,605</w:t>
            </w:r>
          </w:p>
        </w:tc>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0.893</w:t>
            </w:r>
          </w:p>
        </w:tc>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0.913</w:t>
            </w:r>
          </w:p>
        </w:tc>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+0.020</w:t>
            </w:r>
          </w:p>
        </w:tc>
      </w:tr>
      <w:tr>
        <w:tc>
          <w:tcPr>
            <w:tcW w:type="dxa" w:w="195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left"/>
            </w:pPr>
            <w:r>
              <w:rPr>
                <w:rFonts w:ascii="Calibri" w:hAnsi="Calibri"/>
                <w:color w:val="2D3748"/>
                <w:sz w:val="18"/>
              </w:rPr>
              <w:t>NOUN</w:t>
            </w:r>
          </w:p>
        </w:tc>
        <w:tc>
          <w:tcPr>
            <w:tcW w:type="dxa" w:w="195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4,123</w:t>
            </w:r>
          </w:p>
        </w:tc>
        <w:tc>
          <w:tcPr>
            <w:tcW w:type="dxa" w:w="195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0.869</w:t>
            </w:r>
          </w:p>
        </w:tc>
        <w:tc>
          <w:tcPr>
            <w:tcW w:type="dxa" w:w="195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0.895</w:t>
            </w:r>
          </w:p>
        </w:tc>
        <w:tc>
          <w:tcPr>
            <w:tcW w:type="dxa" w:w="195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+0.025</w:t>
            </w:r>
          </w:p>
        </w:tc>
      </w:tr>
      <w:tr>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left"/>
            </w:pPr>
            <w:r>
              <w:rPr>
                <w:rFonts w:ascii="Calibri" w:hAnsi="Calibri"/>
                <w:color w:val="2D3748"/>
                <w:sz w:val="18"/>
              </w:rPr>
              <w:t>ADJ</w:t>
            </w:r>
          </w:p>
        </w:tc>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1,788</w:t>
            </w:r>
          </w:p>
        </w:tc>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0.858</w:t>
            </w:r>
          </w:p>
        </w:tc>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0.878</w:t>
            </w:r>
          </w:p>
        </w:tc>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+0.020</w:t>
            </w:r>
          </w:p>
        </w:tc>
      </w:tr>
      <w:tr>
        <w:tc>
          <w:tcPr>
            <w:tcW w:type="dxa" w:w="195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left"/>
            </w:pPr>
            <w:r>
              <w:rPr>
                <w:rFonts w:ascii="Calibri" w:hAnsi="Calibri"/>
                <w:color w:val="2D3748"/>
                <w:sz w:val="18"/>
              </w:rPr>
              <w:t>ADV</w:t>
            </w:r>
          </w:p>
        </w:tc>
        <w:tc>
          <w:tcPr>
            <w:tcW w:type="dxa" w:w="195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1,191</w:t>
            </w:r>
          </w:p>
        </w:tc>
        <w:tc>
          <w:tcPr>
            <w:tcW w:type="dxa" w:w="195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0.857</w:t>
            </w:r>
          </w:p>
        </w:tc>
        <w:tc>
          <w:tcPr>
            <w:tcW w:type="dxa" w:w="195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0.865</w:t>
            </w:r>
          </w:p>
        </w:tc>
        <w:tc>
          <w:tcPr>
            <w:tcW w:type="dxa" w:w="195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+0.008</w:t>
            </w:r>
          </w:p>
        </w:tc>
      </w:tr>
      <w:tr>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left"/>
            </w:pPr>
            <w:r>
              <w:rPr>
                <w:rFonts w:ascii="Calibri" w:hAnsi="Calibri"/>
                <w:color w:val="2D3748"/>
                <w:sz w:val="18"/>
              </w:rPr>
              <w:t>PROPN</w:t>
            </w:r>
          </w:p>
        </w:tc>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2,075</w:t>
            </w:r>
          </w:p>
        </w:tc>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0.743</w:t>
            </w:r>
          </w:p>
        </w:tc>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0.848</w:t>
            </w:r>
          </w:p>
        </w:tc>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+0.105</w:t>
            </w:r>
          </w:p>
        </w:tc>
      </w:tr>
      <w:tr>
        <w:tc>
          <w:tcPr>
            <w:tcW w:type="dxa" w:w="195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left"/>
            </w:pPr>
            <w:r>
              <w:rPr>
                <w:rFonts w:ascii="Calibri" w:hAnsi="Calibri"/>
                <w:color w:val="2D3748"/>
                <w:sz w:val="18"/>
              </w:rPr>
              <w:t>INTJ</w:t>
            </w:r>
          </w:p>
        </w:tc>
        <w:tc>
          <w:tcPr>
            <w:tcW w:type="dxa" w:w="195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121</w:t>
            </w:r>
          </w:p>
        </w:tc>
        <w:tc>
          <w:tcPr>
            <w:tcW w:type="dxa" w:w="195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0.834</w:t>
            </w:r>
          </w:p>
        </w:tc>
        <w:tc>
          <w:tcPr>
            <w:tcW w:type="dxa" w:w="195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0.839</w:t>
            </w:r>
          </w:p>
        </w:tc>
        <w:tc>
          <w:tcPr>
            <w:tcW w:type="dxa" w:w="195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+0.005</w:t>
            </w:r>
          </w:p>
        </w:tc>
      </w:tr>
      <w:tr>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left"/>
            </w:pPr>
            <w:r>
              <w:rPr>
                <w:rFonts w:ascii="Calibri" w:hAnsi="Calibri"/>
                <w:color w:val="2D3748"/>
                <w:sz w:val="18"/>
              </w:rPr>
              <w:t>SYM</w:t>
            </w:r>
          </w:p>
        </w:tc>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113</w:t>
            </w:r>
          </w:p>
        </w:tc>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0.791</w:t>
            </w:r>
          </w:p>
        </w:tc>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0.798</w:t>
            </w:r>
          </w:p>
        </w:tc>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+0.008</w:t>
            </w:r>
          </w:p>
        </w:tc>
      </w:tr>
      <w:tr>
        <w:tc>
          <w:tcPr>
            <w:tcW w:type="dxa" w:w="195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left"/>
            </w:pPr>
            <w:r>
              <w:rPr>
                <w:rFonts w:ascii="Calibri" w:hAnsi="Calibri"/>
                <w:color w:val="2D3748"/>
                <w:sz w:val="18"/>
              </w:rPr>
              <w:t>SCONJ</w:t>
            </w:r>
          </w:p>
        </w:tc>
        <w:tc>
          <w:tcPr>
            <w:tcW w:type="dxa" w:w="195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384</w:t>
            </w:r>
          </w:p>
        </w:tc>
        <w:tc>
          <w:tcPr>
            <w:tcW w:type="dxa" w:w="195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0.754</w:t>
            </w:r>
          </w:p>
        </w:tc>
        <w:tc>
          <w:tcPr>
            <w:tcW w:type="dxa" w:w="195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0.763</w:t>
            </w:r>
          </w:p>
        </w:tc>
        <w:tc>
          <w:tcPr>
            <w:tcW w:type="dxa" w:w="195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+0.009</w:t>
            </w:r>
          </w:p>
        </w:tc>
      </w:tr>
      <w:tr>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left"/>
            </w:pPr>
            <w:r>
              <w:rPr>
                <w:rFonts w:ascii="Calibri" w:hAnsi="Calibri"/>
                <w:color w:val="2D3748"/>
                <w:sz w:val="18"/>
              </w:rPr>
              <w:t>X</w:t>
            </w:r>
          </w:p>
        </w:tc>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42</w:t>
            </w:r>
          </w:p>
        </w:tc>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0.062</w:t>
            </w:r>
          </w:p>
        </w:tc>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0.067</w:t>
            </w:r>
          </w:p>
        </w:tc>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+0.005</w:t>
            </w:r>
          </w:p>
        </w:tc>
      </w:tr>
    </w:tbl>
    <w:p>
      <w:pPr>
        <w:spacing w:after="120"/>
      </w:pPr>
    </w:p>
    <w:p>
      <w:pPr>
        <w:keepNext/>
        <w:spacing w:before="160" w:after="60"/>
        <w:jc w:val="center"/>
      </w:pPr>
      <w:r>
        <w:drawing>
          <wp:inline xmlns:a="http://schemas.openxmlformats.org/drawingml/2006/main" xmlns:pic="http://schemas.openxmlformats.org/drawingml/2006/picture">
            <wp:extent cx="5303520" cy="2474976"/>
            <wp:docPr id="3" name="Picture 3"/>
            <wp:cNvGraphicFramePr>
              <a:graphicFrameLocks noChangeAspect="1"/>
            </wp:cNvGraphicFramePr>
            <a:graphic>
              <a:graphicData uri="http://schemas.openxmlformats.org/drawingml/2006/picture">
                <pic:pic>
                  <pic:nvPicPr>
                    <pic:cNvPr id="0" name="fig_1.png"/>
                    <pic:cNvPicPr/>
                  </pic:nvPicPr>
                  <pic:blipFill>
                    <a:blip r:embed="rId11"/>
                    <a:stretch>
                      <a:fillRect/>
                    </a:stretch>
                  </pic:blipFill>
                  <pic:spPr>
                    <a:xfrm>
                      <a:off x="0" y="0"/>
                      <a:ext cx="5303520" cy="2474976"/>
                    </a:xfrm>
                    <a:prstGeom prst="rect"/>
                  </pic:spPr>
                </pic:pic>
              </a:graphicData>
            </a:graphic>
          </wp:inline>
        </w:drawing>
      </w:r>
    </w:p>
    <w:p>
      <w:pPr>
        <w:spacing w:before="0" w:after="160"/>
        <w:jc w:val="center"/>
      </w:pPr>
      <w:r>
        <w:rPr>
          <w:rFonts w:ascii="Calibri" w:hAnsi="Calibri"/>
          <w:i/>
          <w:color w:val="64748B"/>
          <w:sz w:val="18"/>
        </w:rPr>
        <w:t>Figure 3. Per-tag F1 on the test set for HMM v1 and v2, sorted from the easiest to the hardest tag.</w:t>
      </w:r>
    </w:p>
    <w:p>
      <w:pPr>
        <w:spacing w:after="80" w:line="276" w:lineRule="auto"/>
      </w:pPr>
      <w:r>
        <w:rPr>
          <w:rFonts w:ascii="Calibri" w:hAnsi="Calibri"/>
          <w:color w:val="2D3748"/>
          <w:sz w:val="21"/>
        </w:rPr>
        <w:t>The largest gains are for NUM (F1 0.711 to 0.918) and PROPN (0.743 to 0.848), the tags that most unknown words belong to. NOUN, VERB and ADJ improve by about 0.02 to 0.03. Function-word tags such as DET, PRON, CCONJ, AUX and PUNCT were already between 0.95 and 0.99 and barely change. The tag X stays almost unsolved (F1 0.067); it has only 42 test tokens, so it barely affects accuracy but lowers macro F1.</w:t>
      </w:r>
    </w:p>
    <w:p>
      <w:pPr>
        <w:keepNext/>
        <w:spacing w:before="200" w:after="60"/>
      </w:pPr>
      <w:r>
        <w:rPr>
          <w:rFonts w:ascii="Calibri" w:hAnsi="Calibri"/>
          <w:b/>
          <w:color w:val="2B6CB0"/>
          <w:sz w:val="25"/>
        </w:rPr>
        <w:t>6.4 Baselines, Decoding, and Emission Smoothing (Member 2 Ablations)</w:t>
      </w:r>
    </w:p>
    <w:p>
      <w:pPr>
        <w:spacing w:after="80" w:line="276" w:lineRule="auto"/>
      </w:pPr>
      <w:r>
        <w:rPr>
          <w:rFonts w:ascii="Calibri" w:hAnsi="Calibri"/>
          <w:color w:val="2D3748"/>
          <w:sz w:val="21"/>
        </w:rPr>
        <w:t>To provide rigorous context around the HMM tagger's performance, we implemented a baseline, compared decoding strategies, and ablated emission smoothing across multiple orders of magnitude.</w:t>
      </w:r>
    </w:p>
    <w:p>
      <w:pPr>
        <w:keepNext/>
        <w:spacing w:before="160" w:after="60"/>
      </w:pPr>
      <w:r>
        <w:rPr>
          <w:rFonts w:ascii="Calibri" w:hAnsi="Calibri"/>
          <w:b/>
          <w:color w:val="1B365D"/>
          <w:sz w:val="20"/>
        </w:rPr>
        <w:t>Table 7. Comparison of Most-Frequent-Tag (MFT) baseline against HMM v1 and v2.</w:t>
      </w:r>
    </w:p>
    <w:tbl>
      <w:tblPr>
        <w:tblW w:type="auto" w:w="0"/>
        <w:jc w:val="center"/>
        <w:tblLayout w:type="fixed"/>
        <w:tblLook w:firstColumn="1" w:firstRow="1" w:lastColumn="0" w:lastRow="0" w:noHBand="0" w:noVBand="1" w:val="04A0"/>
      </w:tblPr>
      <w:tblGrid>
        <w:gridCol w:w="3456"/>
        <w:gridCol w:w="1584"/>
        <w:gridCol w:w="1584"/>
        <w:gridCol w:w="1584"/>
        <w:gridCol w:w="1584"/>
      </w:tblGrid>
      <w:tr>
        <w:trPr>
          <w:tblHeader/>
        </w:trPr>
        <w:tc>
          <w:tcPr>
            <w:tcW w:type="dxa" w:w="1958"/>
            <w:tcMar>
              <w:top w:w="120" w:type="dxa"/>
              <w:bottom w:w="120" w:type="dxa"/>
              <w:left w:w="140" w:type="dxa"/>
              <w:right w:w="140" w:type="dxa"/>
            </w:tcMar>
            <w:shd w:fill="1B365D"/>
            <w:tcBorders>
              <w:top w:val="single" w:sz="4" w:space="0" w:color="1B365D"/>
              <w:bottom w:val="single" w:sz="4" w:space="0" w:color="1B365D"/>
              <w:left w:val="nil"/>
              <w:right w:val="nil"/>
            </w:tcBorders>
          </w:tcPr>
          <w:p>
            <w:pPr>
              <w:spacing w:after="0"/>
              <w:jc w:val="left"/>
            </w:pPr>
            <w:r>
              <w:rPr>
                <w:rFonts w:ascii="Calibri" w:hAnsi="Calibri"/>
                <w:b/>
                <w:color w:val="FFFFFF"/>
                <w:sz w:val="19"/>
              </w:rPr>
              <w:t>Model / Baseline</w:t>
            </w:r>
          </w:p>
        </w:tc>
        <w:tc>
          <w:tcPr>
            <w:tcW w:type="dxa" w:w="1958"/>
            <w:tcMar>
              <w:top w:w="120" w:type="dxa"/>
              <w:bottom w:w="120" w:type="dxa"/>
              <w:left w:w="140" w:type="dxa"/>
              <w:right w:w="140" w:type="dxa"/>
            </w:tcMar>
            <w:shd w:fill="1B365D"/>
            <w:tcBorders>
              <w:top w:val="single" w:sz="4" w:space="0" w:color="1B365D"/>
              <w:bottom w:val="single" w:sz="4" w:space="0" w:color="1B365D"/>
              <w:left w:val="nil"/>
              <w:right w:val="nil"/>
            </w:tcBorders>
          </w:tcPr>
          <w:p>
            <w:pPr>
              <w:spacing w:after="0"/>
              <w:jc w:val="right"/>
            </w:pPr>
            <w:r>
              <w:rPr>
                <w:rFonts w:ascii="Calibri" w:hAnsi="Calibri"/>
                <w:b/>
                <w:color w:val="FFFFFF"/>
                <w:sz w:val="19"/>
              </w:rPr>
              <w:t>Dev Accuracy</w:t>
            </w:r>
          </w:p>
        </w:tc>
        <w:tc>
          <w:tcPr>
            <w:tcW w:type="dxa" w:w="1958"/>
            <w:tcMar>
              <w:top w:w="120" w:type="dxa"/>
              <w:bottom w:w="120" w:type="dxa"/>
              <w:left w:w="140" w:type="dxa"/>
              <w:right w:w="140" w:type="dxa"/>
            </w:tcMar>
            <w:shd w:fill="1B365D"/>
            <w:tcBorders>
              <w:top w:val="single" w:sz="4" w:space="0" w:color="1B365D"/>
              <w:bottom w:val="single" w:sz="4" w:space="0" w:color="1B365D"/>
              <w:left w:val="nil"/>
              <w:right w:val="nil"/>
            </w:tcBorders>
          </w:tcPr>
          <w:p>
            <w:pPr>
              <w:spacing w:after="0"/>
              <w:jc w:val="right"/>
            </w:pPr>
            <w:r>
              <w:rPr>
                <w:rFonts w:ascii="Calibri" w:hAnsi="Calibri"/>
                <w:b/>
                <w:color w:val="FFFFFF"/>
                <w:sz w:val="19"/>
              </w:rPr>
              <w:t>Dev Unknown Acc.</w:t>
            </w:r>
          </w:p>
        </w:tc>
        <w:tc>
          <w:tcPr>
            <w:tcW w:type="dxa" w:w="1958"/>
            <w:tcMar>
              <w:top w:w="120" w:type="dxa"/>
              <w:bottom w:w="120" w:type="dxa"/>
              <w:left w:w="140" w:type="dxa"/>
              <w:right w:w="140" w:type="dxa"/>
            </w:tcMar>
            <w:shd w:fill="1B365D"/>
            <w:tcBorders>
              <w:top w:val="single" w:sz="4" w:space="0" w:color="1B365D"/>
              <w:bottom w:val="single" w:sz="4" w:space="0" w:color="1B365D"/>
              <w:left w:val="nil"/>
              <w:right w:val="nil"/>
            </w:tcBorders>
          </w:tcPr>
          <w:p>
            <w:pPr>
              <w:spacing w:after="0"/>
              <w:jc w:val="right"/>
            </w:pPr>
            <w:r>
              <w:rPr>
                <w:rFonts w:ascii="Calibri" w:hAnsi="Calibri"/>
                <w:b/>
                <w:color w:val="FFFFFF"/>
                <w:sz w:val="19"/>
              </w:rPr>
              <w:t>Test Accuracy</w:t>
            </w:r>
          </w:p>
        </w:tc>
        <w:tc>
          <w:tcPr>
            <w:tcW w:type="dxa" w:w="1958"/>
            <w:tcMar>
              <w:top w:w="120" w:type="dxa"/>
              <w:bottom w:w="120" w:type="dxa"/>
              <w:left w:w="140" w:type="dxa"/>
              <w:right w:w="140" w:type="dxa"/>
            </w:tcMar>
            <w:shd w:fill="1B365D"/>
            <w:tcBorders>
              <w:top w:val="single" w:sz="4" w:space="0" w:color="1B365D"/>
              <w:bottom w:val="single" w:sz="4" w:space="0" w:color="1B365D"/>
              <w:left w:val="nil"/>
              <w:right w:val="nil"/>
            </w:tcBorders>
          </w:tcPr>
          <w:p>
            <w:pPr>
              <w:spacing w:after="0"/>
              <w:jc w:val="right"/>
            </w:pPr>
            <w:r>
              <w:rPr>
                <w:rFonts w:ascii="Calibri" w:hAnsi="Calibri"/>
                <w:b/>
                <w:color w:val="FFFFFF"/>
                <w:sz w:val="19"/>
              </w:rPr>
              <w:t>Test Unknown Acc.</w:t>
            </w:r>
          </w:p>
        </w:tc>
      </w:tr>
      <w:tr>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left"/>
            </w:pPr>
            <w:r>
              <w:rPr>
                <w:rFonts w:ascii="Calibri" w:hAnsi="Calibri"/>
                <w:color w:val="2D3748"/>
                <w:sz w:val="18"/>
              </w:rPr>
              <w:t>Most-Frequent-Tag (MFT)</w:t>
            </w:r>
          </w:p>
        </w:tc>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86.12%</w:t>
            </w:r>
          </w:p>
        </w:tc>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29.63%</w:t>
            </w:r>
          </w:p>
        </w:tc>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86.16%</w:t>
            </w:r>
          </w:p>
        </w:tc>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28.59%</w:t>
            </w:r>
          </w:p>
        </w:tc>
      </w:tr>
      <w:tr>
        <w:tc>
          <w:tcPr>
            <w:tcW w:type="dxa" w:w="195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left"/>
            </w:pPr>
            <w:r>
              <w:rPr>
                <w:rFonts w:ascii="Calibri" w:hAnsi="Calibri"/>
                <w:color w:val="2D3748"/>
                <w:sz w:val="18"/>
              </w:rPr>
              <w:t>HMM v1 (Single UNK)</w:t>
            </w:r>
          </w:p>
        </w:tc>
        <w:tc>
          <w:tcPr>
            <w:tcW w:type="dxa" w:w="195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89.49%</w:t>
            </w:r>
          </w:p>
        </w:tc>
        <w:tc>
          <w:tcPr>
            <w:tcW w:type="dxa" w:w="195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54.27%</w:t>
            </w:r>
          </w:p>
        </w:tc>
        <w:tc>
          <w:tcPr>
            <w:tcW w:type="dxa" w:w="195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90.03%</w:t>
            </w:r>
          </w:p>
        </w:tc>
        <w:tc>
          <w:tcPr>
            <w:tcW w:type="dxa" w:w="195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53.51%</w:t>
            </w:r>
          </w:p>
        </w:tc>
      </w:tr>
      <w:tr>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left"/>
            </w:pPr>
            <w:r>
              <w:rPr>
                <w:rFonts w:ascii="Calibri" w:hAnsi="Calibri"/>
                <w:color w:val="2D3748"/>
                <w:sz w:val="18"/>
              </w:rPr>
              <w:t>HMM v2 (Shape Buckets)</w:t>
            </w:r>
          </w:p>
        </w:tc>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91.55%</w:t>
            </w:r>
          </w:p>
        </w:tc>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75.23%</w:t>
            </w:r>
          </w:p>
        </w:tc>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92.24%</w:t>
            </w:r>
          </w:p>
        </w:tc>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75.72%</w:t>
            </w:r>
          </w:p>
        </w:tc>
      </w:tr>
    </w:tbl>
    <w:p>
      <w:pPr>
        <w:spacing w:after="120"/>
      </w:pPr>
    </w:p>
    <w:p>
      <w:pPr>
        <w:spacing w:after="80" w:line="276" w:lineRule="auto"/>
      </w:pPr>
      <w:r>
        <w:rPr>
          <w:rFonts w:ascii="Calibri" w:hAnsi="Calibri"/>
          <w:color w:val="2D3748"/>
          <w:sz w:val="21"/>
        </w:rPr>
        <w:t>The unigram MFT baseline assigns each word its most frequent training tag, falling back to 'NOUN' for unseen tokens. It achieves 86.16% test accuracy, showing that English lexical unigrams carry substantial information. However, MFT fails drastically on unknown words (28.59%). HMM v1 adds +3.87 pp overall (+24.92 pp unknown), and HMM v2 adds +6.08 pp overall (+47.13 pp unknown), demonstrating the crucial role of sequence transitions and morphological inductive bias.</w:t>
      </w:r>
    </w:p>
    <w:p>
      <w:pPr>
        <w:keepNext/>
        <w:spacing w:before="160" w:after="60"/>
      </w:pPr>
      <w:r>
        <w:rPr>
          <w:rFonts w:ascii="Calibri" w:hAnsi="Calibri"/>
          <w:b/>
          <w:color w:val="1B365D"/>
          <w:sz w:val="20"/>
        </w:rPr>
        <w:t>Table 8. Greedy decoding versus Viterbi sequence optimization.</w:t>
      </w:r>
    </w:p>
    <w:tbl>
      <w:tblPr>
        <w:tblW w:type="auto" w:w="0"/>
        <w:jc w:val="center"/>
        <w:tblLayout w:type="fixed"/>
        <w:tblLook w:firstColumn="1" w:firstRow="1" w:lastColumn="0" w:lastRow="0" w:noHBand="0" w:noVBand="1" w:val="04A0"/>
      </w:tblPr>
      <w:tblGrid>
        <w:gridCol w:w="1728"/>
        <w:gridCol w:w="1584"/>
        <w:gridCol w:w="1296"/>
        <w:gridCol w:w="1296"/>
        <w:gridCol w:w="1296"/>
        <w:gridCol w:w="1296"/>
        <w:gridCol w:w="1440"/>
      </w:tblGrid>
      <w:tr>
        <w:trPr>
          <w:tblHeader/>
        </w:trPr>
        <w:tc>
          <w:tcPr>
            <w:tcW w:type="dxa" w:w="1399"/>
            <w:tcMar>
              <w:top w:w="120" w:type="dxa"/>
              <w:bottom w:w="120" w:type="dxa"/>
              <w:left w:w="140" w:type="dxa"/>
              <w:right w:w="140" w:type="dxa"/>
            </w:tcMar>
            <w:shd w:fill="1B365D"/>
            <w:tcBorders>
              <w:top w:val="single" w:sz="4" w:space="0" w:color="1B365D"/>
              <w:bottom w:val="single" w:sz="4" w:space="0" w:color="1B365D"/>
              <w:left w:val="nil"/>
              <w:right w:val="nil"/>
            </w:tcBorders>
          </w:tcPr>
          <w:p>
            <w:pPr>
              <w:spacing w:after="0"/>
              <w:jc w:val="left"/>
            </w:pPr>
            <w:r>
              <w:rPr>
                <w:rFonts w:ascii="Calibri" w:hAnsi="Calibri"/>
                <w:b/>
                <w:color w:val="FFFFFF"/>
                <w:sz w:val="19"/>
              </w:rPr>
              <w:t>Model</w:t>
            </w:r>
          </w:p>
        </w:tc>
        <w:tc>
          <w:tcPr>
            <w:tcW w:type="dxa" w:w="1399"/>
            <w:tcMar>
              <w:top w:w="120" w:type="dxa"/>
              <w:bottom w:w="120" w:type="dxa"/>
              <w:left w:w="140" w:type="dxa"/>
              <w:right w:w="140" w:type="dxa"/>
            </w:tcMar>
            <w:shd w:fill="1B365D"/>
            <w:tcBorders>
              <w:top w:val="single" w:sz="4" w:space="0" w:color="1B365D"/>
              <w:bottom w:val="single" w:sz="4" w:space="0" w:color="1B365D"/>
              <w:left w:val="nil"/>
              <w:right w:val="nil"/>
            </w:tcBorders>
          </w:tcPr>
          <w:p>
            <w:pPr>
              <w:spacing w:after="0"/>
              <w:jc w:val="left"/>
            </w:pPr>
            <w:r>
              <w:rPr>
                <w:rFonts w:ascii="Calibri" w:hAnsi="Calibri"/>
                <w:b/>
                <w:color w:val="FFFFFF"/>
                <w:sz w:val="19"/>
              </w:rPr>
              <w:t>Decoding</w:t>
            </w:r>
          </w:p>
        </w:tc>
        <w:tc>
          <w:tcPr>
            <w:tcW w:type="dxa" w:w="1399"/>
            <w:tcMar>
              <w:top w:w="120" w:type="dxa"/>
              <w:bottom w:w="120" w:type="dxa"/>
              <w:left w:w="140" w:type="dxa"/>
              <w:right w:w="140" w:type="dxa"/>
            </w:tcMar>
            <w:shd w:fill="1B365D"/>
            <w:tcBorders>
              <w:top w:val="single" w:sz="4" w:space="0" w:color="1B365D"/>
              <w:bottom w:val="single" w:sz="4" w:space="0" w:color="1B365D"/>
              <w:left w:val="nil"/>
              <w:right w:val="nil"/>
            </w:tcBorders>
          </w:tcPr>
          <w:p>
            <w:pPr>
              <w:spacing w:after="0"/>
              <w:jc w:val="right"/>
            </w:pPr>
            <w:r>
              <w:rPr>
                <w:rFonts w:ascii="Calibri" w:hAnsi="Calibri"/>
                <w:b/>
                <w:color w:val="FFFFFF"/>
                <w:sz w:val="19"/>
              </w:rPr>
              <w:t>Dev Accuracy</w:t>
            </w:r>
          </w:p>
        </w:tc>
        <w:tc>
          <w:tcPr>
            <w:tcW w:type="dxa" w:w="1399"/>
            <w:tcMar>
              <w:top w:w="120" w:type="dxa"/>
              <w:bottom w:w="120" w:type="dxa"/>
              <w:left w:w="140" w:type="dxa"/>
              <w:right w:w="140" w:type="dxa"/>
            </w:tcMar>
            <w:shd w:fill="1B365D"/>
            <w:tcBorders>
              <w:top w:val="single" w:sz="4" w:space="0" w:color="1B365D"/>
              <w:bottom w:val="single" w:sz="4" w:space="0" w:color="1B365D"/>
              <w:left w:val="nil"/>
              <w:right w:val="nil"/>
            </w:tcBorders>
          </w:tcPr>
          <w:p>
            <w:pPr>
              <w:spacing w:after="0"/>
              <w:jc w:val="right"/>
            </w:pPr>
            <w:r>
              <w:rPr>
                <w:rFonts w:ascii="Calibri" w:hAnsi="Calibri"/>
                <w:b/>
                <w:color w:val="FFFFFF"/>
                <w:sz w:val="19"/>
              </w:rPr>
              <w:t>Dev Unknown Acc.</w:t>
            </w:r>
          </w:p>
        </w:tc>
        <w:tc>
          <w:tcPr>
            <w:tcW w:type="dxa" w:w="1399"/>
            <w:tcMar>
              <w:top w:w="120" w:type="dxa"/>
              <w:bottom w:w="120" w:type="dxa"/>
              <w:left w:w="140" w:type="dxa"/>
              <w:right w:w="140" w:type="dxa"/>
            </w:tcMar>
            <w:shd w:fill="1B365D"/>
            <w:tcBorders>
              <w:top w:val="single" w:sz="4" w:space="0" w:color="1B365D"/>
              <w:bottom w:val="single" w:sz="4" w:space="0" w:color="1B365D"/>
              <w:left w:val="nil"/>
              <w:right w:val="nil"/>
            </w:tcBorders>
          </w:tcPr>
          <w:p>
            <w:pPr>
              <w:spacing w:after="0"/>
              <w:jc w:val="right"/>
            </w:pPr>
            <w:r>
              <w:rPr>
                <w:rFonts w:ascii="Calibri" w:hAnsi="Calibri"/>
                <w:b/>
                <w:color w:val="FFFFFF"/>
                <w:sz w:val="19"/>
              </w:rPr>
              <w:t>Test Accuracy</w:t>
            </w:r>
          </w:p>
        </w:tc>
        <w:tc>
          <w:tcPr>
            <w:tcW w:type="dxa" w:w="1399"/>
            <w:tcMar>
              <w:top w:w="120" w:type="dxa"/>
              <w:bottom w:w="120" w:type="dxa"/>
              <w:left w:w="140" w:type="dxa"/>
              <w:right w:w="140" w:type="dxa"/>
            </w:tcMar>
            <w:shd w:fill="1B365D"/>
            <w:tcBorders>
              <w:top w:val="single" w:sz="4" w:space="0" w:color="1B365D"/>
              <w:bottom w:val="single" w:sz="4" w:space="0" w:color="1B365D"/>
              <w:left w:val="nil"/>
              <w:right w:val="nil"/>
            </w:tcBorders>
          </w:tcPr>
          <w:p>
            <w:pPr>
              <w:spacing w:after="0"/>
              <w:jc w:val="right"/>
            </w:pPr>
            <w:r>
              <w:rPr>
                <w:rFonts w:ascii="Calibri" w:hAnsi="Calibri"/>
                <w:b/>
                <w:color w:val="FFFFFF"/>
                <w:sz w:val="19"/>
              </w:rPr>
              <w:t>Test Unknown Acc.</w:t>
            </w:r>
          </w:p>
        </w:tc>
        <w:tc>
          <w:tcPr>
            <w:tcW w:type="dxa" w:w="1399"/>
            <w:tcMar>
              <w:top w:w="120" w:type="dxa"/>
              <w:bottom w:w="120" w:type="dxa"/>
              <w:left w:w="140" w:type="dxa"/>
              <w:right w:w="140" w:type="dxa"/>
            </w:tcMar>
            <w:shd w:fill="1B365D"/>
            <w:tcBorders>
              <w:top w:val="single" w:sz="4" w:space="0" w:color="1B365D"/>
              <w:bottom w:val="single" w:sz="4" w:space="0" w:color="1B365D"/>
              <w:left w:val="nil"/>
              <w:right w:val="nil"/>
            </w:tcBorders>
          </w:tcPr>
          <w:p>
            <w:pPr>
              <w:spacing w:after="0"/>
              <w:jc w:val="right"/>
            </w:pPr>
            <w:r>
              <w:rPr>
                <w:rFonts w:ascii="Calibri" w:hAnsi="Calibri"/>
                <w:b/>
                <w:color w:val="FFFFFF"/>
                <w:sz w:val="19"/>
              </w:rPr>
              <w:t>Viterbi Gain (Test)</w:t>
            </w:r>
          </w:p>
        </w:tc>
      </w:tr>
      <w:tr>
        <w:tc>
          <w:tcPr>
            <w:tcW w:type="dxa" w:w="1399"/>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left"/>
            </w:pPr>
            <w:r>
              <w:rPr>
                <w:rFonts w:ascii="Calibri" w:hAnsi="Calibri"/>
                <w:color w:val="2D3748"/>
                <w:sz w:val="18"/>
              </w:rPr>
              <w:t>HMM v1</w:t>
            </w:r>
          </w:p>
        </w:tc>
        <w:tc>
          <w:tcPr>
            <w:tcW w:type="dxa" w:w="1399"/>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left"/>
            </w:pPr>
            <w:r>
              <w:rPr>
                <w:rFonts w:ascii="Calibri" w:hAnsi="Calibri"/>
                <w:color w:val="2D3748"/>
                <w:sz w:val="18"/>
              </w:rPr>
              <w:t>Greedy</w:t>
            </w:r>
          </w:p>
        </w:tc>
        <w:tc>
          <w:tcPr>
            <w:tcW w:type="dxa" w:w="1399"/>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87.43%</w:t>
            </w:r>
          </w:p>
        </w:tc>
        <w:tc>
          <w:tcPr>
            <w:tcW w:type="dxa" w:w="1399"/>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50.88%</w:t>
            </w:r>
          </w:p>
        </w:tc>
        <w:tc>
          <w:tcPr>
            <w:tcW w:type="dxa" w:w="1399"/>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87.78%</w:t>
            </w:r>
          </w:p>
        </w:tc>
        <w:tc>
          <w:tcPr>
            <w:tcW w:type="dxa" w:w="1399"/>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51.97%</w:t>
            </w:r>
          </w:p>
        </w:tc>
        <w:tc>
          <w:tcPr>
            <w:tcW w:type="dxa" w:w="1399"/>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w:t>
            </w:r>
          </w:p>
        </w:tc>
      </w:tr>
      <w:tr>
        <w:tc>
          <w:tcPr>
            <w:tcW w:type="dxa" w:w="1399"/>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left"/>
            </w:pPr>
            <w:r>
              <w:rPr>
                <w:rFonts w:ascii="Calibri" w:hAnsi="Calibri"/>
                <w:color w:val="2D3748"/>
                <w:sz w:val="18"/>
              </w:rPr>
              <w:t>HMM v1</w:t>
            </w:r>
          </w:p>
        </w:tc>
        <w:tc>
          <w:tcPr>
            <w:tcW w:type="dxa" w:w="1399"/>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left"/>
            </w:pPr>
            <w:r>
              <w:rPr>
                <w:rFonts w:ascii="Calibri" w:hAnsi="Calibri"/>
                <w:color w:val="2D3748"/>
                <w:sz w:val="18"/>
              </w:rPr>
              <w:t>Viterbi</w:t>
            </w:r>
          </w:p>
        </w:tc>
        <w:tc>
          <w:tcPr>
            <w:tcW w:type="dxa" w:w="1399"/>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89.49%</w:t>
            </w:r>
          </w:p>
        </w:tc>
        <w:tc>
          <w:tcPr>
            <w:tcW w:type="dxa" w:w="1399"/>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54.27%</w:t>
            </w:r>
          </w:p>
        </w:tc>
        <w:tc>
          <w:tcPr>
            <w:tcW w:type="dxa" w:w="1399"/>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90.03%</w:t>
            </w:r>
          </w:p>
        </w:tc>
        <w:tc>
          <w:tcPr>
            <w:tcW w:type="dxa" w:w="1399"/>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53.51%</w:t>
            </w:r>
          </w:p>
        </w:tc>
        <w:tc>
          <w:tcPr>
            <w:tcW w:type="dxa" w:w="1399"/>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+2.25 pp</w:t>
            </w:r>
          </w:p>
        </w:tc>
      </w:tr>
      <w:tr>
        <w:tc>
          <w:tcPr>
            <w:tcW w:type="dxa" w:w="1399"/>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left"/>
            </w:pPr>
            <w:r>
              <w:rPr>
                <w:rFonts w:ascii="Calibri" w:hAnsi="Calibri"/>
                <w:color w:val="2D3748"/>
                <w:sz w:val="18"/>
              </w:rPr>
              <w:t>HMM v2</w:t>
            </w:r>
          </w:p>
        </w:tc>
        <w:tc>
          <w:tcPr>
            <w:tcW w:type="dxa" w:w="1399"/>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left"/>
            </w:pPr>
            <w:r>
              <w:rPr>
                <w:rFonts w:ascii="Calibri" w:hAnsi="Calibri"/>
                <w:color w:val="2D3748"/>
                <w:sz w:val="18"/>
              </w:rPr>
              <w:t>Greedy</w:t>
            </w:r>
          </w:p>
        </w:tc>
        <w:tc>
          <w:tcPr>
            <w:tcW w:type="dxa" w:w="1399"/>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89.45%</w:t>
            </w:r>
          </w:p>
        </w:tc>
        <w:tc>
          <w:tcPr>
            <w:tcW w:type="dxa" w:w="1399"/>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72.72%</w:t>
            </w:r>
          </w:p>
        </w:tc>
        <w:tc>
          <w:tcPr>
            <w:tcW w:type="dxa" w:w="1399"/>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89.91%</w:t>
            </w:r>
          </w:p>
        </w:tc>
        <w:tc>
          <w:tcPr>
            <w:tcW w:type="dxa" w:w="1399"/>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73.96%</w:t>
            </w:r>
          </w:p>
        </w:tc>
        <w:tc>
          <w:tcPr>
            <w:tcW w:type="dxa" w:w="1399"/>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w:t>
            </w:r>
          </w:p>
        </w:tc>
      </w:tr>
      <w:tr>
        <w:tc>
          <w:tcPr>
            <w:tcW w:type="dxa" w:w="1399"/>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left"/>
            </w:pPr>
            <w:r>
              <w:rPr>
                <w:rFonts w:ascii="Calibri" w:hAnsi="Calibri"/>
                <w:color w:val="2D3748"/>
                <w:sz w:val="18"/>
              </w:rPr>
              <w:t>HMM v2</w:t>
            </w:r>
          </w:p>
        </w:tc>
        <w:tc>
          <w:tcPr>
            <w:tcW w:type="dxa" w:w="1399"/>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left"/>
            </w:pPr>
            <w:r>
              <w:rPr>
                <w:rFonts w:ascii="Calibri" w:hAnsi="Calibri"/>
                <w:color w:val="2D3748"/>
                <w:sz w:val="18"/>
              </w:rPr>
              <w:t>Viterbi</w:t>
            </w:r>
          </w:p>
        </w:tc>
        <w:tc>
          <w:tcPr>
            <w:tcW w:type="dxa" w:w="1399"/>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91.55%</w:t>
            </w:r>
          </w:p>
        </w:tc>
        <w:tc>
          <w:tcPr>
            <w:tcW w:type="dxa" w:w="1399"/>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75.23%</w:t>
            </w:r>
          </w:p>
        </w:tc>
        <w:tc>
          <w:tcPr>
            <w:tcW w:type="dxa" w:w="1399"/>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92.24%</w:t>
            </w:r>
          </w:p>
        </w:tc>
        <w:tc>
          <w:tcPr>
            <w:tcW w:type="dxa" w:w="1399"/>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75.72%</w:t>
            </w:r>
          </w:p>
        </w:tc>
        <w:tc>
          <w:tcPr>
            <w:tcW w:type="dxa" w:w="1399"/>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+2.33 pp</w:t>
            </w:r>
          </w:p>
        </w:tc>
      </w:tr>
    </w:tbl>
    <w:p>
      <w:pPr>
        <w:spacing w:after="120"/>
      </w:pPr>
    </w:p>
    <w:p>
      <w:pPr>
        <w:spacing w:after="80" w:line="276" w:lineRule="auto"/>
      </w:pPr>
      <w:r>
        <w:rPr>
          <w:rFonts w:ascii="Calibri" w:hAnsi="Calibri"/>
          <w:color w:val="2D3748"/>
          <w:sz w:val="21"/>
        </w:rPr>
        <w:t>Both decoders use identical transition (log A) and emission (log B) tables. Greedy decoding makes local, irreversible decisions, causing cascading errors when a locally preferred tag leads to poor downstream transitions. Viterbi dynamic programming consistently contributes +2.25 to +2.33 percentage points across both models.</w:t>
      </w:r>
    </w:p>
    <w:p>
      <w:pPr>
        <w:keepNext/>
        <w:spacing w:before="160" w:after="60"/>
        <w:jc w:val="center"/>
      </w:pPr>
      <w:r>
        <w:drawing>
          <wp:inline xmlns:a="http://schemas.openxmlformats.org/drawingml/2006/main" xmlns:pic="http://schemas.openxmlformats.org/drawingml/2006/picture">
            <wp:extent cx="5303520" cy="3030583"/>
            <wp:docPr id="4" name="Picture 4"/>
            <wp:cNvGraphicFramePr>
              <a:graphicFrameLocks noChangeAspect="1"/>
            </wp:cNvGraphicFramePr>
            <a:graphic>
              <a:graphicData uri="http://schemas.openxmlformats.org/drawingml/2006/picture">
                <pic:pic>
                  <pic:nvPicPr>
                    <pic:cNvPr id="0" name="ablation_summary.png"/>
                    <pic:cNvPicPr/>
                  </pic:nvPicPr>
                  <pic:blipFill>
                    <a:blip r:embed="rId12"/>
                    <a:stretch>
                      <a:fillRect/>
                    </a:stretch>
                  </pic:blipFill>
                  <pic:spPr>
                    <a:xfrm>
                      <a:off x="0" y="0"/>
                      <a:ext cx="5303520" cy="3030583"/>
                    </a:xfrm>
                    <a:prstGeom prst="rect"/>
                  </pic:spPr>
                </pic:pic>
              </a:graphicData>
            </a:graphic>
          </wp:inline>
        </w:drawing>
      </w:r>
    </w:p>
    <w:p>
      <w:pPr>
        <w:spacing w:before="0" w:after="160"/>
        <w:jc w:val="center"/>
      </w:pPr>
      <w:r>
        <w:rPr>
          <w:rFonts w:ascii="Calibri" w:hAnsi="Calibri"/>
          <w:i/>
          <w:color w:val="64748B"/>
          <w:sz w:val="18"/>
        </w:rPr>
        <w:t>Figure 4. Test accuracy comparison across baselines, greedy decoding, and Viterbi decoding for HMM v1 and v2.</w:t>
      </w:r>
    </w:p>
    <w:p>
      <w:pPr>
        <w:keepNext/>
        <w:spacing w:before="160" w:after="60"/>
      </w:pPr>
      <w:r>
        <w:rPr>
          <w:rFonts w:ascii="Calibri" w:hAnsi="Calibri"/>
          <w:b/>
          <w:color w:val="1B365D"/>
          <w:sz w:val="20"/>
        </w:rPr>
        <w:t>Table 9. Add-k emission smoothing ablation on the development set (HMM v2).</w:t>
      </w:r>
    </w:p>
    <w:tbl>
      <w:tblPr>
        <w:tblW w:type="auto" w:w="0"/>
        <w:jc w:val="center"/>
        <w:tblLayout w:type="fixed"/>
        <w:tblLook w:firstColumn="1" w:firstRow="1" w:lastColumn="0" w:lastRow="0" w:noHBand="0" w:noVBand="1" w:val="04A0"/>
      </w:tblPr>
      <w:tblGrid>
        <w:gridCol w:w="2304"/>
        <w:gridCol w:w="3168"/>
        <w:gridCol w:w="2160"/>
        <w:gridCol w:w="2160"/>
      </w:tblGrid>
      <w:tr>
        <w:trPr>
          <w:tblHeader/>
        </w:trPr>
        <w:tc>
          <w:tcPr>
            <w:tcW w:type="dxa" w:w="2448"/>
            <w:tcMar>
              <w:top w:w="120" w:type="dxa"/>
              <w:bottom w:w="120" w:type="dxa"/>
              <w:left w:w="140" w:type="dxa"/>
              <w:right w:w="140" w:type="dxa"/>
            </w:tcMar>
            <w:shd w:fill="1B365D"/>
            <w:tcBorders>
              <w:top w:val="single" w:sz="4" w:space="0" w:color="1B365D"/>
              <w:bottom w:val="single" w:sz="4" w:space="0" w:color="1B365D"/>
              <w:left w:val="nil"/>
              <w:right w:val="nil"/>
            </w:tcBorders>
          </w:tcPr>
          <w:p>
            <w:pPr>
              <w:spacing w:after="0"/>
              <w:jc w:val="right"/>
            </w:pPr>
            <w:r>
              <w:rPr>
                <w:rFonts w:ascii="Calibri" w:hAnsi="Calibri"/>
                <w:b/>
                <w:color w:val="FFFFFF"/>
                <w:sz w:val="19"/>
              </w:rPr>
              <w:t>k_emit</w:t>
            </w:r>
          </w:p>
        </w:tc>
        <w:tc>
          <w:tcPr>
            <w:tcW w:type="dxa" w:w="2448"/>
            <w:tcMar>
              <w:top w:w="120" w:type="dxa"/>
              <w:bottom w:w="120" w:type="dxa"/>
              <w:left w:w="140" w:type="dxa"/>
              <w:right w:w="140" w:type="dxa"/>
            </w:tcMar>
            <w:shd w:fill="1B365D"/>
            <w:tcBorders>
              <w:top w:val="single" w:sz="4" w:space="0" w:color="1B365D"/>
              <w:bottom w:val="single" w:sz="4" w:space="0" w:color="1B365D"/>
              <w:left w:val="nil"/>
              <w:right w:val="nil"/>
            </w:tcBorders>
          </w:tcPr>
          <w:p>
            <w:pPr>
              <w:spacing w:after="0"/>
              <w:jc w:val="right"/>
            </w:pPr>
            <w:r>
              <w:rPr>
                <w:rFonts w:ascii="Calibri" w:hAnsi="Calibri"/>
                <w:b/>
                <w:color w:val="FFFFFF"/>
                <w:sz w:val="19"/>
              </w:rPr>
              <w:t>Sentences Without Valid Path</w:t>
            </w:r>
          </w:p>
        </w:tc>
        <w:tc>
          <w:tcPr>
            <w:tcW w:type="dxa" w:w="2448"/>
            <w:tcMar>
              <w:top w:w="120" w:type="dxa"/>
              <w:bottom w:w="120" w:type="dxa"/>
              <w:left w:w="140" w:type="dxa"/>
              <w:right w:w="140" w:type="dxa"/>
            </w:tcMar>
            <w:shd w:fill="1B365D"/>
            <w:tcBorders>
              <w:top w:val="single" w:sz="4" w:space="0" w:color="1B365D"/>
              <w:bottom w:val="single" w:sz="4" w:space="0" w:color="1B365D"/>
              <w:left w:val="nil"/>
              <w:right w:val="nil"/>
            </w:tcBorders>
          </w:tcPr>
          <w:p>
            <w:pPr>
              <w:spacing w:after="0"/>
              <w:jc w:val="right"/>
            </w:pPr>
            <w:r>
              <w:rPr>
                <w:rFonts w:ascii="Calibri" w:hAnsi="Calibri"/>
                <w:b/>
                <w:color w:val="FFFFFF"/>
                <w:sz w:val="19"/>
              </w:rPr>
              <w:t>Dev Accuracy</w:t>
            </w:r>
          </w:p>
        </w:tc>
        <w:tc>
          <w:tcPr>
            <w:tcW w:type="dxa" w:w="2448"/>
            <w:tcMar>
              <w:top w:w="120" w:type="dxa"/>
              <w:bottom w:w="120" w:type="dxa"/>
              <w:left w:w="140" w:type="dxa"/>
              <w:right w:w="140" w:type="dxa"/>
            </w:tcMar>
            <w:shd w:fill="1B365D"/>
            <w:tcBorders>
              <w:top w:val="single" w:sz="4" w:space="0" w:color="1B365D"/>
              <w:bottom w:val="single" w:sz="4" w:space="0" w:color="1B365D"/>
              <w:left w:val="nil"/>
              <w:right w:val="nil"/>
            </w:tcBorders>
          </w:tcPr>
          <w:p>
            <w:pPr>
              <w:spacing w:after="0"/>
              <w:jc w:val="right"/>
            </w:pPr>
            <w:r>
              <w:rPr>
                <w:rFonts w:ascii="Calibri" w:hAnsi="Calibri"/>
                <w:b/>
                <w:color w:val="FFFFFF"/>
                <w:sz w:val="19"/>
              </w:rPr>
              <w:t>Dev Unknown Acc.</w:t>
            </w:r>
          </w:p>
        </w:tc>
      </w:tr>
      <w:tr>
        <w:tc>
          <w:tcPr>
            <w:tcW w:type="dxa" w:w="244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0</w:t>
            </w:r>
          </w:p>
        </w:tc>
        <w:tc>
          <w:tcPr>
            <w:tcW w:type="dxa" w:w="244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0</w:t>
            </w:r>
          </w:p>
        </w:tc>
        <w:tc>
          <w:tcPr>
            <w:tcW w:type="dxa" w:w="244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91.55%</w:t>
            </w:r>
          </w:p>
        </w:tc>
        <w:tc>
          <w:tcPr>
            <w:tcW w:type="dxa" w:w="244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75.23%</w:t>
            </w:r>
          </w:p>
        </w:tc>
      </w:tr>
      <w:tr>
        <w:tc>
          <w:tcPr>
            <w:tcW w:type="dxa" w:w="244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1e-06</w:t>
            </w:r>
          </w:p>
        </w:tc>
        <w:tc>
          <w:tcPr>
            <w:tcW w:type="dxa" w:w="244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0</w:t>
            </w:r>
          </w:p>
        </w:tc>
        <w:tc>
          <w:tcPr>
            <w:tcW w:type="dxa" w:w="244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91.55%</w:t>
            </w:r>
          </w:p>
        </w:tc>
        <w:tc>
          <w:tcPr>
            <w:tcW w:type="dxa" w:w="244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75.23%</w:t>
            </w:r>
          </w:p>
        </w:tc>
      </w:tr>
      <w:tr>
        <w:tc>
          <w:tcPr>
            <w:tcW w:type="dxa" w:w="244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0.001</w:t>
            </w:r>
          </w:p>
        </w:tc>
        <w:tc>
          <w:tcPr>
            <w:tcW w:type="dxa" w:w="244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0</w:t>
            </w:r>
          </w:p>
        </w:tc>
        <w:tc>
          <w:tcPr>
            <w:tcW w:type="dxa" w:w="244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91.55%</w:t>
            </w:r>
          </w:p>
        </w:tc>
        <w:tc>
          <w:tcPr>
            <w:tcW w:type="dxa" w:w="244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75.23%</w:t>
            </w:r>
          </w:p>
        </w:tc>
      </w:tr>
      <w:tr>
        <w:tc>
          <w:tcPr>
            <w:tcW w:type="dxa" w:w="244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0.1</w:t>
            </w:r>
          </w:p>
        </w:tc>
        <w:tc>
          <w:tcPr>
            <w:tcW w:type="dxa" w:w="244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0</w:t>
            </w:r>
          </w:p>
        </w:tc>
        <w:tc>
          <w:tcPr>
            <w:tcW w:type="dxa" w:w="244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91.21%</w:t>
            </w:r>
          </w:p>
        </w:tc>
        <w:tc>
          <w:tcPr>
            <w:tcW w:type="dxa" w:w="244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74.65%</w:t>
            </w:r>
          </w:p>
        </w:tc>
      </w:tr>
      <w:tr>
        <w:tc>
          <w:tcPr>
            <w:tcW w:type="dxa" w:w="244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1.0</w:t>
            </w:r>
          </w:p>
        </w:tc>
        <w:tc>
          <w:tcPr>
            <w:tcW w:type="dxa" w:w="244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0</w:t>
            </w:r>
          </w:p>
        </w:tc>
        <w:tc>
          <w:tcPr>
            <w:tcW w:type="dxa" w:w="244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88.73%</w:t>
            </w:r>
          </w:p>
        </w:tc>
        <w:tc>
          <w:tcPr>
            <w:tcW w:type="dxa" w:w="244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73.42%</w:t>
            </w:r>
          </w:p>
        </w:tc>
      </w:tr>
      <w:tr>
        <w:tc>
          <w:tcPr>
            <w:tcW w:type="dxa" w:w="244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10.0</w:t>
            </w:r>
          </w:p>
        </w:tc>
        <w:tc>
          <w:tcPr>
            <w:tcW w:type="dxa" w:w="244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0</w:t>
            </w:r>
          </w:p>
        </w:tc>
        <w:tc>
          <w:tcPr>
            <w:tcW w:type="dxa" w:w="244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80.50%</w:t>
            </w:r>
          </w:p>
        </w:tc>
        <w:tc>
          <w:tcPr>
            <w:tcW w:type="dxa" w:w="244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70.20%</w:t>
            </w:r>
          </w:p>
        </w:tc>
      </w:tr>
    </w:tbl>
    <w:p>
      <w:pPr>
        <w:spacing w:after="120"/>
      </w:pPr>
    </w:p>
    <w:p>
      <w:pPr>
        <w:spacing w:after="80" w:line="276" w:lineRule="auto"/>
      </w:pPr>
      <w:r>
        <w:rPr>
          <w:rFonts w:ascii="Calibri" w:hAnsi="Calibri"/>
          <w:color w:val="2D3748"/>
          <w:sz w:val="21"/>
        </w:rPr>
        <w:t>Zero sentences experienced an invalid path (score of -inf) even at k_emit = 0, because morphological shape buckets map unseen words into non-empty rows. Accuracy is optimal for k &lt;= 0.001 (91.55%) and collapses at k = 10 (80.50%). Adding large k adds k|V| pseudo-counts to the denominator, flattening the emission distribution toward uniform noise.</w:t>
      </w:r>
    </w:p>
    <w:p>
      <w:pPr>
        <w:keepNext/>
        <w:spacing w:before="200" w:after="60"/>
      </w:pPr>
      <w:r>
        <w:rPr>
          <w:rFonts w:ascii="Calibri" w:hAnsi="Calibri"/>
          <w:b/>
          <w:color w:val="2B6CB0"/>
          <w:sz w:val="25"/>
        </w:rPr>
        <w:t>6.5 Learning Curves and Statistical Significance</w:t>
      </w:r>
    </w:p>
    <w:p>
      <w:pPr>
        <w:keepNext/>
        <w:spacing w:before="160" w:after="60"/>
      </w:pPr>
      <w:r>
        <w:rPr>
          <w:rFonts w:ascii="Calibri" w:hAnsi="Calibri"/>
          <w:b/>
          <w:color w:val="1B365D"/>
          <w:sz w:val="20"/>
        </w:rPr>
        <w:t>Table 10. Learning curve: dev accuracy across training data fractions.</w:t>
      </w:r>
    </w:p>
    <w:tbl>
      <w:tblPr>
        <w:tblW w:type="auto" w:w="0"/>
        <w:jc w:val="center"/>
        <w:tblLayout w:type="fixed"/>
        <w:tblLook w:firstColumn="1" w:firstRow="1" w:lastColumn="0" w:lastRow="0" w:noHBand="0" w:noVBand="1" w:val="04A0"/>
      </w:tblPr>
      <w:tblGrid>
        <w:gridCol w:w="1728"/>
        <w:gridCol w:w="2304"/>
        <w:gridCol w:w="1872"/>
        <w:gridCol w:w="1872"/>
        <w:gridCol w:w="2016"/>
      </w:tblGrid>
      <w:tr>
        <w:trPr>
          <w:tblHeader/>
        </w:trPr>
        <w:tc>
          <w:tcPr>
            <w:tcW w:type="dxa" w:w="1958"/>
            <w:tcMar>
              <w:top w:w="120" w:type="dxa"/>
              <w:bottom w:w="120" w:type="dxa"/>
              <w:left w:w="140" w:type="dxa"/>
              <w:right w:w="140" w:type="dxa"/>
            </w:tcMar>
            <w:shd w:fill="1B365D"/>
            <w:tcBorders>
              <w:top w:val="single" w:sz="4" w:space="0" w:color="1B365D"/>
              <w:bottom w:val="single" w:sz="4" w:space="0" w:color="1B365D"/>
              <w:left w:val="nil"/>
              <w:right w:val="nil"/>
            </w:tcBorders>
          </w:tcPr>
          <w:p>
            <w:pPr>
              <w:spacing w:after="0"/>
              <w:jc w:val="right"/>
            </w:pPr>
            <w:r>
              <w:rPr>
                <w:rFonts w:ascii="Calibri" w:hAnsi="Calibri"/>
                <w:b/>
                <w:color w:val="FFFFFF"/>
                <w:sz w:val="19"/>
              </w:rPr>
              <w:t>Fraction</w:t>
            </w:r>
          </w:p>
        </w:tc>
        <w:tc>
          <w:tcPr>
            <w:tcW w:type="dxa" w:w="1958"/>
            <w:tcMar>
              <w:top w:w="120" w:type="dxa"/>
              <w:bottom w:w="120" w:type="dxa"/>
              <w:left w:w="140" w:type="dxa"/>
              <w:right w:w="140" w:type="dxa"/>
            </w:tcMar>
            <w:shd w:fill="1B365D"/>
            <w:tcBorders>
              <w:top w:val="single" w:sz="4" w:space="0" w:color="1B365D"/>
              <w:bottom w:val="single" w:sz="4" w:space="0" w:color="1B365D"/>
              <w:left w:val="nil"/>
              <w:right w:val="nil"/>
            </w:tcBorders>
          </w:tcPr>
          <w:p>
            <w:pPr>
              <w:spacing w:after="0"/>
              <w:jc w:val="right"/>
            </w:pPr>
            <w:r>
              <w:rPr>
                <w:rFonts w:ascii="Calibri" w:hAnsi="Calibri"/>
                <w:b/>
                <w:color w:val="FFFFFF"/>
                <w:sz w:val="19"/>
              </w:rPr>
              <w:t>Training Sentences</w:t>
            </w:r>
          </w:p>
        </w:tc>
        <w:tc>
          <w:tcPr>
            <w:tcW w:type="dxa" w:w="1958"/>
            <w:tcMar>
              <w:top w:w="120" w:type="dxa"/>
              <w:bottom w:w="120" w:type="dxa"/>
              <w:left w:w="140" w:type="dxa"/>
              <w:right w:w="140" w:type="dxa"/>
            </w:tcMar>
            <w:shd w:fill="1B365D"/>
            <w:tcBorders>
              <w:top w:val="single" w:sz="4" w:space="0" w:color="1B365D"/>
              <w:bottom w:val="single" w:sz="4" w:space="0" w:color="1B365D"/>
              <w:left w:val="nil"/>
              <w:right w:val="nil"/>
            </w:tcBorders>
          </w:tcPr>
          <w:p>
            <w:pPr>
              <w:spacing w:after="0"/>
              <w:jc w:val="right"/>
            </w:pPr>
            <w:r>
              <w:rPr>
                <w:rFonts w:ascii="Calibri" w:hAnsi="Calibri"/>
                <w:b/>
                <w:color w:val="FFFFFF"/>
                <w:sz w:val="19"/>
              </w:rPr>
              <w:t>HMM v1 Dev Acc.</w:t>
            </w:r>
          </w:p>
        </w:tc>
        <w:tc>
          <w:tcPr>
            <w:tcW w:type="dxa" w:w="1958"/>
            <w:tcMar>
              <w:top w:w="120" w:type="dxa"/>
              <w:bottom w:w="120" w:type="dxa"/>
              <w:left w:w="140" w:type="dxa"/>
              <w:right w:w="140" w:type="dxa"/>
            </w:tcMar>
            <w:shd w:fill="1B365D"/>
            <w:tcBorders>
              <w:top w:val="single" w:sz="4" w:space="0" w:color="1B365D"/>
              <w:bottom w:val="single" w:sz="4" w:space="0" w:color="1B365D"/>
              <w:left w:val="nil"/>
              <w:right w:val="nil"/>
            </w:tcBorders>
          </w:tcPr>
          <w:p>
            <w:pPr>
              <w:spacing w:after="0"/>
              <w:jc w:val="right"/>
            </w:pPr>
            <w:r>
              <w:rPr>
                <w:rFonts w:ascii="Calibri" w:hAnsi="Calibri"/>
                <w:b/>
                <w:color w:val="FFFFFF"/>
                <w:sz w:val="19"/>
              </w:rPr>
              <w:t>HMM v2 Dev Acc.</w:t>
            </w:r>
          </w:p>
        </w:tc>
        <w:tc>
          <w:tcPr>
            <w:tcW w:type="dxa" w:w="1958"/>
            <w:tcMar>
              <w:top w:w="120" w:type="dxa"/>
              <w:bottom w:w="120" w:type="dxa"/>
              <w:left w:w="140" w:type="dxa"/>
              <w:right w:w="140" w:type="dxa"/>
            </w:tcMar>
            <w:shd w:fill="1B365D"/>
            <w:tcBorders>
              <w:top w:val="single" w:sz="4" w:space="0" w:color="1B365D"/>
              <w:bottom w:val="single" w:sz="4" w:space="0" w:color="1B365D"/>
              <w:left w:val="nil"/>
              <w:right w:val="nil"/>
            </w:tcBorders>
          </w:tcPr>
          <w:p>
            <w:pPr>
              <w:spacing w:after="0"/>
              <w:jc w:val="right"/>
            </w:pPr>
            <w:r>
              <w:rPr>
                <w:rFonts w:ascii="Calibri" w:hAnsi="Calibri"/>
                <w:b/>
                <w:color w:val="FFFFFF"/>
                <w:sz w:val="19"/>
              </w:rPr>
              <w:t>v2 Advantage (Δ)</w:t>
            </w:r>
          </w:p>
        </w:tc>
      </w:tr>
      <w:tr>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10%</w:t>
            </w:r>
          </w:p>
        </w:tc>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1,254</w:t>
            </w:r>
          </w:p>
        </w:tc>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83.28%</w:t>
            </w:r>
          </w:p>
        </w:tc>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87.86%</w:t>
            </w:r>
          </w:p>
        </w:tc>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+4.58 pp</w:t>
            </w:r>
          </w:p>
        </w:tc>
      </w:tr>
      <w:tr>
        <w:tc>
          <w:tcPr>
            <w:tcW w:type="dxa" w:w="195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25%</w:t>
            </w:r>
          </w:p>
        </w:tc>
        <w:tc>
          <w:tcPr>
            <w:tcW w:type="dxa" w:w="195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3,136</w:t>
            </w:r>
          </w:p>
        </w:tc>
        <w:tc>
          <w:tcPr>
            <w:tcW w:type="dxa" w:w="195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86.41%</w:t>
            </w:r>
          </w:p>
        </w:tc>
        <w:tc>
          <w:tcPr>
            <w:tcW w:type="dxa" w:w="195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89.69%</w:t>
            </w:r>
          </w:p>
        </w:tc>
        <w:tc>
          <w:tcPr>
            <w:tcW w:type="dxa" w:w="195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+3.28 pp</w:t>
            </w:r>
          </w:p>
        </w:tc>
      </w:tr>
      <w:tr>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50%</w:t>
            </w:r>
          </w:p>
        </w:tc>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6,272</w:t>
            </w:r>
          </w:p>
        </w:tc>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88.44%</w:t>
            </w:r>
          </w:p>
        </w:tc>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90.95%</w:t>
            </w:r>
          </w:p>
        </w:tc>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+2.51 pp</w:t>
            </w:r>
          </w:p>
        </w:tc>
      </w:tr>
      <w:tr>
        <w:tc>
          <w:tcPr>
            <w:tcW w:type="dxa" w:w="195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100%</w:t>
            </w:r>
          </w:p>
        </w:tc>
        <w:tc>
          <w:tcPr>
            <w:tcW w:type="dxa" w:w="195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12,544</w:t>
            </w:r>
          </w:p>
        </w:tc>
        <w:tc>
          <w:tcPr>
            <w:tcW w:type="dxa" w:w="195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89.49%</w:t>
            </w:r>
          </w:p>
        </w:tc>
        <w:tc>
          <w:tcPr>
            <w:tcW w:type="dxa" w:w="195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91.55%</w:t>
            </w:r>
          </w:p>
        </w:tc>
        <w:tc>
          <w:tcPr>
            <w:tcW w:type="dxa" w:w="195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+2.06 pp</w:t>
            </w:r>
          </w:p>
        </w:tc>
      </w:tr>
    </w:tbl>
    <w:p>
      <w:pPr>
        <w:spacing w:after="120"/>
      </w:pPr>
    </w:p>
    <w:p>
      <w:pPr>
        <w:keepNext/>
        <w:spacing w:before="160" w:after="60"/>
        <w:jc w:val="center"/>
      </w:pPr>
      <w:r>
        <w:drawing>
          <wp:inline xmlns:a="http://schemas.openxmlformats.org/drawingml/2006/main" xmlns:pic="http://schemas.openxmlformats.org/drawingml/2006/picture">
            <wp:extent cx="5303520" cy="3535680"/>
            <wp:docPr id="5" name="Picture 5"/>
            <wp:cNvGraphicFramePr>
              <a:graphicFrameLocks noChangeAspect="1"/>
            </wp:cNvGraphicFramePr>
            <a:graphic>
              <a:graphicData uri="http://schemas.openxmlformats.org/drawingml/2006/picture">
                <pic:pic>
                  <pic:nvPicPr>
                    <pic:cNvPr id="0" name="learning_curve.png"/>
                    <pic:cNvPicPr/>
                  </pic:nvPicPr>
                  <pic:blipFill>
                    <a:blip r:embed="rId13"/>
                    <a:stretch>
                      <a:fillRect/>
                    </a:stretch>
                  </pic:blipFill>
                  <pic:spPr>
                    <a:xfrm>
                      <a:off x="0" y="0"/>
                      <a:ext cx="5303520" cy="3535680"/>
                    </a:xfrm>
                    <a:prstGeom prst="rect"/>
                  </pic:spPr>
                </pic:pic>
              </a:graphicData>
            </a:graphic>
          </wp:inline>
        </w:drawing>
      </w:r>
    </w:p>
    <w:p>
      <w:pPr>
        <w:spacing w:before="0" w:after="160"/>
        <w:jc w:val="center"/>
      </w:pPr>
      <w:r>
        <w:rPr>
          <w:rFonts w:ascii="Calibri" w:hAnsi="Calibri"/>
          <w:i/>
          <w:color w:val="64748B"/>
          <w:sz w:val="18"/>
        </w:rPr>
        <w:t>Figure 5. Learning curve showing dev set token accuracy as a function of training data fraction (10%, 25%, 50%, 100%) for HMM v1 and HMM v2.</w:t>
      </w:r>
    </w:p>
    <w:p>
      <w:pPr>
        <w:spacing w:after="80" w:line="276" w:lineRule="auto"/>
      </w:pPr>
      <w:r>
        <w:rPr>
          <w:rFonts w:ascii="Calibri" w:hAnsi="Calibri"/>
          <w:color w:val="2D3748"/>
          <w:sz w:val="21"/>
        </w:rPr>
        <w:t>Accuracy rises monotonically with data volume. Crucially, the advantage of HMM v2 over v1 is largest when data is scarce (+4.58 pp at 10% vs +2.06 pp at 100%). With limited training data, far more dev words are out-of-vocabulary, making morphological shape heuristics especially potent.</w:t>
      </w:r>
    </w:p>
    <w:p>
      <w:pPr>
        <w:keepNext/>
        <w:spacing w:before="160" w:after="60"/>
      </w:pPr>
      <w:r>
        <w:rPr>
          <w:rFonts w:ascii="Calibri" w:hAnsi="Calibri"/>
          <w:b/>
          <w:color w:val="1B365D"/>
          <w:sz w:val="20"/>
        </w:rPr>
        <w:t>Table 11. Non-parametric bootstrap confidence interval for (v2 - v1) on the test set (1,000 resamples).</w:t>
      </w:r>
    </w:p>
    <w:tbl>
      <w:tblPr>
        <w:tblW w:type="auto" w:w="0"/>
        <w:jc w:val="center"/>
        <w:tblLayout w:type="fixed"/>
        <w:tblLook w:firstColumn="1" w:firstRow="1" w:lastColumn="0" w:lastRow="0" w:noHBand="0" w:noVBand="1" w:val="04A0"/>
      </w:tblPr>
      <w:tblGrid>
        <w:gridCol w:w="3456"/>
        <w:gridCol w:w="2880"/>
        <w:gridCol w:w="3456"/>
      </w:tblGrid>
      <w:tr>
        <w:trPr>
          <w:tblHeader/>
        </w:trPr>
        <w:tc>
          <w:tcPr>
            <w:tcW w:type="dxa" w:w="3264"/>
            <w:tcMar>
              <w:top w:w="120" w:type="dxa"/>
              <w:bottom w:w="120" w:type="dxa"/>
              <w:left w:w="140" w:type="dxa"/>
              <w:right w:w="140" w:type="dxa"/>
            </w:tcMar>
            <w:shd w:fill="1B365D"/>
            <w:tcBorders>
              <w:top w:val="single" w:sz="4" w:space="0" w:color="1B365D"/>
              <w:bottom w:val="single" w:sz="4" w:space="0" w:color="1B365D"/>
              <w:left w:val="nil"/>
              <w:right w:val="nil"/>
            </w:tcBorders>
          </w:tcPr>
          <w:p>
            <w:pPr>
              <w:spacing w:after="0"/>
              <w:jc w:val="left"/>
            </w:pPr>
            <w:r>
              <w:rPr>
                <w:rFonts w:ascii="Calibri" w:hAnsi="Calibri"/>
                <w:b/>
                <w:color w:val="FFFFFF"/>
                <w:sz w:val="19"/>
              </w:rPr>
              <w:t>Metric</w:t>
            </w:r>
          </w:p>
        </w:tc>
        <w:tc>
          <w:tcPr>
            <w:tcW w:type="dxa" w:w="3264"/>
            <w:tcMar>
              <w:top w:w="120" w:type="dxa"/>
              <w:bottom w:w="120" w:type="dxa"/>
              <w:left w:w="140" w:type="dxa"/>
              <w:right w:w="140" w:type="dxa"/>
            </w:tcMar>
            <w:shd w:fill="1B365D"/>
            <w:tcBorders>
              <w:top w:val="single" w:sz="4" w:space="0" w:color="1B365D"/>
              <w:bottom w:val="single" w:sz="4" w:space="0" w:color="1B365D"/>
              <w:left w:val="nil"/>
              <w:right w:val="nil"/>
            </w:tcBorders>
          </w:tcPr>
          <w:p>
            <w:pPr>
              <w:spacing w:after="0"/>
              <w:jc w:val="right"/>
            </w:pPr>
            <w:r>
              <w:rPr>
                <w:rFonts w:ascii="Calibri" w:hAnsi="Calibri"/>
                <w:b/>
                <w:color w:val="FFFFFF"/>
                <w:sz w:val="19"/>
              </w:rPr>
              <w:t>Value</w:t>
            </w:r>
          </w:p>
        </w:tc>
        <w:tc>
          <w:tcPr>
            <w:tcW w:type="dxa" w:w="3264"/>
            <w:tcMar>
              <w:top w:w="120" w:type="dxa"/>
              <w:bottom w:w="120" w:type="dxa"/>
              <w:left w:w="140" w:type="dxa"/>
              <w:right w:w="140" w:type="dxa"/>
            </w:tcMar>
            <w:shd w:fill="1B365D"/>
            <w:tcBorders>
              <w:top w:val="single" w:sz="4" w:space="0" w:color="1B365D"/>
              <w:bottom w:val="single" w:sz="4" w:space="0" w:color="1B365D"/>
              <w:left w:val="nil"/>
              <w:right w:val="nil"/>
            </w:tcBorders>
          </w:tcPr>
          <w:p>
            <w:pPr>
              <w:spacing w:after="0"/>
              <w:jc w:val="left"/>
            </w:pPr>
            <w:r>
              <w:rPr>
                <w:rFonts w:ascii="Calibri" w:hAnsi="Calibri"/>
                <w:b/>
                <w:color w:val="FFFFFF"/>
                <w:sz w:val="19"/>
              </w:rPr>
              <w:t>Statistical Interpretation</w:t>
            </w:r>
          </w:p>
        </w:tc>
      </w:tr>
      <w:tr>
        <w:tc>
          <w:tcPr>
            <w:tcW w:type="dxa" w:w="326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left"/>
            </w:pPr>
            <w:r>
              <w:rPr>
                <w:rFonts w:ascii="Calibri" w:hAnsi="Calibri"/>
                <w:color w:val="2D3748"/>
                <w:sz w:val="18"/>
              </w:rPr>
              <w:t>Mean Accuracy Difference (v2 - v1)</w:t>
            </w:r>
          </w:p>
        </w:tc>
        <w:tc>
          <w:tcPr>
            <w:tcW w:type="dxa" w:w="326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+2.22 percentage points (0.02217)</w:t>
            </w:r>
          </w:p>
        </w:tc>
        <w:tc>
          <w:tcPr>
            <w:tcW w:type="dxa" w:w="326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left"/>
            </w:pPr>
            <w:r>
              <w:rPr>
                <w:rFonts w:ascii="Calibri" w:hAnsi="Calibri"/>
                <w:color w:val="2D3748"/>
                <w:sz w:val="18"/>
              </w:rPr>
              <w:t>Substantial positive gain</w:t>
            </w:r>
          </w:p>
        </w:tc>
      </w:tr>
      <w:tr>
        <w:tc>
          <w:tcPr>
            <w:tcW w:type="dxa" w:w="3264"/>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left"/>
            </w:pPr>
            <w:r>
              <w:rPr>
                <w:rFonts w:ascii="Calibri" w:hAnsi="Calibri"/>
                <w:color w:val="2D3748"/>
                <w:sz w:val="18"/>
              </w:rPr>
              <w:t>95% Bootstrap Confidence Interval</w:t>
            </w:r>
          </w:p>
        </w:tc>
        <w:tc>
          <w:tcPr>
            <w:tcW w:type="dxa" w:w="3264"/>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[+1.91%, +2.51%]</w:t>
            </w:r>
          </w:p>
        </w:tc>
        <w:tc>
          <w:tcPr>
            <w:tcW w:type="dxa" w:w="3264"/>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left"/>
            </w:pPr>
            <w:r>
              <w:rPr>
                <w:rFonts w:ascii="Calibri" w:hAnsi="Calibri"/>
                <w:color w:val="2D3748"/>
                <w:sz w:val="18"/>
              </w:rPr>
              <w:t>Narrow confidence bounds</w:t>
            </w:r>
          </w:p>
        </w:tc>
      </w:tr>
      <w:tr>
        <w:tc>
          <w:tcPr>
            <w:tcW w:type="dxa" w:w="326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left"/>
            </w:pPr>
            <w:r>
              <w:rPr>
                <w:rFonts w:ascii="Calibri" w:hAnsi="Calibri"/>
                <w:color w:val="2D3748"/>
                <w:sz w:val="18"/>
              </w:rPr>
              <w:t>Interval Excludes Zero</w:t>
            </w:r>
          </w:p>
        </w:tc>
        <w:tc>
          <w:tcPr>
            <w:tcW w:type="dxa" w:w="326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True</w:t>
            </w:r>
          </w:p>
        </w:tc>
        <w:tc>
          <w:tcPr>
            <w:tcW w:type="dxa" w:w="326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left"/>
            </w:pPr>
            <w:r>
              <w:rPr>
                <w:rFonts w:ascii="Calibri" w:hAnsi="Calibri"/>
                <w:color w:val="2D3748"/>
                <w:sz w:val="18"/>
              </w:rPr>
              <w:t>Statistically significant at α = 0.05</w:t>
            </w:r>
          </w:p>
        </w:tc>
      </w:tr>
    </w:tbl>
    <w:p>
      <w:pPr>
        <w:spacing w:after="120"/>
      </w:pPr>
    </w:p>
    <w:p>
      <w:pPr>
        <w:spacing w:after="80" w:line="276" w:lineRule="auto"/>
      </w:pPr>
      <w:r>
        <w:rPr>
          <w:rFonts w:ascii="Calibri" w:hAnsi="Calibri"/>
          <w:color w:val="2D3748"/>
          <w:sz w:val="21"/>
        </w:rPr>
        <w:t>By resampling test sentences with replacement 1,000 times, we confirm that the 95% confidence interval [+1.91%, +2.51%] lies strictly above zero. This proves that the improvement of HMM v2 over v1 is statistically reliable and not an artifact of random test sentence sampling.</w:t>
      </w:r>
    </w:p>
    <w:p>
      <w:pPr>
        <w:keepNext/>
        <w:spacing w:before="280" w:after="80"/>
      </w:pPr>
      <w:r>
        <w:rPr>
          <w:rFonts w:ascii="Calibri" w:hAnsi="Calibri"/>
          <w:b/>
          <w:color w:val="1B365D"/>
          <w:sz w:val="30"/>
        </w:rPr>
        <w:t>7. Error Analysis</w:t>
      </w:r>
    </w:p>
    <w:p>
      <w:pPr>
        <w:keepNext/>
        <w:spacing w:before="160" w:after="60"/>
      </w:pPr>
      <w:r>
        <w:rPr>
          <w:rFonts w:ascii="Calibri" w:hAnsi="Calibri"/>
          <w:b/>
          <w:color w:val="1B365D"/>
          <w:sz w:val="20"/>
        </w:rPr>
        <w:t>Table 12. The ten most frequent mistakes of HMM v1 on the test set, and how often they occur in v2.</w:t>
      </w:r>
    </w:p>
    <w:tbl>
      <w:tblPr>
        <w:tblW w:type="auto" w:w="0"/>
        <w:jc w:val="center"/>
        <w:tblLayout w:type="fixed"/>
        <w:tblLook w:firstColumn="1" w:firstRow="1" w:lastColumn="0" w:lastRow="0" w:noHBand="0" w:noVBand="1" w:val="04A0"/>
      </w:tblPr>
      <w:tblGrid>
        <w:gridCol w:w="4032"/>
        <w:gridCol w:w="1872"/>
        <w:gridCol w:w="1872"/>
        <w:gridCol w:w="2016"/>
      </w:tblGrid>
      <w:tr>
        <w:trPr>
          <w:tblHeader/>
        </w:trPr>
        <w:tc>
          <w:tcPr>
            <w:tcW w:type="dxa" w:w="2448"/>
            <w:tcMar>
              <w:top w:w="120" w:type="dxa"/>
              <w:bottom w:w="120" w:type="dxa"/>
              <w:left w:w="140" w:type="dxa"/>
              <w:right w:w="140" w:type="dxa"/>
            </w:tcMar>
            <w:shd w:fill="1B365D"/>
            <w:tcBorders>
              <w:top w:val="single" w:sz="4" w:space="0" w:color="1B365D"/>
              <w:bottom w:val="single" w:sz="4" w:space="0" w:color="1B365D"/>
              <w:left w:val="nil"/>
              <w:right w:val="nil"/>
            </w:tcBorders>
          </w:tcPr>
          <w:p>
            <w:pPr>
              <w:spacing w:after="0"/>
              <w:jc w:val="left"/>
            </w:pPr>
            <w:r>
              <w:rPr>
                <w:rFonts w:ascii="Calibri" w:hAnsi="Calibri"/>
                <w:b/>
                <w:color w:val="FFFFFF"/>
                <w:sz w:val="19"/>
              </w:rPr>
              <w:t>Gold tag → predicted tag</w:t>
            </w:r>
          </w:p>
        </w:tc>
        <w:tc>
          <w:tcPr>
            <w:tcW w:type="dxa" w:w="2448"/>
            <w:tcMar>
              <w:top w:w="120" w:type="dxa"/>
              <w:bottom w:w="120" w:type="dxa"/>
              <w:left w:w="140" w:type="dxa"/>
              <w:right w:w="140" w:type="dxa"/>
            </w:tcMar>
            <w:shd w:fill="1B365D"/>
            <w:tcBorders>
              <w:top w:val="single" w:sz="4" w:space="0" w:color="1B365D"/>
              <w:bottom w:val="single" w:sz="4" w:space="0" w:color="1B365D"/>
              <w:left w:val="nil"/>
              <w:right w:val="nil"/>
            </w:tcBorders>
          </w:tcPr>
          <w:p>
            <w:pPr>
              <w:spacing w:after="0"/>
              <w:jc w:val="right"/>
            </w:pPr>
            <w:r>
              <w:rPr>
                <w:rFonts w:ascii="Calibri" w:hAnsi="Calibri"/>
                <w:b/>
                <w:color w:val="FFFFFF"/>
                <w:sz w:val="19"/>
              </w:rPr>
              <w:t>v1 errors</w:t>
            </w:r>
          </w:p>
        </w:tc>
        <w:tc>
          <w:tcPr>
            <w:tcW w:type="dxa" w:w="2448"/>
            <w:tcMar>
              <w:top w:w="120" w:type="dxa"/>
              <w:bottom w:w="120" w:type="dxa"/>
              <w:left w:w="140" w:type="dxa"/>
              <w:right w:w="140" w:type="dxa"/>
            </w:tcMar>
            <w:shd w:fill="1B365D"/>
            <w:tcBorders>
              <w:top w:val="single" w:sz="4" w:space="0" w:color="1B365D"/>
              <w:bottom w:val="single" w:sz="4" w:space="0" w:color="1B365D"/>
              <w:left w:val="nil"/>
              <w:right w:val="nil"/>
            </w:tcBorders>
          </w:tcPr>
          <w:p>
            <w:pPr>
              <w:spacing w:after="0"/>
              <w:jc w:val="right"/>
            </w:pPr>
            <w:r>
              <w:rPr>
                <w:rFonts w:ascii="Calibri" w:hAnsi="Calibri"/>
                <w:b/>
                <w:color w:val="FFFFFF"/>
                <w:sz w:val="19"/>
              </w:rPr>
              <w:t>v2 errors</w:t>
            </w:r>
          </w:p>
        </w:tc>
        <w:tc>
          <w:tcPr>
            <w:tcW w:type="dxa" w:w="2448"/>
            <w:tcMar>
              <w:top w:w="120" w:type="dxa"/>
              <w:bottom w:w="120" w:type="dxa"/>
              <w:left w:w="140" w:type="dxa"/>
              <w:right w:w="140" w:type="dxa"/>
            </w:tcMar>
            <w:shd w:fill="1B365D"/>
            <w:tcBorders>
              <w:top w:val="single" w:sz="4" w:space="0" w:color="1B365D"/>
              <w:bottom w:val="single" w:sz="4" w:space="0" w:color="1B365D"/>
              <w:left w:val="nil"/>
              <w:right w:val="nil"/>
            </w:tcBorders>
          </w:tcPr>
          <w:p>
            <w:pPr>
              <w:spacing w:after="0"/>
              <w:jc w:val="right"/>
            </w:pPr>
            <w:r>
              <w:rPr>
                <w:rFonts w:ascii="Calibri" w:hAnsi="Calibri"/>
                <w:b/>
                <w:color w:val="FFFFFF"/>
                <w:sz w:val="19"/>
              </w:rPr>
              <w:t>Change</w:t>
            </w:r>
          </w:p>
        </w:tc>
      </w:tr>
      <w:tr>
        <w:tc>
          <w:tcPr>
            <w:tcW w:type="dxa" w:w="244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left"/>
            </w:pPr>
            <w:r>
              <w:rPr>
                <w:rFonts w:ascii="Calibri" w:hAnsi="Calibri"/>
                <w:color w:val="2D3748"/>
                <w:sz w:val="18"/>
              </w:rPr>
              <w:t>PROPN → NOUN</w:t>
            </w:r>
          </w:p>
        </w:tc>
        <w:tc>
          <w:tcPr>
            <w:tcW w:type="dxa" w:w="244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368</w:t>
            </w:r>
          </w:p>
        </w:tc>
        <w:tc>
          <w:tcPr>
            <w:tcW w:type="dxa" w:w="244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266</w:t>
            </w:r>
          </w:p>
        </w:tc>
        <w:tc>
          <w:tcPr>
            <w:tcW w:type="dxa" w:w="244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-102</w:t>
            </w:r>
          </w:p>
        </w:tc>
      </w:tr>
      <w:tr>
        <w:tc>
          <w:tcPr>
            <w:tcW w:type="dxa" w:w="244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left"/>
            </w:pPr>
            <w:r>
              <w:rPr>
                <w:rFonts w:ascii="Calibri" w:hAnsi="Calibri"/>
                <w:color w:val="2D3748"/>
                <w:sz w:val="18"/>
              </w:rPr>
              <w:t>NOUN → PROPN</w:t>
            </w:r>
          </w:p>
        </w:tc>
        <w:tc>
          <w:tcPr>
            <w:tcW w:type="dxa" w:w="244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223</w:t>
            </w:r>
          </w:p>
        </w:tc>
        <w:tc>
          <w:tcPr>
            <w:tcW w:type="dxa" w:w="244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156</w:t>
            </w:r>
          </w:p>
        </w:tc>
        <w:tc>
          <w:tcPr>
            <w:tcW w:type="dxa" w:w="244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-67</w:t>
            </w:r>
          </w:p>
        </w:tc>
      </w:tr>
      <w:tr>
        <w:tc>
          <w:tcPr>
            <w:tcW w:type="dxa" w:w="244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left"/>
            </w:pPr>
            <w:r>
              <w:rPr>
                <w:rFonts w:ascii="Calibri" w:hAnsi="Calibri"/>
                <w:color w:val="2D3748"/>
                <w:sz w:val="18"/>
              </w:rPr>
              <w:t>VERB → NOUN</w:t>
            </w:r>
          </w:p>
        </w:tc>
        <w:tc>
          <w:tcPr>
            <w:tcW w:type="dxa" w:w="244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120</w:t>
            </w:r>
          </w:p>
        </w:tc>
        <w:tc>
          <w:tcPr>
            <w:tcW w:type="dxa" w:w="244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106</w:t>
            </w:r>
          </w:p>
        </w:tc>
        <w:tc>
          <w:tcPr>
            <w:tcW w:type="dxa" w:w="244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-14</w:t>
            </w:r>
          </w:p>
        </w:tc>
      </w:tr>
      <w:tr>
        <w:tc>
          <w:tcPr>
            <w:tcW w:type="dxa" w:w="244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left"/>
            </w:pPr>
            <w:r>
              <w:rPr>
                <w:rFonts w:ascii="Calibri" w:hAnsi="Calibri"/>
                <w:color w:val="2D3748"/>
                <w:sz w:val="18"/>
              </w:rPr>
              <w:t>NUM → PROPN</w:t>
            </w:r>
          </w:p>
        </w:tc>
        <w:tc>
          <w:tcPr>
            <w:tcW w:type="dxa" w:w="244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115</w:t>
            </w:r>
          </w:p>
        </w:tc>
        <w:tc>
          <w:tcPr>
            <w:tcW w:type="dxa" w:w="244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2</w:t>
            </w:r>
          </w:p>
        </w:tc>
        <w:tc>
          <w:tcPr>
            <w:tcW w:type="dxa" w:w="244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-113</w:t>
            </w:r>
          </w:p>
        </w:tc>
      </w:tr>
      <w:tr>
        <w:tc>
          <w:tcPr>
            <w:tcW w:type="dxa" w:w="244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left"/>
            </w:pPr>
            <w:r>
              <w:rPr>
                <w:rFonts w:ascii="Calibri" w:hAnsi="Calibri"/>
                <w:color w:val="2D3748"/>
                <w:sz w:val="18"/>
              </w:rPr>
              <w:t>VERB → AUX</w:t>
            </w:r>
          </w:p>
        </w:tc>
        <w:tc>
          <w:tcPr>
            <w:tcW w:type="dxa" w:w="244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103</w:t>
            </w:r>
          </w:p>
        </w:tc>
        <w:tc>
          <w:tcPr>
            <w:tcW w:type="dxa" w:w="244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104</w:t>
            </w:r>
          </w:p>
        </w:tc>
        <w:tc>
          <w:tcPr>
            <w:tcW w:type="dxa" w:w="244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+1</w:t>
            </w:r>
          </w:p>
        </w:tc>
      </w:tr>
      <w:tr>
        <w:tc>
          <w:tcPr>
            <w:tcW w:type="dxa" w:w="244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left"/>
            </w:pPr>
            <w:r>
              <w:rPr>
                <w:rFonts w:ascii="Calibri" w:hAnsi="Calibri"/>
                <w:color w:val="2D3748"/>
                <w:sz w:val="18"/>
              </w:rPr>
              <w:t>NOUN → VERB</w:t>
            </w:r>
          </w:p>
        </w:tc>
        <w:tc>
          <w:tcPr>
            <w:tcW w:type="dxa" w:w="244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96</w:t>
            </w:r>
          </w:p>
        </w:tc>
        <w:tc>
          <w:tcPr>
            <w:tcW w:type="dxa" w:w="244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84</w:t>
            </w:r>
          </w:p>
        </w:tc>
        <w:tc>
          <w:tcPr>
            <w:tcW w:type="dxa" w:w="244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-12</w:t>
            </w:r>
          </w:p>
        </w:tc>
      </w:tr>
      <w:tr>
        <w:tc>
          <w:tcPr>
            <w:tcW w:type="dxa" w:w="244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left"/>
            </w:pPr>
            <w:r>
              <w:rPr>
                <w:rFonts w:ascii="Calibri" w:hAnsi="Calibri"/>
                <w:color w:val="2D3748"/>
                <w:sz w:val="18"/>
              </w:rPr>
              <w:t>NOUN → ADJ</w:t>
            </w:r>
          </w:p>
        </w:tc>
        <w:tc>
          <w:tcPr>
            <w:tcW w:type="dxa" w:w="244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85</w:t>
            </w:r>
          </w:p>
        </w:tc>
        <w:tc>
          <w:tcPr>
            <w:tcW w:type="dxa" w:w="244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89</w:t>
            </w:r>
          </w:p>
        </w:tc>
        <w:tc>
          <w:tcPr>
            <w:tcW w:type="dxa" w:w="244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+4</w:t>
            </w:r>
          </w:p>
        </w:tc>
      </w:tr>
      <w:tr>
        <w:tc>
          <w:tcPr>
            <w:tcW w:type="dxa" w:w="244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left"/>
            </w:pPr>
            <w:r>
              <w:rPr>
                <w:rFonts w:ascii="Calibri" w:hAnsi="Calibri"/>
                <w:color w:val="2D3748"/>
                <w:sz w:val="18"/>
              </w:rPr>
              <w:t>PROPN → ADJ</w:t>
            </w:r>
          </w:p>
        </w:tc>
        <w:tc>
          <w:tcPr>
            <w:tcW w:type="dxa" w:w="244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75</w:t>
            </w:r>
          </w:p>
        </w:tc>
        <w:tc>
          <w:tcPr>
            <w:tcW w:type="dxa" w:w="244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34</w:t>
            </w:r>
          </w:p>
        </w:tc>
        <w:tc>
          <w:tcPr>
            <w:tcW w:type="dxa" w:w="244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-41</w:t>
            </w:r>
          </w:p>
        </w:tc>
      </w:tr>
      <w:tr>
        <w:tc>
          <w:tcPr>
            <w:tcW w:type="dxa" w:w="244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left"/>
            </w:pPr>
            <w:r>
              <w:rPr>
                <w:rFonts w:ascii="Calibri" w:hAnsi="Calibri"/>
                <w:color w:val="2D3748"/>
                <w:sz w:val="18"/>
              </w:rPr>
              <w:t>ADJ → NOUN</w:t>
            </w:r>
          </w:p>
        </w:tc>
        <w:tc>
          <w:tcPr>
            <w:tcW w:type="dxa" w:w="244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72</w:t>
            </w:r>
          </w:p>
        </w:tc>
        <w:tc>
          <w:tcPr>
            <w:tcW w:type="dxa" w:w="244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69</w:t>
            </w:r>
          </w:p>
        </w:tc>
        <w:tc>
          <w:tcPr>
            <w:tcW w:type="dxa" w:w="244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-3</w:t>
            </w:r>
          </w:p>
        </w:tc>
      </w:tr>
      <w:tr>
        <w:tc>
          <w:tcPr>
            <w:tcW w:type="dxa" w:w="244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left"/>
            </w:pPr>
            <w:r>
              <w:rPr>
                <w:rFonts w:ascii="Calibri" w:hAnsi="Calibri"/>
                <w:color w:val="2D3748"/>
                <w:sz w:val="18"/>
              </w:rPr>
              <w:t>SCONJ → ADP</w:t>
            </w:r>
          </w:p>
        </w:tc>
        <w:tc>
          <w:tcPr>
            <w:tcW w:type="dxa" w:w="244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64</w:t>
            </w:r>
          </w:p>
        </w:tc>
        <w:tc>
          <w:tcPr>
            <w:tcW w:type="dxa" w:w="244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63</w:t>
            </w:r>
          </w:p>
        </w:tc>
        <w:tc>
          <w:tcPr>
            <w:tcW w:type="dxa" w:w="244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-1</w:t>
            </w:r>
          </w:p>
        </w:tc>
      </w:tr>
    </w:tbl>
    <w:p>
      <w:pPr>
        <w:spacing w:after="120"/>
      </w:pPr>
    </w:p>
    <w:p>
      <w:pPr>
        <w:spacing w:after="80" w:line="276" w:lineRule="auto"/>
      </w:pPr>
      <w:r>
        <w:rPr>
          <w:rFonts w:ascii="Calibri" w:hAnsi="Calibri"/>
          <w:color w:val="2D3748"/>
          <w:sz w:val="21"/>
        </w:rPr>
        <w:t>The bucket scheme removes almost all NUM → PROPN errors (115 to 2) and roughly halves PROPN → ADJ (75 to 34), and it reduces PROPN → NOUN (368 to 266) and NOUN → PROPN (223 to 156). Other confusions are essentially unchanged: VERB → AUX (103 to 104), NOUN → ADJ (85 to 89), ADJ → NOUN (72 to 69) and SCONJ → ADP (64 to 63). These confusions are not tied to the shape of an unknown word, so the unknown-word buckets leave them essentially unchanged.</w:t>
      </w:r>
    </w:p>
    <w:p>
      <w:pPr>
        <w:keepNext/>
        <w:spacing w:before="160" w:after="60"/>
      </w:pPr>
      <w:r>
        <w:rPr>
          <w:rFonts w:ascii="Calibri" w:hAnsi="Calibri"/>
          <w:b/>
          <w:color w:val="1B365D"/>
          <w:sz w:val="20"/>
        </w:rPr>
        <w:t>Table 13. Unknown test words by gold tag (the eight most frequent), and accuracy of each model on them.</w:t>
      </w:r>
    </w:p>
    <w:tbl>
      <w:tblPr>
        <w:tblW w:type="auto" w:w="0"/>
        <w:jc w:val="center"/>
        <w:tblLayout w:type="fixed"/>
        <w:tblLook w:firstColumn="1" w:firstRow="1" w:lastColumn="0" w:lastRow="0" w:noHBand="0" w:noVBand="1" w:val="04A0"/>
      </w:tblPr>
      <w:tblGrid>
        <w:gridCol w:w="2304"/>
        <w:gridCol w:w="1872"/>
        <w:gridCol w:w="1872"/>
        <w:gridCol w:w="1872"/>
        <w:gridCol w:w="1872"/>
      </w:tblGrid>
      <w:tr>
        <w:trPr>
          <w:tblHeader/>
        </w:trPr>
        <w:tc>
          <w:tcPr>
            <w:tcW w:type="dxa" w:w="1958"/>
            <w:tcMar>
              <w:top w:w="120" w:type="dxa"/>
              <w:bottom w:w="120" w:type="dxa"/>
              <w:left w:w="140" w:type="dxa"/>
              <w:right w:w="140" w:type="dxa"/>
            </w:tcMar>
            <w:shd w:fill="1B365D"/>
            <w:tcBorders>
              <w:top w:val="single" w:sz="4" w:space="0" w:color="1B365D"/>
              <w:bottom w:val="single" w:sz="4" w:space="0" w:color="1B365D"/>
              <w:left w:val="nil"/>
              <w:right w:val="nil"/>
            </w:tcBorders>
          </w:tcPr>
          <w:p>
            <w:pPr>
              <w:spacing w:after="0"/>
              <w:jc w:val="left"/>
            </w:pPr>
            <w:r>
              <w:rPr>
                <w:rFonts w:ascii="Calibri" w:hAnsi="Calibri"/>
                <w:b/>
                <w:color w:val="FFFFFF"/>
                <w:sz w:val="19"/>
              </w:rPr>
              <w:t>Gold tag</w:t>
            </w:r>
          </w:p>
        </w:tc>
        <w:tc>
          <w:tcPr>
            <w:tcW w:type="dxa" w:w="1958"/>
            <w:tcMar>
              <w:top w:w="120" w:type="dxa"/>
              <w:bottom w:w="120" w:type="dxa"/>
              <w:left w:w="140" w:type="dxa"/>
              <w:right w:w="140" w:type="dxa"/>
            </w:tcMar>
            <w:shd w:fill="1B365D"/>
            <w:tcBorders>
              <w:top w:val="single" w:sz="4" w:space="0" w:color="1B365D"/>
              <w:bottom w:val="single" w:sz="4" w:space="0" w:color="1B365D"/>
              <w:left w:val="nil"/>
              <w:right w:val="nil"/>
            </w:tcBorders>
          </w:tcPr>
          <w:p>
            <w:pPr>
              <w:spacing w:after="0"/>
              <w:jc w:val="right"/>
            </w:pPr>
            <w:r>
              <w:rPr>
                <w:rFonts w:ascii="Calibri" w:hAnsi="Calibri"/>
                <w:b/>
                <w:color w:val="FFFFFF"/>
                <w:sz w:val="19"/>
              </w:rPr>
              <w:t>Unknown tokens</w:t>
            </w:r>
          </w:p>
        </w:tc>
        <w:tc>
          <w:tcPr>
            <w:tcW w:type="dxa" w:w="1958"/>
            <w:tcMar>
              <w:top w:w="120" w:type="dxa"/>
              <w:bottom w:w="120" w:type="dxa"/>
              <w:left w:w="140" w:type="dxa"/>
              <w:right w:w="140" w:type="dxa"/>
            </w:tcMar>
            <w:shd w:fill="1B365D"/>
            <w:tcBorders>
              <w:top w:val="single" w:sz="4" w:space="0" w:color="1B365D"/>
              <w:bottom w:val="single" w:sz="4" w:space="0" w:color="1B365D"/>
              <w:left w:val="nil"/>
              <w:right w:val="nil"/>
            </w:tcBorders>
          </w:tcPr>
          <w:p>
            <w:pPr>
              <w:spacing w:after="0"/>
              <w:jc w:val="right"/>
            </w:pPr>
            <w:r>
              <w:rPr>
                <w:rFonts w:ascii="Calibri" w:hAnsi="Calibri"/>
                <w:b/>
                <w:color w:val="FFFFFF"/>
                <w:sz w:val="19"/>
              </w:rPr>
              <w:t>v1 accuracy</w:t>
            </w:r>
          </w:p>
        </w:tc>
        <w:tc>
          <w:tcPr>
            <w:tcW w:type="dxa" w:w="1958"/>
            <w:tcMar>
              <w:top w:w="120" w:type="dxa"/>
              <w:bottom w:w="120" w:type="dxa"/>
              <w:left w:w="140" w:type="dxa"/>
              <w:right w:w="140" w:type="dxa"/>
            </w:tcMar>
            <w:shd w:fill="1B365D"/>
            <w:tcBorders>
              <w:top w:val="single" w:sz="4" w:space="0" w:color="1B365D"/>
              <w:bottom w:val="single" w:sz="4" w:space="0" w:color="1B365D"/>
              <w:left w:val="nil"/>
              <w:right w:val="nil"/>
            </w:tcBorders>
          </w:tcPr>
          <w:p>
            <w:pPr>
              <w:spacing w:after="0"/>
              <w:jc w:val="right"/>
            </w:pPr>
            <w:r>
              <w:rPr>
                <w:rFonts w:ascii="Calibri" w:hAnsi="Calibri"/>
                <w:b/>
                <w:color w:val="FFFFFF"/>
                <w:sz w:val="19"/>
              </w:rPr>
              <w:t>v2 accuracy</w:t>
            </w:r>
          </w:p>
        </w:tc>
        <w:tc>
          <w:tcPr>
            <w:tcW w:type="dxa" w:w="1958"/>
            <w:tcMar>
              <w:top w:w="120" w:type="dxa"/>
              <w:bottom w:w="120" w:type="dxa"/>
              <w:left w:w="140" w:type="dxa"/>
              <w:right w:w="140" w:type="dxa"/>
            </w:tcMar>
            <w:shd w:fill="1B365D"/>
            <w:tcBorders>
              <w:top w:val="single" w:sz="4" w:space="0" w:color="1B365D"/>
              <w:bottom w:val="single" w:sz="4" w:space="0" w:color="1B365D"/>
              <w:left w:val="nil"/>
              <w:right w:val="nil"/>
            </w:tcBorders>
          </w:tcPr>
          <w:p>
            <w:pPr>
              <w:spacing w:after="0"/>
              <w:jc w:val="right"/>
            </w:pPr>
            <w:r>
              <w:rPr>
                <w:rFonts w:ascii="Calibri" w:hAnsi="Calibri"/>
                <w:b/>
                <w:color w:val="FFFFFF"/>
                <w:sz w:val="19"/>
              </w:rPr>
              <w:t>Gain</w:t>
            </w:r>
          </w:p>
        </w:tc>
      </w:tr>
      <w:tr>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left"/>
            </w:pPr>
            <w:r>
              <w:rPr>
                <w:rFonts w:ascii="Calibri" w:hAnsi="Calibri"/>
                <w:color w:val="2D3748"/>
                <w:sz w:val="18"/>
              </w:rPr>
              <w:t>PROPN</w:t>
            </w:r>
          </w:p>
        </w:tc>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760</w:t>
            </w:r>
          </w:p>
        </w:tc>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66.4%</w:t>
            </w:r>
          </w:p>
        </w:tc>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85.5%</w:t>
            </w:r>
          </w:p>
        </w:tc>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+19.1 pp</w:t>
            </w:r>
          </w:p>
        </w:tc>
      </w:tr>
      <w:tr>
        <w:tc>
          <w:tcPr>
            <w:tcW w:type="dxa" w:w="195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left"/>
            </w:pPr>
            <w:r>
              <w:rPr>
                <w:rFonts w:ascii="Calibri" w:hAnsi="Calibri"/>
                <w:color w:val="2D3748"/>
                <w:sz w:val="18"/>
              </w:rPr>
              <w:t>NOUN</w:t>
            </w:r>
          </w:p>
        </w:tc>
        <w:tc>
          <w:tcPr>
            <w:tcW w:type="dxa" w:w="195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538</w:t>
            </w:r>
          </w:p>
        </w:tc>
        <w:tc>
          <w:tcPr>
            <w:tcW w:type="dxa" w:w="195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59.1%</w:t>
            </w:r>
          </w:p>
        </w:tc>
        <w:tc>
          <w:tcPr>
            <w:tcW w:type="dxa" w:w="195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69.7%</w:t>
            </w:r>
          </w:p>
        </w:tc>
        <w:tc>
          <w:tcPr>
            <w:tcW w:type="dxa" w:w="195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+10.6 pp</w:t>
            </w:r>
          </w:p>
        </w:tc>
      </w:tr>
      <w:tr>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left"/>
            </w:pPr>
            <w:r>
              <w:rPr>
                <w:rFonts w:ascii="Calibri" w:hAnsi="Calibri"/>
                <w:color w:val="2D3748"/>
                <w:sz w:val="18"/>
              </w:rPr>
              <w:t>NUM</w:t>
            </w:r>
          </w:p>
        </w:tc>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204</w:t>
            </w:r>
          </w:p>
        </w:tc>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19.1%</w:t>
            </w:r>
          </w:p>
        </w:tc>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97.1%</w:t>
            </w:r>
          </w:p>
        </w:tc>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+78.0 pp</w:t>
            </w:r>
          </w:p>
        </w:tc>
      </w:tr>
      <w:tr>
        <w:tc>
          <w:tcPr>
            <w:tcW w:type="dxa" w:w="195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left"/>
            </w:pPr>
            <w:r>
              <w:rPr>
                <w:rFonts w:ascii="Calibri" w:hAnsi="Calibri"/>
                <w:color w:val="2D3748"/>
                <w:sz w:val="18"/>
              </w:rPr>
              <w:t>VERB</w:t>
            </w:r>
          </w:p>
        </w:tc>
        <w:tc>
          <w:tcPr>
            <w:tcW w:type="dxa" w:w="195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153</w:t>
            </w:r>
          </w:p>
        </w:tc>
        <w:tc>
          <w:tcPr>
            <w:tcW w:type="dxa" w:w="195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61.4%</w:t>
            </w:r>
          </w:p>
        </w:tc>
        <w:tc>
          <w:tcPr>
            <w:tcW w:type="dxa" w:w="195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74.5%</w:t>
            </w:r>
          </w:p>
        </w:tc>
        <w:tc>
          <w:tcPr>
            <w:tcW w:type="dxa" w:w="195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+13.1 pp</w:t>
            </w:r>
          </w:p>
        </w:tc>
      </w:tr>
      <w:tr>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left"/>
            </w:pPr>
            <w:r>
              <w:rPr>
                <w:rFonts w:ascii="Calibri" w:hAnsi="Calibri"/>
                <w:color w:val="2D3748"/>
                <w:sz w:val="18"/>
              </w:rPr>
              <w:t>ADJ</w:t>
            </w:r>
          </w:p>
        </w:tc>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126</w:t>
            </w:r>
          </w:p>
        </w:tc>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37.3%</w:t>
            </w:r>
          </w:p>
        </w:tc>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42.1%</w:t>
            </w:r>
          </w:p>
        </w:tc>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+4.8 pp</w:t>
            </w:r>
          </w:p>
        </w:tc>
      </w:tr>
      <w:tr>
        <w:tc>
          <w:tcPr>
            <w:tcW w:type="dxa" w:w="195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left"/>
            </w:pPr>
            <w:r>
              <w:rPr>
                <w:rFonts w:ascii="Calibri" w:hAnsi="Calibri"/>
                <w:color w:val="2D3748"/>
                <w:sz w:val="18"/>
              </w:rPr>
              <w:t>X</w:t>
            </w:r>
          </w:p>
        </w:tc>
        <w:tc>
          <w:tcPr>
            <w:tcW w:type="dxa" w:w="195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27</w:t>
            </w:r>
          </w:p>
        </w:tc>
        <w:tc>
          <w:tcPr>
            <w:tcW w:type="dxa" w:w="195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0.0%</w:t>
            </w:r>
          </w:p>
        </w:tc>
        <w:tc>
          <w:tcPr>
            <w:tcW w:type="dxa" w:w="195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3.7%</w:t>
            </w:r>
          </w:p>
        </w:tc>
        <w:tc>
          <w:tcPr>
            <w:tcW w:type="dxa" w:w="195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+3.7 pp</w:t>
            </w:r>
          </w:p>
        </w:tc>
      </w:tr>
      <w:tr>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left"/>
            </w:pPr>
            <w:r>
              <w:rPr>
                <w:rFonts w:ascii="Calibri" w:hAnsi="Calibri"/>
                <w:color w:val="2D3748"/>
                <w:sz w:val="18"/>
              </w:rPr>
              <w:t>PUNCT</w:t>
            </w:r>
          </w:p>
        </w:tc>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23</w:t>
            </w:r>
          </w:p>
        </w:tc>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4.3%</w:t>
            </w:r>
          </w:p>
        </w:tc>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87.0%</w:t>
            </w:r>
          </w:p>
        </w:tc>
        <w:tc>
          <w:tcPr>
            <w:tcW w:type="dxa" w:w="1958"/>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right"/>
            </w:pPr>
            <w:r>
              <w:rPr>
                <w:rFonts w:ascii="Calibri" w:hAnsi="Calibri"/>
                <w:color w:val="2D3748"/>
                <w:sz w:val="18"/>
              </w:rPr>
              <w:t>+82.7 pp</w:t>
            </w:r>
          </w:p>
        </w:tc>
      </w:tr>
      <w:tr>
        <w:tc>
          <w:tcPr>
            <w:tcW w:type="dxa" w:w="195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left"/>
            </w:pPr>
            <w:r>
              <w:rPr>
                <w:rFonts w:ascii="Calibri" w:hAnsi="Calibri"/>
                <w:color w:val="2D3748"/>
                <w:sz w:val="18"/>
              </w:rPr>
              <w:t>ADV</w:t>
            </w:r>
          </w:p>
        </w:tc>
        <w:tc>
          <w:tcPr>
            <w:tcW w:type="dxa" w:w="195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18</w:t>
            </w:r>
          </w:p>
        </w:tc>
        <w:tc>
          <w:tcPr>
            <w:tcW w:type="dxa" w:w="195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16.7%</w:t>
            </w:r>
          </w:p>
        </w:tc>
        <w:tc>
          <w:tcPr>
            <w:tcW w:type="dxa" w:w="195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66.7%</w:t>
            </w:r>
          </w:p>
        </w:tc>
        <w:tc>
          <w:tcPr>
            <w:tcW w:type="dxa" w:w="1958"/>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right"/>
            </w:pPr>
            <w:r>
              <w:rPr>
                <w:rFonts w:ascii="Calibri" w:hAnsi="Calibri"/>
                <w:color w:val="2D3748"/>
                <w:sz w:val="18"/>
              </w:rPr>
              <w:t>+50.0 pp</w:t>
            </w:r>
          </w:p>
        </w:tc>
      </w:tr>
    </w:tbl>
    <w:p>
      <w:pPr>
        <w:spacing w:after="120"/>
      </w:pPr>
    </w:p>
    <w:p>
      <w:pPr>
        <w:spacing w:after="80" w:line="276" w:lineRule="auto"/>
      </w:pPr>
      <w:r>
        <w:rPr>
          <w:rFonts w:ascii="Calibri" w:hAnsi="Calibri"/>
          <w:color w:val="2D3748"/>
          <w:sz w:val="21"/>
        </w:rPr>
        <w:t>Unknown proper nouns and nouns are the most numerous unknown words. In v1, unknown numbers were tagged correctly only 19.1% of the time and unknown punctuation or symbols only 4.3% of the time, because they shared one emission row with all other unknown words. In v2 these rise to 97.1% and 87.0%. Among the larger groups, unknown nouns and adjectives remain the hardest (69.7% and 42.1%), since their shape gives few reliable clues; the tag X is also still very poor (3.7%) but covers only 27 unknown tokens.</w:t>
      </w:r>
    </w:p>
    <w:p>
      <w:pPr>
        <w:keepNext/>
        <w:spacing w:before="160" w:after="60"/>
        <w:jc w:val="center"/>
      </w:pPr>
      <w:r>
        <w:drawing>
          <wp:inline xmlns:a="http://schemas.openxmlformats.org/drawingml/2006/main" xmlns:pic="http://schemas.openxmlformats.org/drawingml/2006/picture">
            <wp:extent cx="5303520" cy="4640580"/>
            <wp:docPr id="6" name="Picture 6"/>
            <wp:cNvGraphicFramePr>
              <a:graphicFrameLocks noChangeAspect="1"/>
            </wp:cNvGraphicFramePr>
            <a:graphic>
              <a:graphicData uri="http://schemas.openxmlformats.org/drawingml/2006/picture">
                <pic:pic>
                  <pic:nvPicPr>
                    <pic:cNvPr id="0" name="fig_2.png"/>
                    <pic:cNvPicPr/>
                  </pic:nvPicPr>
                  <pic:blipFill>
                    <a:blip r:embed="rId14"/>
                    <a:stretch>
                      <a:fillRect/>
                    </a:stretch>
                  </pic:blipFill>
                  <pic:spPr>
                    <a:xfrm>
                      <a:off x="0" y="0"/>
                      <a:ext cx="5303520" cy="4640580"/>
                    </a:xfrm>
                    <a:prstGeom prst="rect"/>
                  </pic:spPr>
                </pic:pic>
              </a:graphicData>
            </a:graphic>
          </wp:inline>
        </w:drawing>
      </w:r>
    </w:p>
    <w:p>
      <w:pPr>
        <w:spacing w:before="0" w:after="160"/>
        <w:jc w:val="center"/>
      </w:pPr>
      <w:r>
        <w:rPr>
          <w:rFonts w:ascii="Calibri" w:hAnsi="Calibri"/>
          <w:i/>
          <w:color w:val="64748B"/>
          <w:sz w:val="18"/>
        </w:rPr>
        <w:t>Figure 6. Row-normalised confusion matrix of HMM v2 on the test set (rows are gold tags, columns are predicted tags).</w:t>
      </w:r>
    </w:p>
    <w:p>
      <w:pPr>
        <w:keepNext/>
        <w:spacing w:before="280" w:after="80"/>
      </w:pPr>
      <w:r>
        <w:rPr>
          <w:rFonts w:ascii="Calibri" w:hAnsi="Calibri"/>
          <w:b/>
          <w:color w:val="1B365D"/>
          <w:sz w:val="30"/>
        </w:rPr>
        <w:t>8. Decoded Sentence Examples</w:t>
      </w:r>
    </w:p>
    <w:p>
      <w:pPr>
        <w:spacing w:after="80" w:line="276" w:lineRule="auto"/>
      </w:pPr>
      <w:r>
        <w:rPr>
          <w:rFonts w:ascii="Calibri" w:hAnsi="Calibri"/>
          <w:color w:val="2D3748"/>
          <w:sz w:val="21"/>
        </w:rPr>
        <w:t>Tables 14 to 17 show four test sentences. In the first three, v2 fixes the mistake made by v1 (highlighted in green). Wrong predictions are shaded in red. The sentences were drawn at random with a fixed seed from sentences of 8 to 14 words.</w:t>
      </w:r>
    </w:p>
    <w:p>
      <w:pPr>
        <w:keepNext/>
        <w:spacing w:before="160" w:after="60"/>
      </w:pPr>
      <w:r>
        <w:rPr>
          <w:rFonts w:ascii="Calibri" w:hAnsi="Calibri"/>
          <w:b/>
          <w:color w:val="1B365D"/>
          <w:sz w:val="20"/>
        </w:rPr>
        <w:t>Table 14. Test sentence 650 (Acronym 'CDWR' corrected from ADJ to NOUN by v2).</w:t>
      </w:r>
    </w:p>
    <w:tbl>
      <w:tblPr>
        <w:tblW w:type="auto" w:w="0"/>
        <w:jc w:val="center"/>
        <w:tblLayout w:type="fixed"/>
        <w:tblLook w:firstColumn="1" w:firstRow="1" w:lastColumn="0" w:lastRow="0" w:noHBand="0" w:noVBand="1" w:val="04A0"/>
      </w:tblPr>
      <w:tblGrid>
        <w:gridCol w:w="3168"/>
        <w:gridCol w:w="2016"/>
        <w:gridCol w:w="2016"/>
        <w:gridCol w:w="2016"/>
      </w:tblGrid>
      <w:tr>
        <w:trPr>
          <w:tblHeader/>
        </w:trPr>
        <w:tc>
          <w:tcPr>
            <w:tcW w:type="dxa" w:w="2448"/>
            <w:tcMar>
              <w:top w:w="100" w:type="dxa"/>
              <w:bottom w:w="100" w:type="dxa"/>
              <w:left w:w="120" w:type="dxa"/>
              <w:right w:w="120" w:type="dxa"/>
            </w:tcMar>
            <w:shd w:fill="1B365D"/>
            <w:tcBorders>
              <w:top w:val="single" w:sz="4" w:space="0" w:color="1B365D"/>
              <w:bottom w:val="single" w:sz="4" w:space="0" w:color="1B365D"/>
              <w:left w:val="nil"/>
              <w:right w:val="nil"/>
            </w:tcBorders>
          </w:tcPr>
          <w:p>
            <w:pPr>
              <w:spacing w:after="0"/>
            </w:pPr>
            <w:r>
              <w:rPr>
                <w:rFonts w:ascii="Calibri" w:hAnsi="Calibri"/>
                <w:b/>
                <w:color w:val="FFFFFF"/>
                <w:sz w:val="19"/>
              </w:rPr>
              <w:t>Word</w:t>
            </w:r>
          </w:p>
        </w:tc>
        <w:tc>
          <w:tcPr>
            <w:tcW w:type="dxa" w:w="2448"/>
            <w:tcMar>
              <w:top w:w="100" w:type="dxa"/>
              <w:bottom w:w="100" w:type="dxa"/>
              <w:left w:w="120" w:type="dxa"/>
              <w:right w:w="120" w:type="dxa"/>
            </w:tcMar>
            <w:shd w:fill="1B365D"/>
            <w:tcBorders>
              <w:top w:val="single" w:sz="4" w:space="0" w:color="1B365D"/>
              <w:bottom w:val="single" w:sz="4" w:space="0" w:color="1B365D"/>
              <w:left w:val="nil"/>
              <w:right w:val="nil"/>
            </w:tcBorders>
          </w:tcPr>
          <w:p>
            <w:pPr>
              <w:spacing w:after="0"/>
            </w:pPr>
            <w:r>
              <w:rPr>
                <w:rFonts w:ascii="Calibri" w:hAnsi="Calibri"/>
                <w:b/>
                <w:color w:val="FFFFFF"/>
                <w:sz w:val="19"/>
              </w:rPr>
              <w:t>Gold</w:t>
            </w:r>
          </w:p>
        </w:tc>
        <w:tc>
          <w:tcPr>
            <w:tcW w:type="dxa" w:w="2448"/>
            <w:tcMar>
              <w:top w:w="100" w:type="dxa"/>
              <w:bottom w:w="100" w:type="dxa"/>
              <w:left w:w="120" w:type="dxa"/>
              <w:right w:w="120" w:type="dxa"/>
            </w:tcMar>
            <w:shd w:fill="1B365D"/>
            <w:tcBorders>
              <w:top w:val="single" w:sz="4" w:space="0" w:color="1B365D"/>
              <w:bottom w:val="single" w:sz="4" w:space="0" w:color="1B365D"/>
              <w:left w:val="nil"/>
              <w:right w:val="nil"/>
            </w:tcBorders>
          </w:tcPr>
          <w:p>
            <w:pPr>
              <w:spacing w:after="0"/>
            </w:pPr>
            <w:r>
              <w:rPr>
                <w:rFonts w:ascii="Calibri" w:hAnsi="Calibri"/>
                <w:b/>
                <w:color w:val="FFFFFF"/>
                <w:sz w:val="19"/>
              </w:rPr>
              <w:t>v1 Pred</w:t>
            </w:r>
          </w:p>
        </w:tc>
        <w:tc>
          <w:tcPr>
            <w:tcW w:type="dxa" w:w="2448"/>
            <w:tcMar>
              <w:top w:w="100" w:type="dxa"/>
              <w:bottom w:w="100" w:type="dxa"/>
              <w:left w:w="120" w:type="dxa"/>
              <w:right w:w="120" w:type="dxa"/>
            </w:tcMar>
            <w:shd w:fill="1B365D"/>
            <w:tcBorders>
              <w:top w:val="single" w:sz="4" w:space="0" w:color="1B365D"/>
              <w:bottom w:val="single" w:sz="4" w:space="0" w:color="1B365D"/>
              <w:left w:val="nil"/>
              <w:right w:val="nil"/>
            </w:tcBorders>
          </w:tcPr>
          <w:p>
            <w:pPr>
              <w:spacing w:after="0"/>
            </w:pPr>
            <w:r>
              <w:rPr>
                <w:rFonts w:ascii="Calibri" w:hAnsi="Calibri"/>
                <w:b/>
                <w:color w:val="FFFFFF"/>
                <w:sz w:val="19"/>
              </w:rPr>
              <w:t>v2 Pred</w:t>
            </w:r>
          </w:p>
        </w:tc>
      </w:tr>
      <w:tr>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Here</w:t>
            </w:r>
          </w:p>
        </w:tc>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ADV</w:t>
            </w:r>
          </w:p>
        </w:tc>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ADV</w:t>
            </w:r>
          </w:p>
        </w:tc>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ADV</w:t>
            </w:r>
          </w:p>
        </w:tc>
      </w:tr>
      <w:tr>
        <w:tc>
          <w:tcPr>
            <w:tcW w:type="dxa" w:w="2448"/>
            <w:tcMar>
              <w:top w:w="80" w:type="dxa"/>
              <w:bottom w:w="80" w:type="dxa"/>
              <w:left w:w="120" w:type="dxa"/>
              <w:right w:w="120" w:type="dxa"/>
            </w:tcMar>
            <w:shd w:fill="F8FAFC"/>
            <w:tcBorders>
              <w:top w:val="single" w:sz="4" w:space="0" w:color="CBD5E1"/>
              <w:bottom w:val="single" w:sz="4" w:space="0" w:color="CBD5E1"/>
              <w:left w:val="nil"/>
              <w:right w:val="nil"/>
            </w:tcBorders>
          </w:tcPr>
          <w:p>
            <w:pPr>
              <w:spacing w:after="0"/>
            </w:pPr>
            <w:r>
              <w:rPr>
                <w:rFonts w:ascii="Calibri" w:hAnsi="Calibri"/>
                <w:b w:val="0"/>
                <w:color w:val="2D3748"/>
                <w:sz w:val="18"/>
              </w:rPr>
              <w:t>is</w:t>
            </w:r>
          </w:p>
        </w:tc>
        <w:tc>
          <w:tcPr>
            <w:tcW w:type="dxa" w:w="2448"/>
            <w:tcMar>
              <w:top w:w="80" w:type="dxa"/>
              <w:bottom w:w="80" w:type="dxa"/>
              <w:left w:w="120" w:type="dxa"/>
              <w:right w:w="120" w:type="dxa"/>
            </w:tcMar>
            <w:shd w:fill="F8FAFC"/>
            <w:tcBorders>
              <w:top w:val="single" w:sz="4" w:space="0" w:color="CBD5E1"/>
              <w:bottom w:val="single" w:sz="4" w:space="0" w:color="CBD5E1"/>
              <w:left w:val="nil"/>
              <w:right w:val="nil"/>
            </w:tcBorders>
          </w:tcPr>
          <w:p>
            <w:pPr>
              <w:spacing w:after="0"/>
            </w:pPr>
            <w:r>
              <w:rPr>
                <w:rFonts w:ascii="Calibri" w:hAnsi="Calibri"/>
                <w:b w:val="0"/>
                <w:color w:val="2D3748"/>
                <w:sz w:val="18"/>
              </w:rPr>
              <w:t>AUX</w:t>
            </w:r>
          </w:p>
        </w:tc>
        <w:tc>
          <w:tcPr>
            <w:tcW w:type="dxa" w:w="2448"/>
            <w:tcMar>
              <w:top w:w="80" w:type="dxa"/>
              <w:bottom w:w="80" w:type="dxa"/>
              <w:left w:w="120" w:type="dxa"/>
              <w:right w:w="120" w:type="dxa"/>
            </w:tcMar>
            <w:shd w:fill="F8FAFC"/>
            <w:tcBorders>
              <w:top w:val="single" w:sz="4" w:space="0" w:color="CBD5E1"/>
              <w:bottom w:val="single" w:sz="4" w:space="0" w:color="CBD5E1"/>
              <w:left w:val="nil"/>
              <w:right w:val="nil"/>
            </w:tcBorders>
          </w:tcPr>
          <w:p>
            <w:pPr>
              <w:spacing w:after="0"/>
            </w:pPr>
            <w:r>
              <w:rPr>
                <w:rFonts w:ascii="Calibri" w:hAnsi="Calibri"/>
                <w:b w:val="0"/>
                <w:color w:val="2D3748"/>
                <w:sz w:val="18"/>
              </w:rPr>
              <w:t>AUX</w:t>
            </w:r>
          </w:p>
        </w:tc>
        <w:tc>
          <w:tcPr>
            <w:tcW w:type="dxa" w:w="2448"/>
            <w:tcMar>
              <w:top w:w="80" w:type="dxa"/>
              <w:bottom w:w="80" w:type="dxa"/>
              <w:left w:w="120" w:type="dxa"/>
              <w:right w:w="120" w:type="dxa"/>
            </w:tcMar>
            <w:shd w:fill="F8FAFC"/>
            <w:tcBorders>
              <w:top w:val="single" w:sz="4" w:space="0" w:color="CBD5E1"/>
              <w:bottom w:val="single" w:sz="4" w:space="0" w:color="CBD5E1"/>
              <w:left w:val="nil"/>
              <w:right w:val="nil"/>
            </w:tcBorders>
          </w:tcPr>
          <w:p>
            <w:pPr>
              <w:spacing w:after="0"/>
            </w:pPr>
            <w:r>
              <w:rPr>
                <w:rFonts w:ascii="Calibri" w:hAnsi="Calibri"/>
                <w:b w:val="0"/>
                <w:color w:val="2D3748"/>
                <w:sz w:val="18"/>
              </w:rPr>
              <w:t>AUX</w:t>
            </w:r>
          </w:p>
        </w:tc>
      </w:tr>
      <w:tr>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a</w:t>
            </w:r>
          </w:p>
        </w:tc>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DET</w:t>
            </w:r>
          </w:p>
        </w:tc>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DET</w:t>
            </w:r>
          </w:p>
        </w:tc>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DET</w:t>
            </w:r>
          </w:p>
        </w:tc>
      </w:tr>
      <w:tr>
        <w:tc>
          <w:tcPr>
            <w:tcW w:type="dxa" w:w="2448"/>
            <w:tcMar>
              <w:top w:w="80" w:type="dxa"/>
              <w:bottom w:w="80" w:type="dxa"/>
              <w:left w:w="120" w:type="dxa"/>
              <w:right w:w="120" w:type="dxa"/>
            </w:tcMar>
            <w:shd w:fill="F8FAFC"/>
            <w:tcBorders>
              <w:top w:val="single" w:sz="4" w:space="0" w:color="CBD5E1"/>
              <w:bottom w:val="single" w:sz="4" w:space="0" w:color="CBD5E1"/>
              <w:left w:val="nil"/>
              <w:right w:val="nil"/>
            </w:tcBorders>
          </w:tcPr>
          <w:p>
            <w:pPr>
              <w:spacing w:after="0"/>
            </w:pPr>
            <w:r>
              <w:rPr>
                <w:rFonts w:ascii="Calibri" w:hAnsi="Calibri"/>
                <w:b w:val="0"/>
                <w:color w:val="2D3748"/>
                <w:sz w:val="18"/>
              </w:rPr>
              <w:t>revised</w:t>
            </w:r>
          </w:p>
        </w:tc>
        <w:tc>
          <w:tcPr>
            <w:tcW w:type="dxa" w:w="2448"/>
            <w:tcMar>
              <w:top w:w="80" w:type="dxa"/>
              <w:bottom w:w="80" w:type="dxa"/>
              <w:left w:w="120" w:type="dxa"/>
              <w:right w:w="120" w:type="dxa"/>
            </w:tcMar>
            <w:shd w:fill="F8FAFC"/>
            <w:tcBorders>
              <w:top w:val="single" w:sz="4" w:space="0" w:color="CBD5E1"/>
              <w:bottom w:val="single" w:sz="4" w:space="0" w:color="CBD5E1"/>
              <w:left w:val="nil"/>
              <w:right w:val="nil"/>
            </w:tcBorders>
          </w:tcPr>
          <w:p>
            <w:pPr>
              <w:spacing w:after="0"/>
            </w:pPr>
            <w:r>
              <w:rPr>
                <w:rFonts w:ascii="Calibri" w:hAnsi="Calibri"/>
                <w:b w:val="0"/>
                <w:color w:val="2D3748"/>
                <w:sz w:val="18"/>
              </w:rPr>
              <w:t>VERB</w:t>
            </w:r>
          </w:p>
        </w:tc>
        <w:tc>
          <w:tcPr>
            <w:tcW w:type="dxa" w:w="2448"/>
            <w:tcMar>
              <w:top w:w="80" w:type="dxa"/>
              <w:bottom w:w="80" w:type="dxa"/>
              <w:left w:w="120" w:type="dxa"/>
              <w:right w:w="120" w:type="dxa"/>
            </w:tcMar>
            <w:shd w:fill="F8FAFC"/>
            <w:tcBorders>
              <w:top w:val="single" w:sz="4" w:space="0" w:color="CBD5E1"/>
              <w:bottom w:val="single" w:sz="4" w:space="0" w:color="CBD5E1"/>
              <w:left w:val="nil"/>
              <w:right w:val="nil"/>
            </w:tcBorders>
          </w:tcPr>
          <w:p>
            <w:pPr>
              <w:spacing w:after="0"/>
            </w:pPr>
            <w:r>
              <w:rPr>
                <w:rFonts w:ascii="Calibri" w:hAnsi="Calibri"/>
                <w:b w:val="0"/>
                <w:color w:val="2D3748"/>
                <w:sz w:val="18"/>
              </w:rPr>
              <w:t>VERB</w:t>
            </w:r>
          </w:p>
        </w:tc>
        <w:tc>
          <w:tcPr>
            <w:tcW w:type="dxa" w:w="2448"/>
            <w:tcMar>
              <w:top w:w="80" w:type="dxa"/>
              <w:bottom w:w="80" w:type="dxa"/>
              <w:left w:w="120" w:type="dxa"/>
              <w:right w:w="120" w:type="dxa"/>
            </w:tcMar>
            <w:shd w:fill="F8FAFC"/>
            <w:tcBorders>
              <w:top w:val="single" w:sz="4" w:space="0" w:color="CBD5E1"/>
              <w:bottom w:val="single" w:sz="4" w:space="0" w:color="CBD5E1"/>
              <w:left w:val="nil"/>
              <w:right w:val="nil"/>
            </w:tcBorders>
          </w:tcPr>
          <w:p>
            <w:pPr>
              <w:spacing w:after="0"/>
            </w:pPr>
            <w:r>
              <w:rPr>
                <w:rFonts w:ascii="Calibri" w:hAnsi="Calibri"/>
                <w:b w:val="0"/>
                <w:color w:val="2D3748"/>
                <w:sz w:val="18"/>
              </w:rPr>
              <w:t>VERB</w:t>
            </w:r>
          </w:p>
        </w:tc>
      </w:tr>
      <w:tr>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draft</w:t>
            </w:r>
          </w:p>
        </w:tc>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NOUN</w:t>
            </w:r>
          </w:p>
        </w:tc>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NOUN</w:t>
            </w:r>
          </w:p>
        </w:tc>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NOUN</w:t>
            </w:r>
          </w:p>
        </w:tc>
      </w:tr>
      <w:tr>
        <w:tc>
          <w:tcPr>
            <w:tcW w:type="dxa" w:w="2448"/>
            <w:tcMar>
              <w:top w:w="80" w:type="dxa"/>
              <w:bottom w:w="80" w:type="dxa"/>
              <w:left w:w="120" w:type="dxa"/>
              <w:right w:w="120" w:type="dxa"/>
            </w:tcMar>
            <w:shd w:fill="F8FAFC"/>
            <w:tcBorders>
              <w:top w:val="single" w:sz="4" w:space="0" w:color="CBD5E1"/>
              <w:bottom w:val="single" w:sz="4" w:space="0" w:color="CBD5E1"/>
              <w:left w:val="nil"/>
              <w:right w:val="nil"/>
            </w:tcBorders>
          </w:tcPr>
          <w:p>
            <w:pPr>
              <w:spacing w:after="0"/>
            </w:pPr>
            <w:r>
              <w:rPr>
                <w:rFonts w:ascii="Calibri" w:hAnsi="Calibri"/>
                <w:b w:val="0"/>
                <w:color w:val="2D3748"/>
                <w:sz w:val="18"/>
              </w:rPr>
              <w:t>of</w:t>
            </w:r>
          </w:p>
        </w:tc>
        <w:tc>
          <w:tcPr>
            <w:tcW w:type="dxa" w:w="2448"/>
            <w:tcMar>
              <w:top w:w="80" w:type="dxa"/>
              <w:bottom w:w="80" w:type="dxa"/>
              <w:left w:w="120" w:type="dxa"/>
              <w:right w:w="120" w:type="dxa"/>
            </w:tcMar>
            <w:shd w:fill="F8FAFC"/>
            <w:tcBorders>
              <w:top w:val="single" w:sz="4" w:space="0" w:color="CBD5E1"/>
              <w:bottom w:val="single" w:sz="4" w:space="0" w:color="CBD5E1"/>
              <w:left w:val="nil"/>
              <w:right w:val="nil"/>
            </w:tcBorders>
          </w:tcPr>
          <w:p>
            <w:pPr>
              <w:spacing w:after="0"/>
            </w:pPr>
            <w:r>
              <w:rPr>
                <w:rFonts w:ascii="Calibri" w:hAnsi="Calibri"/>
                <w:b w:val="0"/>
                <w:color w:val="2D3748"/>
                <w:sz w:val="18"/>
              </w:rPr>
              <w:t>ADP</w:t>
            </w:r>
          </w:p>
        </w:tc>
        <w:tc>
          <w:tcPr>
            <w:tcW w:type="dxa" w:w="2448"/>
            <w:tcMar>
              <w:top w:w="80" w:type="dxa"/>
              <w:bottom w:w="80" w:type="dxa"/>
              <w:left w:w="120" w:type="dxa"/>
              <w:right w:w="120" w:type="dxa"/>
            </w:tcMar>
            <w:shd w:fill="F8FAFC"/>
            <w:tcBorders>
              <w:top w:val="single" w:sz="4" w:space="0" w:color="CBD5E1"/>
              <w:bottom w:val="single" w:sz="4" w:space="0" w:color="CBD5E1"/>
              <w:left w:val="nil"/>
              <w:right w:val="nil"/>
            </w:tcBorders>
          </w:tcPr>
          <w:p>
            <w:pPr>
              <w:spacing w:after="0"/>
            </w:pPr>
            <w:r>
              <w:rPr>
                <w:rFonts w:ascii="Calibri" w:hAnsi="Calibri"/>
                <w:b w:val="0"/>
                <w:color w:val="2D3748"/>
                <w:sz w:val="18"/>
              </w:rPr>
              <w:t>ADP</w:t>
            </w:r>
          </w:p>
        </w:tc>
        <w:tc>
          <w:tcPr>
            <w:tcW w:type="dxa" w:w="2448"/>
            <w:tcMar>
              <w:top w:w="80" w:type="dxa"/>
              <w:bottom w:w="80" w:type="dxa"/>
              <w:left w:w="120" w:type="dxa"/>
              <w:right w:w="120" w:type="dxa"/>
            </w:tcMar>
            <w:shd w:fill="F8FAFC"/>
            <w:tcBorders>
              <w:top w:val="single" w:sz="4" w:space="0" w:color="CBD5E1"/>
              <w:bottom w:val="single" w:sz="4" w:space="0" w:color="CBD5E1"/>
              <w:left w:val="nil"/>
              <w:right w:val="nil"/>
            </w:tcBorders>
          </w:tcPr>
          <w:p>
            <w:pPr>
              <w:spacing w:after="0"/>
            </w:pPr>
            <w:r>
              <w:rPr>
                <w:rFonts w:ascii="Calibri" w:hAnsi="Calibri"/>
                <w:b w:val="0"/>
                <w:color w:val="2D3748"/>
                <w:sz w:val="18"/>
              </w:rPr>
              <w:t>ADP</w:t>
            </w:r>
          </w:p>
        </w:tc>
      </w:tr>
      <w:tr>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the</w:t>
            </w:r>
          </w:p>
        </w:tc>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DET</w:t>
            </w:r>
          </w:p>
        </w:tc>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DET</w:t>
            </w:r>
          </w:p>
        </w:tc>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DET</w:t>
            </w:r>
          </w:p>
        </w:tc>
      </w:tr>
      <w:tr>
        <w:tc>
          <w:tcPr>
            <w:tcW w:type="dxa" w:w="2448"/>
            <w:tcMar>
              <w:top w:w="80" w:type="dxa"/>
              <w:bottom w:w="80" w:type="dxa"/>
              <w:left w:w="120" w:type="dxa"/>
              <w:right w:w="120" w:type="dxa"/>
            </w:tcMar>
            <w:shd w:fill="F8FAFC"/>
            <w:tcBorders>
              <w:top w:val="single" w:sz="4" w:space="0" w:color="CBD5E1"/>
              <w:bottom w:val="single" w:sz="4" w:space="0" w:color="CBD5E1"/>
              <w:left w:val="nil"/>
              <w:right w:val="nil"/>
            </w:tcBorders>
          </w:tcPr>
          <w:p>
            <w:pPr>
              <w:spacing w:after="0"/>
            </w:pPr>
            <w:r>
              <w:rPr>
                <w:rFonts w:ascii="Calibri" w:hAnsi="Calibri"/>
                <w:b w:val="0"/>
                <w:color w:val="2D3748"/>
                <w:sz w:val="18"/>
              </w:rPr>
              <w:t>CDWR</w:t>
            </w:r>
          </w:p>
        </w:tc>
        <w:tc>
          <w:tcPr>
            <w:tcW w:type="dxa" w:w="2448"/>
            <w:tcMar>
              <w:top w:w="80" w:type="dxa"/>
              <w:bottom w:w="80" w:type="dxa"/>
              <w:left w:w="120" w:type="dxa"/>
              <w:right w:w="120" w:type="dxa"/>
            </w:tcMar>
            <w:shd w:fill="F8FAFC"/>
            <w:tcBorders>
              <w:top w:val="single" w:sz="4" w:space="0" w:color="CBD5E1"/>
              <w:bottom w:val="single" w:sz="4" w:space="0" w:color="CBD5E1"/>
              <w:left w:val="nil"/>
              <w:right w:val="nil"/>
            </w:tcBorders>
          </w:tcPr>
          <w:p>
            <w:pPr>
              <w:spacing w:after="0"/>
            </w:pPr>
            <w:r>
              <w:rPr>
                <w:rFonts w:ascii="Calibri" w:hAnsi="Calibri"/>
                <w:b w:val="0"/>
                <w:color w:val="2D3748"/>
                <w:sz w:val="18"/>
              </w:rPr>
              <w:t>NOUN</w:t>
            </w:r>
          </w:p>
        </w:tc>
        <w:tc>
          <w:tcPr>
            <w:tcW w:type="dxa" w:w="2448"/>
            <w:tcMar>
              <w:top w:w="80" w:type="dxa"/>
              <w:bottom w:w="80" w:type="dxa"/>
              <w:left w:w="120" w:type="dxa"/>
              <w:right w:w="120" w:type="dxa"/>
            </w:tcMar>
            <w:shd w:fill="FEE2E2"/>
            <w:tcBorders>
              <w:top w:val="single" w:sz="4" w:space="0" w:color="CBD5E1"/>
              <w:bottom w:val="single" w:sz="4" w:space="0" w:color="CBD5E1"/>
              <w:left w:val="nil"/>
              <w:right w:val="nil"/>
            </w:tcBorders>
          </w:tcPr>
          <w:p>
            <w:pPr>
              <w:spacing w:after="0"/>
            </w:pPr>
            <w:r>
              <w:rPr>
                <w:rFonts w:ascii="Calibri" w:hAnsi="Calibri"/>
                <w:b/>
                <w:color w:val="991B1B"/>
                <w:sz w:val="18"/>
              </w:rPr>
              <w:t>ADJ</w:t>
            </w:r>
          </w:p>
        </w:tc>
        <w:tc>
          <w:tcPr>
            <w:tcW w:type="dxa" w:w="2448"/>
            <w:tcMar>
              <w:top w:w="80" w:type="dxa"/>
              <w:bottom w:w="80" w:type="dxa"/>
              <w:left w:w="120" w:type="dxa"/>
              <w:right w:w="120" w:type="dxa"/>
            </w:tcMar>
            <w:shd w:fill="DCFCE7"/>
            <w:tcBorders>
              <w:top w:val="single" w:sz="4" w:space="0" w:color="CBD5E1"/>
              <w:bottom w:val="single" w:sz="4" w:space="0" w:color="CBD5E1"/>
              <w:left w:val="nil"/>
              <w:right w:val="nil"/>
            </w:tcBorders>
          </w:tcPr>
          <w:p>
            <w:pPr>
              <w:spacing w:after="0"/>
            </w:pPr>
            <w:r>
              <w:rPr>
                <w:rFonts w:ascii="Calibri" w:hAnsi="Calibri"/>
                <w:b/>
                <w:color w:val="166534"/>
                <w:sz w:val="18"/>
              </w:rPr>
              <w:t>NOUN</w:t>
            </w:r>
          </w:p>
        </w:tc>
      </w:tr>
      <w:tr>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risk</w:t>
            </w:r>
          </w:p>
        </w:tc>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NOUN</w:t>
            </w:r>
          </w:p>
        </w:tc>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NOUN</w:t>
            </w:r>
          </w:p>
        </w:tc>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NOUN</w:t>
            </w:r>
          </w:p>
        </w:tc>
      </w:tr>
      <w:tr>
        <w:tc>
          <w:tcPr>
            <w:tcW w:type="dxa" w:w="2448"/>
            <w:tcMar>
              <w:top w:w="80" w:type="dxa"/>
              <w:bottom w:w="80" w:type="dxa"/>
              <w:left w:w="120" w:type="dxa"/>
              <w:right w:w="120" w:type="dxa"/>
            </w:tcMar>
            <w:shd w:fill="F8FAFC"/>
            <w:tcBorders>
              <w:top w:val="single" w:sz="4" w:space="0" w:color="CBD5E1"/>
              <w:bottom w:val="single" w:sz="4" w:space="0" w:color="CBD5E1"/>
              <w:left w:val="nil"/>
              <w:right w:val="nil"/>
            </w:tcBorders>
          </w:tcPr>
          <w:p>
            <w:pPr>
              <w:spacing w:after="0"/>
            </w:pPr>
            <w:r>
              <w:rPr>
                <w:rFonts w:ascii="Calibri" w:hAnsi="Calibri"/>
                <w:b w:val="0"/>
                <w:color w:val="2D3748"/>
                <w:sz w:val="18"/>
              </w:rPr>
              <w:t>memo</w:t>
            </w:r>
          </w:p>
        </w:tc>
        <w:tc>
          <w:tcPr>
            <w:tcW w:type="dxa" w:w="2448"/>
            <w:tcMar>
              <w:top w:w="80" w:type="dxa"/>
              <w:bottom w:w="80" w:type="dxa"/>
              <w:left w:w="120" w:type="dxa"/>
              <w:right w:w="120" w:type="dxa"/>
            </w:tcMar>
            <w:shd w:fill="F8FAFC"/>
            <w:tcBorders>
              <w:top w:val="single" w:sz="4" w:space="0" w:color="CBD5E1"/>
              <w:bottom w:val="single" w:sz="4" w:space="0" w:color="CBD5E1"/>
              <w:left w:val="nil"/>
              <w:right w:val="nil"/>
            </w:tcBorders>
          </w:tcPr>
          <w:p>
            <w:pPr>
              <w:spacing w:after="0"/>
            </w:pPr>
            <w:r>
              <w:rPr>
                <w:rFonts w:ascii="Calibri" w:hAnsi="Calibri"/>
                <w:b w:val="0"/>
                <w:color w:val="2D3748"/>
                <w:sz w:val="18"/>
              </w:rPr>
              <w:t>NOUN</w:t>
            </w:r>
          </w:p>
        </w:tc>
        <w:tc>
          <w:tcPr>
            <w:tcW w:type="dxa" w:w="2448"/>
            <w:tcMar>
              <w:top w:w="80" w:type="dxa"/>
              <w:bottom w:w="80" w:type="dxa"/>
              <w:left w:w="120" w:type="dxa"/>
              <w:right w:w="120" w:type="dxa"/>
            </w:tcMar>
            <w:shd w:fill="F8FAFC"/>
            <w:tcBorders>
              <w:top w:val="single" w:sz="4" w:space="0" w:color="CBD5E1"/>
              <w:bottom w:val="single" w:sz="4" w:space="0" w:color="CBD5E1"/>
              <w:left w:val="nil"/>
              <w:right w:val="nil"/>
            </w:tcBorders>
          </w:tcPr>
          <w:p>
            <w:pPr>
              <w:spacing w:after="0"/>
            </w:pPr>
            <w:r>
              <w:rPr>
                <w:rFonts w:ascii="Calibri" w:hAnsi="Calibri"/>
                <w:b w:val="0"/>
                <w:color w:val="2D3748"/>
                <w:sz w:val="18"/>
              </w:rPr>
              <w:t>NOUN</w:t>
            </w:r>
          </w:p>
        </w:tc>
        <w:tc>
          <w:tcPr>
            <w:tcW w:type="dxa" w:w="2448"/>
            <w:tcMar>
              <w:top w:w="80" w:type="dxa"/>
              <w:bottom w:w="80" w:type="dxa"/>
              <w:left w:w="120" w:type="dxa"/>
              <w:right w:w="120" w:type="dxa"/>
            </w:tcMar>
            <w:shd w:fill="F8FAFC"/>
            <w:tcBorders>
              <w:top w:val="single" w:sz="4" w:space="0" w:color="CBD5E1"/>
              <w:bottom w:val="single" w:sz="4" w:space="0" w:color="CBD5E1"/>
              <w:left w:val="nil"/>
              <w:right w:val="nil"/>
            </w:tcBorders>
          </w:tcPr>
          <w:p>
            <w:pPr>
              <w:spacing w:after="0"/>
            </w:pPr>
            <w:r>
              <w:rPr>
                <w:rFonts w:ascii="Calibri" w:hAnsi="Calibri"/>
                <w:b w:val="0"/>
                <w:color w:val="2D3748"/>
                <w:sz w:val="18"/>
              </w:rPr>
              <w:t>NOUN</w:t>
            </w:r>
          </w:p>
        </w:tc>
      </w:tr>
      <w:tr>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w:t>
            </w:r>
          </w:p>
        </w:tc>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PUNCT</w:t>
            </w:r>
          </w:p>
        </w:tc>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PUNCT</w:t>
            </w:r>
          </w:p>
        </w:tc>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PUNCT</w:t>
            </w:r>
          </w:p>
        </w:tc>
      </w:tr>
    </w:tbl>
    <w:p>
      <w:pPr>
        <w:spacing w:after="120"/>
      </w:pPr>
    </w:p>
    <w:p>
      <w:pPr>
        <w:keepNext/>
        <w:spacing w:before="160" w:after="60"/>
      </w:pPr>
      <w:r>
        <w:rPr>
          <w:rFonts w:ascii="Calibri" w:hAnsi="Calibri"/>
          <w:b/>
          <w:color w:val="1B365D"/>
          <w:sz w:val="20"/>
        </w:rPr>
        <w:t>Table 15. Test sentence 484 (Plural noun 'girlfriends' corrected from VERB to NOUN by v2).</w:t>
      </w:r>
    </w:p>
    <w:tbl>
      <w:tblPr>
        <w:tblW w:type="auto" w:w="0"/>
        <w:jc w:val="center"/>
        <w:tblLayout w:type="fixed"/>
        <w:tblLook w:firstColumn="1" w:firstRow="1" w:lastColumn="0" w:lastRow="0" w:noHBand="0" w:noVBand="1" w:val="04A0"/>
      </w:tblPr>
      <w:tblGrid>
        <w:gridCol w:w="3168"/>
        <w:gridCol w:w="2016"/>
        <w:gridCol w:w="2016"/>
        <w:gridCol w:w="2016"/>
      </w:tblGrid>
      <w:tr>
        <w:trPr>
          <w:tblHeader/>
        </w:trPr>
        <w:tc>
          <w:tcPr>
            <w:tcW w:type="dxa" w:w="2448"/>
            <w:tcMar>
              <w:top w:w="100" w:type="dxa"/>
              <w:bottom w:w="100" w:type="dxa"/>
              <w:left w:w="120" w:type="dxa"/>
              <w:right w:w="120" w:type="dxa"/>
            </w:tcMar>
            <w:shd w:fill="1B365D"/>
            <w:tcBorders>
              <w:top w:val="single" w:sz="4" w:space="0" w:color="1B365D"/>
              <w:bottom w:val="single" w:sz="4" w:space="0" w:color="1B365D"/>
              <w:left w:val="nil"/>
              <w:right w:val="nil"/>
            </w:tcBorders>
          </w:tcPr>
          <w:p>
            <w:pPr>
              <w:spacing w:after="0"/>
            </w:pPr>
            <w:r>
              <w:rPr>
                <w:rFonts w:ascii="Calibri" w:hAnsi="Calibri"/>
                <w:b/>
                <w:color w:val="FFFFFF"/>
                <w:sz w:val="19"/>
              </w:rPr>
              <w:t>Word</w:t>
            </w:r>
          </w:p>
        </w:tc>
        <w:tc>
          <w:tcPr>
            <w:tcW w:type="dxa" w:w="2448"/>
            <w:tcMar>
              <w:top w:w="100" w:type="dxa"/>
              <w:bottom w:w="100" w:type="dxa"/>
              <w:left w:w="120" w:type="dxa"/>
              <w:right w:w="120" w:type="dxa"/>
            </w:tcMar>
            <w:shd w:fill="1B365D"/>
            <w:tcBorders>
              <w:top w:val="single" w:sz="4" w:space="0" w:color="1B365D"/>
              <w:bottom w:val="single" w:sz="4" w:space="0" w:color="1B365D"/>
              <w:left w:val="nil"/>
              <w:right w:val="nil"/>
            </w:tcBorders>
          </w:tcPr>
          <w:p>
            <w:pPr>
              <w:spacing w:after="0"/>
            </w:pPr>
            <w:r>
              <w:rPr>
                <w:rFonts w:ascii="Calibri" w:hAnsi="Calibri"/>
                <w:b/>
                <w:color w:val="FFFFFF"/>
                <w:sz w:val="19"/>
              </w:rPr>
              <w:t>Gold</w:t>
            </w:r>
          </w:p>
        </w:tc>
        <w:tc>
          <w:tcPr>
            <w:tcW w:type="dxa" w:w="2448"/>
            <w:tcMar>
              <w:top w:w="100" w:type="dxa"/>
              <w:bottom w:w="100" w:type="dxa"/>
              <w:left w:w="120" w:type="dxa"/>
              <w:right w:w="120" w:type="dxa"/>
            </w:tcMar>
            <w:shd w:fill="1B365D"/>
            <w:tcBorders>
              <w:top w:val="single" w:sz="4" w:space="0" w:color="1B365D"/>
              <w:bottom w:val="single" w:sz="4" w:space="0" w:color="1B365D"/>
              <w:left w:val="nil"/>
              <w:right w:val="nil"/>
            </w:tcBorders>
          </w:tcPr>
          <w:p>
            <w:pPr>
              <w:spacing w:after="0"/>
            </w:pPr>
            <w:r>
              <w:rPr>
                <w:rFonts w:ascii="Calibri" w:hAnsi="Calibri"/>
                <w:b/>
                <w:color w:val="FFFFFF"/>
                <w:sz w:val="19"/>
              </w:rPr>
              <w:t>v1 Pred</w:t>
            </w:r>
          </w:p>
        </w:tc>
        <w:tc>
          <w:tcPr>
            <w:tcW w:type="dxa" w:w="2448"/>
            <w:tcMar>
              <w:top w:w="100" w:type="dxa"/>
              <w:bottom w:w="100" w:type="dxa"/>
              <w:left w:w="120" w:type="dxa"/>
              <w:right w:w="120" w:type="dxa"/>
            </w:tcMar>
            <w:shd w:fill="1B365D"/>
            <w:tcBorders>
              <w:top w:val="single" w:sz="4" w:space="0" w:color="1B365D"/>
              <w:bottom w:val="single" w:sz="4" w:space="0" w:color="1B365D"/>
              <w:left w:val="nil"/>
              <w:right w:val="nil"/>
            </w:tcBorders>
          </w:tcPr>
          <w:p>
            <w:pPr>
              <w:spacing w:after="0"/>
            </w:pPr>
            <w:r>
              <w:rPr>
                <w:rFonts w:ascii="Calibri" w:hAnsi="Calibri"/>
                <w:b/>
                <w:color w:val="FFFFFF"/>
                <w:sz w:val="19"/>
              </w:rPr>
              <w:t>v2 Pred</w:t>
            </w:r>
          </w:p>
        </w:tc>
      </w:tr>
      <w:tr>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I</w:t>
            </w:r>
          </w:p>
        </w:tc>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PRON</w:t>
            </w:r>
          </w:p>
        </w:tc>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PRON</w:t>
            </w:r>
          </w:p>
        </w:tc>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PRON</w:t>
            </w:r>
          </w:p>
        </w:tc>
      </w:tr>
      <w:tr>
        <w:tc>
          <w:tcPr>
            <w:tcW w:type="dxa" w:w="2448"/>
            <w:tcMar>
              <w:top w:w="80" w:type="dxa"/>
              <w:bottom w:w="80" w:type="dxa"/>
              <w:left w:w="120" w:type="dxa"/>
              <w:right w:w="120" w:type="dxa"/>
            </w:tcMar>
            <w:shd w:fill="F8FAFC"/>
            <w:tcBorders>
              <w:top w:val="single" w:sz="4" w:space="0" w:color="CBD5E1"/>
              <w:bottom w:val="single" w:sz="4" w:space="0" w:color="CBD5E1"/>
              <w:left w:val="nil"/>
              <w:right w:val="nil"/>
            </w:tcBorders>
          </w:tcPr>
          <w:p>
            <w:pPr>
              <w:spacing w:after="0"/>
            </w:pPr>
            <w:r>
              <w:rPr>
                <w:rFonts w:ascii="Calibri" w:hAnsi="Calibri"/>
                <w:b w:val="0"/>
                <w:color w:val="2D3748"/>
                <w:sz w:val="18"/>
              </w:rPr>
              <w:t>am</w:t>
            </w:r>
          </w:p>
        </w:tc>
        <w:tc>
          <w:tcPr>
            <w:tcW w:type="dxa" w:w="2448"/>
            <w:tcMar>
              <w:top w:w="80" w:type="dxa"/>
              <w:bottom w:w="80" w:type="dxa"/>
              <w:left w:w="120" w:type="dxa"/>
              <w:right w:w="120" w:type="dxa"/>
            </w:tcMar>
            <w:shd w:fill="F8FAFC"/>
            <w:tcBorders>
              <w:top w:val="single" w:sz="4" w:space="0" w:color="CBD5E1"/>
              <w:bottom w:val="single" w:sz="4" w:space="0" w:color="CBD5E1"/>
              <w:left w:val="nil"/>
              <w:right w:val="nil"/>
            </w:tcBorders>
          </w:tcPr>
          <w:p>
            <w:pPr>
              <w:spacing w:after="0"/>
            </w:pPr>
            <w:r>
              <w:rPr>
                <w:rFonts w:ascii="Calibri" w:hAnsi="Calibri"/>
                <w:b w:val="0"/>
                <w:color w:val="2D3748"/>
                <w:sz w:val="18"/>
              </w:rPr>
              <w:t>AUX</w:t>
            </w:r>
          </w:p>
        </w:tc>
        <w:tc>
          <w:tcPr>
            <w:tcW w:type="dxa" w:w="2448"/>
            <w:tcMar>
              <w:top w:w="80" w:type="dxa"/>
              <w:bottom w:w="80" w:type="dxa"/>
              <w:left w:w="120" w:type="dxa"/>
              <w:right w:w="120" w:type="dxa"/>
            </w:tcMar>
            <w:shd w:fill="F8FAFC"/>
            <w:tcBorders>
              <w:top w:val="single" w:sz="4" w:space="0" w:color="CBD5E1"/>
              <w:bottom w:val="single" w:sz="4" w:space="0" w:color="CBD5E1"/>
              <w:left w:val="nil"/>
              <w:right w:val="nil"/>
            </w:tcBorders>
          </w:tcPr>
          <w:p>
            <w:pPr>
              <w:spacing w:after="0"/>
            </w:pPr>
            <w:r>
              <w:rPr>
                <w:rFonts w:ascii="Calibri" w:hAnsi="Calibri"/>
                <w:b w:val="0"/>
                <w:color w:val="2D3748"/>
                <w:sz w:val="18"/>
              </w:rPr>
              <w:t>AUX</w:t>
            </w:r>
          </w:p>
        </w:tc>
        <w:tc>
          <w:tcPr>
            <w:tcW w:type="dxa" w:w="2448"/>
            <w:tcMar>
              <w:top w:w="80" w:type="dxa"/>
              <w:bottom w:w="80" w:type="dxa"/>
              <w:left w:w="120" w:type="dxa"/>
              <w:right w:w="120" w:type="dxa"/>
            </w:tcMar>
            <w:shd w:fill="F8FAFC"/>
            <w:tcBorders>
              <w:top w:val="single" w:sz="4" w:space="0" w:color="CBD5E1"/>
              <w:bottom w:val="single" w:sz="4" w:space="0" w:color="CBD5E1"/>
              <w:left w:val="nil"/>
              <w:right w:val="nil"/>
            </w:tcBorders>
          </w:tcPr>
          <w:p>
            <w:pPr>
              <w:spacing w:after="0"/>
            </w:pPr>
            <w:r>
              <w:rPr>
                <w:rFonts w:ascii="Calibri" w:hAnsi="Calibri"/>
                <w:b w:val="0"/>
                <w:color w:val="2D3748"/>
                <w:sz w:val="18"/>
              </w:rPr>
              <w:t>AUX</w:t>
            </w:r>
          </w:p>
        </w:tc>
      </w:tr>
      <w:tr>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bringing</w:t>
            </w:r>
          </w:p>
        </w:tc>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VERB</w:t>
            </w:r>
          </w:p>
        </w:tc>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VERB</w:t>
            </w:r>
          </w:p>
        </w:tc>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VERB</w:t>
            </w:r>
          </w:p>
        </w:tc>
      </w:tr>
      <w:tr>
        <w:tc>
          <w:tcPr>
            <w:tcW w:type="dxa" w:w="2448"/>
            <w:tcMar>
              <w:top w:w="80" w:type="dxa"/>
              <w:bottom w:w="80" w:type="dxa"/>
              <w:left w:w="120" w:type="dxa"/>
              <w:right w:w="120" w:type="dxa"/>
            </w:tcMar>
            <w:shd w:fill="F8FAFC"/>
            <w:tcBorders>
              <w:top w:val="single" w:sz="4" w:space="0" w:color="CBD5E1"/>
              <w:bottom w:val="single" w:sz="4" w:space="0" w:color="CBD5E1"/>
              <w:left w:val="nil"/>
              <w:right w:val="nil"/>
            </w:tcBorders>
          </w:tcPr>
          <w:p>
            <w:pPr>
              <w:spacing w:after="0"/>
            </w:pPr>
            <w:r>
              <w:rPr>
                <w:rFonts w:ascii="Calibri" w:hAnsi="Calibri"/>
                <w:b w:val="0"/>
                <w:color w:val="2D3748"/>
                <w:sz w:val="18"/>
              </w:rPr>
              <w:t>two</w:t>
            </w:r>
          </w:p>
        </w:tc>
        <w:tc>
          <w:tcPr>
            <w:tcW w:type="dxa" w:w="2448"/>
            <w:tcMar>
              <w:top w:w="80" w:type="dxa"/>
              <w:bottom w:w="80" w:type="dxa"/>
              <w:left w:w="120" w:type="dxa"/>
              <w:right w:w="120" w:type="dxa"/>
            </w:tcMar>
            <w:shd w:fill="F8FAFC"/>
            <w:tcBorders>
              <w:top w:val="single" w:sz="4" w:space="0" w:color="CBD5E1"/>
              <w:bottom w:val="single" w:sz="4" w:space="0" w:color="CBD5E1"/>
              <w:left w:val="nil"/>
              <w:right w:val="nil"/>
            </w:tcBorders>
          </w:tcPr>
          <w:p>
            <w:pPr>
              <w:spacing w:after="0"/>
            </w:pPr>
            <w:r>
              <w:rPr>
                <w:rFonts w:ascii="Calibri" w:hAnsi="Calibri"/>
                <w:b w:val="0"/>
                <w:color w:val="2D3748"/>
                <w:sz w:val="18"/>
              </w:rPr>
              <w:t>NUM</w:t>
            </w:r>
          </w:p>
        </w:tc>
        <w:tc>
          <w:tcPr>
            <w:tcW w:type="dxa" w:w="2448"/>
            <w:tcMar>
              <w:top w:w="80" w:type="dxa"/>
              <w:bottom w:w="80" w:type="dxa"/>
              <w:left w:w="120" w:type="dxa"/>
              <w:right w:w="120" w:type="dxa"/>
            </w:tcMar>
            <w:shd w:fill="F8FAFC"/>
            <w:tcBorders>
              <w:top w:val="single" w:sz="4" w:space="0" w:color="CBD5E1"/>
              <w:bottom w:val="single" w:sz="4" w:space="0" w:color="CBD5E1"/>
              <w:left w:val="nil"/>
              <w:right w:val="nil"/>
            </w:tcBorders>
          </w:tcPr>
          <w:p>
            <w:pPr>
              <w:spacing w:after="0"/>
            </w:pPr>
            <w:r>
              <w:rPr>
                <w:rFonts w:ascii="Calibri" w:hAnsi="Calibri"/>
                <w:b w:val="0"/>
                <w:color w:val="2D3748"/>
                <w:sz w:val="18"/>
              </w:rPr>
              <w:t>NUM</w:t>
            </w:r>
          </w:p>
        </w:tc>
        <w:tc>
          <w:tcPr>
            <w:tcW w:type="dxa" w:w="2448"/>
            <w:tcMar>
              <w:top w:w="80" w:type="dxa"/>
              <w:bottom w:w="80" w:type="dxa"/>
              <w:left w:w="120" w:type="dxa"/>
              <w:right w:w="120" w:type="dxa"/>
            </w:tcMar>
            <w:shd w:fill="F8FAFC"/>
            <w:tcBorders>
              <w:top w:val="single" w:sz="4" w:space="0" w:color="CBD5E1"/>
              <w:bottom w:val="single" w:sz="4" w:space="0" w:color="CBD5E1"/>
              <w:left w:val="nil"/>
              <w:right w:val="nil"/>
            </w:tcBorders>
          </w:tcPr>
          <w:p>
            <w:pPr>
              <w:spacing w:after="0"/>
            </w:pPr>
            <w:r>
              <w:rPr>
                <w:rFonts w:ascii="Calibri" w:hAnsi="Calibri"/>
                <w:b w:val="0"/>
                <w:color w:val="2D3748"/>
                <w:sz w:val="18"/>
              </w:rPr>
              <w:t>NUM</w:t>
            </w:r>
          </w:p>
        </w:tc>
      </w:tr>
      <w:tr>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of</w:t>
            </w:r>
          </w:p>
        </w:tc>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ADP</w:t>
            </w:r>
          </w:p>
        </w:tc>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ADP</w:t>
            </w:r>
          </w:p>
        </w:tc>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ADP</w:t>
            </w:r>
          </w:p>
        </w:tc>
      </w:tr>
      <w:tr>
        <w:tc>
          <w:tcPr>
            <w:tcW w:type="dxa" w:w="2448"/>
            <w:tcMar>
              <w:top w:w="80" w:type="dxa"/>
              <w:bottom w:w="80" w:type="dxa"/>
              <w:left w:w="120" w:type="dxa"/>
              <w:right w:w="120" w:type="dxa"/>
            </w:tcMar>
            <w:shd w:fill="F8FAFC"/>
            <w:tcBorders>
              <w:top w:val="single" w:sz="4" w:space="0" w:color="CBD5E1"/>
              <w:bottom w:val="single" w:sz="4" w:space="0" w:color="CBD5E1"/>
              <w:left w:val="nil"/>
              <w:right w:val="nil"/>
            </w:tcBorders>
          </w:tcPr>
          <w:p>
            <w:pPr>
              <w:spacing w:after="0"/>
            </w:pPr>
            <w:r>
              <w:rPr>
                <w:rFonts w:ascii="Calibri" w:hAnsi="Calibri"/>
                <w:b w:val="0"/>
                <w:color w:val="2D3748"/>
                <w:sz w:val="18"/>
              </w:rPr>
              <w:t>my</w:t>
            </w:r>
          </w:p>
        </w:tc>
        <w:tc>
          <w:tcPr>
            <w:tcW w:type="dxa" w:w="2448"/>
            <w:tcMar>
              <w:top w:w="80" w:type="dxa"/>
              <w:bottom w:w="80" w:type="dxa"/>
              <w:left w:w="120" w:type="dxa"/>
              <w:right w:w="120" w:type="dxa"/>
            </w:tcMar>
            <w:shd w:fill="F8FAFC"/>
            <w:tcBorders>
              <w:top w:val="single" w:sz="4" w:space="0" w:color="CBD5E1"/>
              <w:bottom w:val="single" w:sz="4" w:space="0" w:color="CBD5E1"/>
              <w:left w:val="nil"/>
              <w:right w:val="nil"/>
            </w:tcBorders>
          </w:tcPr>
          <w:p>
            <w:pPr>
              <w:spacing w:after="0"/>
            </w:pPr>
            <w:r>
              <w:rPr>
                <w:rFonts w:ascii="Calibri" w:hAnsi="Calibri"/>
                <w:b w:val="0"/>
                <w:color w:val="2D3748"/>
                <w:sz w:val="18"/>
              </w:rPr>
              <w:t>PRON</w:t>
            </w:r>
          </w:p>
        </w:tc>
        <w:tc>
          <w:tcPr>
            <w:tcW w:type="dxa" w:w="2448"/>
            <w:tcMar>
              <w:top w:w="80" w:type="dxa"/>
              <w:bottom w:w="80" w:type="dxa"/>
              <w:left w:w="120" w:type="dxa"/>
              <w:right w:w="120" w:type="dxa"/>
            </w:tcMar>
            <w:shd w:fill="F8FAFC"/>
            <w:tcBorders>
              <w:top w:val="single" w:sz="4" w:space="0" w:color="CBD5E1"/>
              <w:bottom w:val="single" w:sz="4" w:space="0" w:color="CBD5E1"/>
              <w:left w:val="nil"/>
              <w:right w:val="nil"/>
            </w:tcBorders>
          </w:tcPr>
          <w:p>
            <w:pPr>
              <w:spacing w:after="0"/>
            </w:pPr>
            <w:r>
              <w:rPr>
                <w:rFonts w:ascii="Calibri" w:hAnsi="Calibri"/>
                <w:b w:val="0"/>
                <w:color w:val="2D3748"/>
                <w:sz w:val="18"/>
              </w:rPr>
              <w:t>PRON</w:t>
            </w:r>
          </w:p>
        </w:tc>
        <w:tc>
          <w:tcPr>
            <w:tcW w:type="dxa" w:w="2448"/>
            <w:tcMar>
              <w:top w:w="80" w:type="dxa"/>
              <w:bottom w:w="80" w:type="dxa"/>
              <w:left w:w="120" w:type="dxa"/>
              <w:right w:w="120" w:type="dxa"/>
            </w:tcMar>
            <w:shd w:fill="F8FAFC"/>
            <w:tcBorders>
              <w:top w:val="single" w:sz="4" w:space="0" w:color="CBD5E1"/>
              <w:bottom w:val="single" w:sz="4" w:space="0" w:color="CBD5E1"/>
              <w:left w:val="nil"/>
              <w:right w:val="nil"/>
            </w:tcBorders>
          </w:tcPr>
          <w:p>
            <w:pPr>
              <w:spacing w:after="0"/>
            </w:pPr>
            <w:r>
              <w:rPr>
                <w:rFonts w:ascii="Calibri" w:hAnsi="Calibri"/>
                <w:b w:val="0"/>
                <w:color w:val="2D3748"/>
                <w:sz w:val="18"/>
              </w:rPr>
              <w:t>PRON</w:t>
            </w:r>
          </w:p>
        </w:tc>
      </w:tr>
      <w:tr>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girlfriends</w:t>
            </w:r>
          </w:p>
        </w:tc>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NOUN</w:t>
            </w:r>
          </w:p>
        </w:tc>
        <w:tc>
          <w:tcPr>
            <w:tcW w:type="dxa" w:w="2448"/>
            <w:tcMar>
              <w:top w:w="80" w:type="dxa"/>
              <w:bottom w:w="80" w:type="dxa"/>
              <w:left w:w="120" w:type="dxa"/>
              <w:right w:w="120" w:type="dxa"/>
            </w:tcMar>
            <w:shd w:fill="FEE2E2"/>
            <w:tcBorders>
              <w:top w:val="single" w:sz="4" w:space="0" w:color="CBD5E1"/>
              <w:bottom w:val="single" w:sz="4" w:space="0" w:color="CBD5E1"/>
              <w:left w:val="nil"/>
              <w:right w:val="nil"/>
            </w:tcBorders>
          </w:tcPr>
          <w:p>
            <w:pPr>
              <w:spacing w:after="0"/>
            </w:pPr>
            <w:r>
              <w:rPr>
                <w:rFonts w:ascii="Calibri" w:hAnsi="Calibri"/>
                <w:b/>
                <w:color w:val="991B1B"/>
                <w:sz w:val="18"/>
              </w:rPr>
              <w:t>VERB</w:t>
            </w:r>
          </w:p>
        </w:tc>
        <w:tc>
          <w:tcPr>
            <w:tcW w:type="dxa" w:w="2448"/>
            <w:tcMar>
              <w:top w:w="80" w:type="dxa"/>
              <w:bottom w:w="80" w:type="dxa"/>
              <w:left w:w="120" w:type="dxa"/>
              <w:right w:w="120" w:type="dxa"/>
            </w:tcMar>
            <w:shd w:fill="DCFCE7"/>
            <w:tcBorders>
              <w:top w:val="single" w:sz="4" w:space="0" w:color="CBD5E1"/>
              <w:bottom w:val="single" w:sz="4" w:space="0" w:color="CBD5E1"/>
              <w:left w:val="nil"/>
              <w:right w:val="nil"/>
            </w:tcBorders>
          </w:tcPr>
          <w:p>
            <w:pPr>
              <w:spacing w:after="0"/>
            </w:pPr>
            <w:r>
              <w:rPr>
                <w:rFonts w:ascii="Calibri" w:hAnsi="Calibri"/>
                <w:b/>
                <w:color w:val="166534"/>
                <w:sz w:val="18"/>
              </w:rPr>
              <w:t>NOUN</w:t>
            </w:r>
          </w:p>
        </w:tc>
      </w:tr>
      <w:tr>
        <w:tc>
          <w:tcPr>
            <w:tcW w:type="dxa" w:w="2448"/>
            <w:tcMar>
              <w:top w:w="80" w:type="dxa"/>
              <w:bottom w:w="80" w:type="dxa"/>
              <w:left w:w="120" w:type="dxa"/>
              <w:right w:w="120" w:type="dxa"/>
            </w:tcMar>
            <w:shd w:fill="F8FAFC"/>
            <w:tcBorders>
              <w:top w:val="single" w:sz="4" w:space="0" w:color="CBD5E1"/>
              <w:bottom w:val="single" w:sz="4" w:space="0" w:color="CBD5E1"/>
              <w:left w:val="nil"/>
              <w:right w:val="nil"/>
            </w:tcBorders>
          </w:tcPr>
          <w:p>
            <w:pPr>
              <w:spacing w:after="0"/>
            </w:pPr>
            <w:r>
              <w:rPr>
                <w:rFonts w:ascii="Calibri" w:hAnsi="Calibri"/>
                <w:b w:val="0"/>
                <w:color w:val="2D3748"/>
                <w:sz w:val="18"/>
              </w:rPr>
              <w:t>from</w:t>
            </w:r>
          </w:p>
        </w:tc>
        <w:tc>
          <w:tcPr>
            <w:tcW w:type="dxa" w:w="2448"/>
            <w:tcMar>
              <w:top w:w="80" w:type="dxa"/>
              <w:bottom w:w="80" w:type="dxa"/>
              <w:left w:w="120" w:type="dxa"/>
              <w:right w:w="120" w:type="dxa"/>
            </w:tcMar>
            <w:shd w:fill="F8FAFC"/>
            <w:tcBorders>
              <w:top w:val="single" w:sz="4" w:space="0" w:color="CBD5E1"/>
              <w:bottom w:val="single" w:sz="4" w:space="0" w:color="CBD5E1"/>
              <w:left w:val="nil"/>
              <w:right w:val="nil"/>
            </w:tcBorders>
          </w:tcPr>
          <w:p>
            <w:pPr>
              <w:spacing w:after="0"/>
            </w:pPr>
            <w:r>
              <w:rPr>
                <w:rFonts w:ascii="Calibri" w:hAnsi="Calibri"/>
                <w:b w:val="0"/>
                <w:color w:val="2D3748"/>
                <w:sz w:val="18"/>
              </w:rPr>
              <w:t>ADP</w:t>
            </w:r>
          </w:p>
        </w:tc>
        <w:tc>
          <w:tcPr>
            <w:tcW w:type="dxa" w:w="2448"/>
            <w:tcMar>
              <w:top w:w="80" w:type="dxa"/>
              <w:bottom w:w="80" w:type="dxa"/>
              <w:left w:w="120" w:type="dxa"/>
              <w:right w:w="120" w:type="dxa"/>
            </w:tcMar>
            <w:shd w:fill="F8FAFC"/>
            <w:tcBorders>
              <w:top w:val="single" w:sz="4" w:space="0" w:color="CBD5E1"/>
              <w:bottom w:val="single" w:sz="4" w:space="0" w:color="CBD5E1"/>
              <w:left w:val="nil"/>
              <w:right w:val="nil"/>
            </w:tcBorders>
          </w:tcPr>
          <w:p>
            <w:pPr>
              <w:spacing w:after="0"/>
            </w:pPr>
            <w:r>
              <w:rPr>
                <w:rFonts w:ascii="Calibri" w:hAnsi="Calibri"/>
                <w:b w:val="0"/>
                <w:color w:val="2D3748"/>
                <w:sz w:val="18"/>
              </w:rPr>
              <w:t>ADP</w:t>
            </w:r>
          </w:p>
        </w:tc>
        <w:tc>
          <w:tcPr>
            <w:tcW w:type="dxa" w:w="2448"/>
            <w:tcMar>
              <w:top w:w="80" w:type="dxa"/>
              <w:bottom w:w="80" w:type="dxa"/>
              <w:left w:w="120" w:type="dxa"/>
              <w:right w:w="120" w:type="dxa"/>
            </w:tcMar>
            <w:shd w:fill="F8FAFC"/>
            <w:tcBorders>
              <w:top w:val="single" w:sz="4" w:space="0" w:color="CBD5E1"/>
              <w:bottom w:val="single" w:sz="4" w:space="0" w:color="CBD5E1"/>
              <w:left w:val="nil"/>
              <w:right w:val="nil"/>
            </w:tcBorders>
          </w:tcPr>
          <w:p>
            <w:pPr>
              <w:spacing w:after="0"/>
            </w:pPr>
            <w:r>
              <w:rPr>
                <w:rFonts w:ascii="Calibri" w:hAnsi="Calibri"/>
                <w:b w:val="0"/>
                <w:color w:val="2D3748"/>
                <w:sz w:val="18"/>
              </w:rPr>
              <w:t>ADP</w:t>
            </w:r>
          </w:p>
        </w:tc>
      </w:tr>
      <w:tr>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LJ</w:t>
            </w:r>
          </w:p>
        </w:tc>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PROPN</w:t>
            </w:r>
          </w:p>
        </w:tc>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PROPN</w:t>
            </w:r>
          </w:p>
        </w:tc>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PROPN</w:t>
            </w:r>
          </w:p>
        </w:tc>
      </w:tr>
      <w:tr>
        <w:tc>
          <w:tcPr>
            <w:tcW w:type="dxa" w:w="2448"/>
            <w:tcMar>
              <w:top w:w="80" w:type="dxa"/>
              <w:bottom w:w="80" w:type="dxa"/>
              <w:left w:w="120" w:type="dxa"/>
              <w:right w:w="120" w:type="dxa"/>
            </w:tcMar>
            <w:shd w:fill="F8FAFC"/>
            <w:tcBorders>
              <w:top w:val="single" w:sz="4" w:space="0" w:color="CBD5E1"/>
              <w:bottom w:val="single" w:sz="4" w:space="0" w:color="CBD5E1"/>
              <w:left w:val="nil"/>
              <w:right w:val="nil"/>
            </w:tcBorders>
          </w:tcPr>
          <w:p>
            <w:pPr>
              <w:spacing w:after="0"/>
            </w:pPr>
            <w:r>
              <w:rPr>
                <w:rFonts w:ascii="Calibri" w:hAnsi="Calibri"/>
                <w:b w:val="0"/>
                <w:color w:val="2D3748"/>
                <w:sz w:val="18"/>
              </w:rPr>
              <w:t>.</w:t>
            </w:r>
          </w:p>
        </w:tc>
        <w:tc>
          <w:tcPr>
            <w:tcW w:type="dxa" w:w="2448"/>
            <w:tcMar>
              <w:top w:w="80" w:type="dxa"/>
              <w:bottom w:w="80" w:type="dxa"/>
              <w:left w:w="120" w:type="dxa"/>
              <w:right w:w="120" w:type="dxa"/>
            </w:tcMar>
            <w:shd w:fill="F8FAFC"/>
            <w:tcBorders>
              <w:top w:val="single" w:sz="4" w:space="0" w:color="CBD5E1"/>
              <w:bottom w:val="single" w:sz="4" w:space="0" w:color="CBD5E1"/>
              <w:left w:val="nil"/>
              <w:right w:val="nil"/>
            </w:tcBorders>
          </w:tcPr>
          <w:p>
            <w:pPr>
              <w:spacing w:after="0"/>
            </w:pPr>
            <w:r>
              <w:rPr>
                <w:rFonts w:ascii="Calibri" w:hAnsi="Calibri"/>
                <w:b w:val="0"/>
                <w:color w:val="2D3748"/>
                <w:sz w:val="18"/>
              </w:rPr>
              <w:t>PUNCT</w:t>
            </w:r>
          </w:p>
        </w:tc>
        <w:tc>
          <w:tcPr>
            <w:tcW w:type="dxa" w:w="2448"/>
            <w:tcMar>
              <w:top w:w="80" w:type="dxa"/>
              <w:bottom w:w="80" w:type="dxa"/>
              <w:left w:w="120" w:type="dxa"/>
              <w:right w:w="120" w:type="dxa"/>
            </w:tcMar>
            <w:shd w:fill="F8FAFC"/>
            <w:tcBorders>
              <w:top w:val="single" w:sz="4" w:space="0" w:color="CBD5E1"/>
              <w:bottom w:val="single" w:sz="4" w:space="0" w:color="CBD5E1"/>
              <w:left w:val="nil"/>
              <w:right w:val="nil"/>
            </w:tcBorders>
          </w:tcPr>
          <w:p>
            <w:pPr>
              <w:spacing w:after="0"/>
            </w:pPr>
            <w:r>
              <w:rPr>
                <w:rFonts w:ascii="Calibri" w:hAnsi="Calibri"/>
                <w:b w:val="0"/>
                <w:color w:val="2D3748"/>
                <w:sz w:val="18"/>
              </w:rPr>
              <w:t>PUNCT</w:t>
            </w:r>
          </w:p>
        </w:tc>
        <w:tc>
          <w:tcPr>
            <w:tcW w:type="dxa" w:w="2448"/>
            <w:tcMar>
              <w:top w:w="80" w:type="dxa"/>
              <w:bottom w:w="80" w:type="dxa"/>
              <w:left w:w="120" w:type="dxa"/>
              <w:right w:w="120" w:type="dxa"/>
            </w:tcMar>
            <w:shd w:fill="F8FAFC"/>
            <w:tcBorders>
              <w:top w:val="single" w:sz="4" w:space="0" w:color="CBD5E1"/>
              <w:bottom w:val="single" w:sz="4" w:space="0" w:color="CBD5E1"/>
              <w:left w:val="nil"/>
              <w:right w:val="nil"/>
            </w:tcBorders>
          </w:tcPr>
          <w:p>
            <w:pPr>
              <w:spacing w:after="0"/>
            </w:pPr>
            <w:r>
              <w:rPr>
                <w:rFonts w:ascii="Calibri" w:hAnsi="Calibri"/>
                <w:b w:val="0"/>
                <w:color w:val="2D3748"/>
                <w:sz w:val="18"/>
              </w:rPr>
              <w:t>PUNCT</w:t>
            </w:r>
          </w:p>
        </w:tc>
      </w:tr>
    </w:tbl>
    <w:p>
      <w:pPr>
        <w:spacing w:after="120"/>
      </w:pPr>
    </w:p>
    <w:p>
      <w:pPr>
        <w:keepNext/>
        <w:spacing w:before="160" w:after="60"/>
      </w:pPr>
      <w:r>
        <w:rPr>
          <w:rFonts w:ascii="Calibri" w:hAnsi="Calibri"/>
          <w:b/>
          <w:color w:val="1B365D"/>
          <w:sz w:val="20"/>
        </w:rPr>
        <w:t>Table 16. Test sentence 794 (Date string '1/29/02' corrected from ADJ to NUM by v2).</w:t>
      </w:r>
    </w:p>
    <w:tbl>
      <w:tblPr>
        <w:tblW w:type="auto" w:w="0"/>
        <w:jc w:val="center"/>
        <w:tblLayout w:type="fixed"/>
        <w:tblLook w:firstColumn="1" w:firstRow="1" w:lastColumn="0" w:lastRow="0" w:noHBand="0" w:noVBand="1" w:val="04A0"/>
      </w:tblPr>
      <w:tblGrid>
        <w:gridCol w:w="3168"/>
        <w:gridCol w:w="2016"/>
        <w:gridCol w:w="2016"/>
        <w:gridCol w:w="2016"/>
      </w:tblGrid>
      <w:tr>
        <w:trPr>
          <w:tblHeader/>
        </w:trPr>
        <w:tc>
          <w:tcPr>
            <w:tcW w:type="dxa" w:w="2448"/>
            <w:tcMar>
              <w:top w:w="100" w:type="dxa"/>
              <w:bottom w:w="100" w:type="dxa"/>
              <w:left w:w="120" w:type="dxa"/>
              <w:right w:w="120" w:type="dxa"/>
            </w:tcMar>
            <w:shd w:fill="1B365D"/>
            <w:tcBorders>
              <w:top w:val="single" w:sz="4" w:space="0" w:color="1B365D"/>
              <w:bottom w:val="single" w:sz="4" w:space="0" w:color="1B365D"/>
              <w:left w:val="nil"/>
              <w:right w:val="nil"/>
            </w:tcBorders>
          </w:tcPr>
          <w:p>
            <w:pPr>
              <w:spacing w:after="0"/>
            </w:pPr>
            <w:r>
              <w:rPr>
                <w:rFonts w:ascii="Calibri" w:hAnsi="Calibri"/>
                <w:b/>
                <w:color w:val="FFFFFF"/>
                <w:sz w:val="19"/>
              </w:rPr>
              <w:t>Word</w:t>
            </w:r>
          </w:p>
        </w:tc>
        <w:tc>
          <w:tcPr>
            <w:tcW w:type="dxa" w:w="2448"/>
            <w:tcMar>
              <w:top w:w="100" w:type="dxa"/>
              <w:bottom w:w="100" w:type="dxa"/>
              <w:left w:w="120" w:type="dxa"/>
              <w:right w:w="120" w:type="dxa"/>
            </w:tcMar>
            <w:shd w:fill="1B365D"/>
            <w:tcBorders>
              <w:top w:val="single" w:sz="4" w:space="0" w:color="1B365D"/>
              <w:bottom w:val="single" w:sz="4" w:space="0" w:color="1B365D"/>
              <w:left w:val="nil"/>
              <w:right w:val="nil"/>
            </w:tcBorders>
          </w:tcPr>
          <w:p>
            <w:pPr>
              <w:spacing w:after="0"/>
            </w:pPr>
            <w:r>
              <w:rPr>
                <w:rFonts w:ascii="Calibri" w:hAnsi="Calibri"/>
                <w:b/>
                <w:color w:val="FFFFFF"/>
                <w:sz w:val="19"/>
              </w:rPr>
              <w:t>Gold</w:t>
            </w:r>
          </w:p>
        </w:tc>
        <w:tc>
          <w:tcPr>
            <w:tcW w:type="dxa" w:w="2448"/>
            <w:tcMar>
              <w:top w:w="100" w:type="dxa"/>
              <w:bottom w:w="100" w:type="dxa"/>
              <w:left w:w="120" w:type="dxa"/>
              <w:right w:w="120" w:type="dxa"/>
            </w:tcMar>
            <w:shd w:fill="1B365D"/>
            <w:tcBorders>
              <w:top w:val="single" w:sz="4" w:space="0" w:color="1B365D"/>
              <w:bottom w:val="single" w:sz="4" w:space="0" w:color="1B365D"/>
              <w:left w:val="nil"/>
              <w:right w:val="nil"/>
            </w:tcBorders>
          </w:tcPr>
          <w:p>
            <w:pPr>
              <w:spacing w:after="0"/>
            </w:pPr>
            <w:r>
              <w:rPr>
                <w:rFonts w:ascii="Calibri" w:hAnsi="Calibri"/>
                <w:b/>
                <w:color w:val="FFFFFF"/>
                <w:sz w:val="19"/>
              </w:rPr>
              <w:t>v1 Pred</w:t>
            </w:r>
          </w:p>
        </w:tc>
        <w:tc>
          <w:tcPr>
            <w:tcW w:type="dxa" w:w="2448"/>
            <w:tcMar>
              <w:top w:w="100" w:type="dxa"/>
              <w:bottom w:w="100" w:type="dxa"/>
              <w:left w:w="120" w:type="dxa"/>
              <w:right w:w="120" w:type="dxa"/>
            </w:tcMar>
            <w:shd w:fill="1B365D"/>
            <w:tcBorders>
              <w:top w:val="single" w:sz="4" w:space="0" w:color="1B365D"/>
              <w:bottom w:val="single" w:sz="4" w:space="0" w:color="1B365D"/>
              <w:left w:val="nil"/>
              <w:right w:val="nil"/>
            </w:tcBorders>
          </w:tcPr>
          <w:p>
            <w:pPr>
              <w:spacing w:after="0"/>
            </w:pPr>
            <w:r>
              <w:rPr>
                <w:rFonts w:ascii="Calibri" w:hAnsi="Calibri"/>
                <w:b/>
                <w:color w:val="FFFFFF"/>
                <w:sz w:val="19"/>
              </w:rPr>
              <w:t>v2 Pred</w:t>
            </w:r>
          </w:p>
        </w:tc>
      </w:tr>
      <w:tr>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You</w:t>
            </w:r>
          </w:p>
        </w:tc>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PRON</w:t>
            </w:r>
          </w:p>
        </w:tc>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PRON</w:t>
            </w:r>
          </w:p>
        </w:tc>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PRON</w:t>
            </w:r>
          </w:p>
        </w:tc>
      </w:tr>
      <w:tr>
        <w:tc>
          <w:tcPr>
            <w:tcW w:type="dxa" w:w="2448"/>
            <w:tcMar>
              <w:top w:w="80" w:type="dxa"/>
              <w:bottom w:w="80" w:type="dxa"/>
              <w:left w:w="120" w:type="dxa"/>
              <w:right w:w="120" w:type="dxa"/>
            </w:tcMar>
            <w:shd w:fill="F8FAFC"/>
            <w:tcBorders>
              <w:top w:val="single" w:sz="4" w:space="0" w:color="CBD5E1"/>
              <w:bottom w:val="single" w:sz="4" w:space="0" w:color="CBD5E1"/>
              <w:left w:val="nil"/>
              <w:right w:val="nil"/>
            </w:tcBorders>
          </w:tcPr>
          <w:p>
            <w:pPr>
              <w:spacing w:after="0"/>
            </w:pPr>
            <w:r>
              <w:rPr>
                <w:rFonts w:ascii="Calibri" w:hAnsi="Calibri"/>
                <w:b w:val="0"/>
                <w:color w:val="2D3748"/>
                <w:sz w:val="18"/>
              </w:rPr>
              <w:t>should</w:t>
            </w:r>
          </w:p>
        </w:tc>
        <w:tc>
          <w:tcPr>
            <w:tcW w:type="dxa" w:w="2448"/>
            <w:tcMar>
              <w:top w:w="80" w:type="dxa"/>
              <w:bottom w:w="80" w:type="dxa"/>
              <w:left w:w="120" w:type="dxa"/>
              <w:right w:w="120" w:type="dxa"/>
            </w:tcMar>
            <w:shd w:fill="F8FAFC"/>
            <w:tcBorders>
              <w:top w:val="single" w:sz="4" w:space="0" w:color="CBD5E1"/>
              <w:bottom w:val="single" w:sz="4" w:space="0" w:color="CBD5E1"/>
              <w:left w:val="nil"/>
              <w:right w:val="nil"/>
            </w:tcBorders>
          </w:tcPr>
          <w:p>
            <w:pPr>
              <w:spacing w:after="0"/>
            </w:pPr>
            <w:r>
              <w:rPr>
                <w:rFonts w:ascii="Calibri" w:hAnsi="Calibri"/>
                <w:b w:val="0"/>
                <w:color w:val="2D3748"/>
                <w:sz w:val="18"/>
              </w:rPr>
              <w:t>AUX</w:t>
            </w:r>
          </w:p>
        </w:tc>
        <w:tc>
          <w:tcPr>
            <w:tcW w:type="dxa" w:w="2448"/>
            <w:tcMar>
              <w:top w:w="80" w:type="dxa"/>
              <w:bottom w:w="80" w:type="dxa"/>
              <w:left w:w="120" w:type="dxa"/>
              <w:right w:w="120" w:type="dxa"/>
            </w:tcMar>
            <w:shd w:fill="F8FAFC"/>
            <w:tcBorders>
              <w:top w:val="single" w:sz="4" w:space="0" w:color="CBD5E1"/>
              <w:bottom w:val="single" w:sz="4" w:space="0" w:color="CBD5E1"/>
              <w:left w:val="nil"/>
              <w:right w:val="nil"/>
            </w:tcBorders>
          </w:tcPr>
          <w:p>
            <w:pPr>
              <w:spacing w:after="0"/>
            </w:pPr>
            <w:r>
              <w:rPr>
                <w:rFonts w:ascii="Calibri" w:hAnsi="Calibri"/>
                <w:b w:val="0"/>
                <w:color w:val="2D3748"/>
                <w:sz w:val="18"/>
              </w:rPr>
              <w:t>AUX</w:t>
            </w:r>
          </w:p>
        </w:tc>
        <w:tc>
          <w:tcPr>
            <w:tcW w:type="dxa" w:w="2448"/>
            <w:tcMar>
              <w:top w:w="80" w:type="dxa"/>
              <w:bottom w:w="80" w:type="dxa"/>
              <w:left w:w="120" w:type="dxa"/>
              <w:right w:w="120" w:type="dxa"/>
            </w:tcMar>
            <w:shd w:fill="F8FAFC"/>
            <w:tcBorders>
              <w:top w:val="single" w:sz="4" w:space="0" w:color="CBD5E1"/>
              <w:bottom w:val="single" w:sz="4" w:space="0" w:color="CBD5E1"/>
              <w:left w:val="nil"/>
              <w:right w:val="nil"/>
            </w:tcBorders>
          </w:tcPr>
          <w:p>
            <w:pPr>
              <w:spacing w:after="0"/>
            </w:pPr>
            <w:r>
              <w:rPr>
                <w:rFonts w:ascii="Calibri" w:hAnsi="Calibri"/>
                <w:b w:val="0"/>
                <w:color w:val="2D3748"/>
                <w:sz w:val="18"/>
              </w:rPr>
              <w:t>AUX</w:t>
            </w:r>
          </w:p>
        </w:tc>
      </w:tr>
      <w:tr>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use</w:t>
            </w:r>
          </w:p>
        </w:tc>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VERB</w:t>
            </w:r>
          </w:p>
        </w:tc>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VERB</w:t>
            </w:r>
          </w:p>
        </w:tc>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VERB</w:t>
            </w:r>
          </w:p>
        </w:tc>
      </w:tr>
      <w:tr>
        <w:tc>
          <w:tcPr>
            <w:tcW w:type="dxa" w:w="2448"/>
            <w:tcMar>
              <w:top w:w="80" w:type="dxa"/>
              <w:bottom w:w="80" w:type="dxa"/>
              <w:left w:w="120" w:type="dxa"/>
              <w:right w:w="120" w:type="dxa"/>
            </w:tcMar>
            <w:shd w:fill="F8FAFC"/>
            <w:tcBorders>
              <w:top w:val="single" w:sz="4" w:space="0" w:color="CBD5E1"/>
              <w:bottom w:val="single" w:sz="4" w:space="0" w:color="CBD5E1"/>
              <w:left w:val="nil"/>
              <w:right w:val="nil"/>
            </w:tcBorders>
          </w:tcPr>
          <w:p>
            <w:pPr>
              <w:spacing w:after="0"/>
            </w:pPr>
            <w:r>
              <w:rPr>
                <w:rFonts w:ascii="Calibri" w:hAnsi="Calibri"/>
                <w:b w:val="0"/>
                <w:color w:val="2D3748"/>
                <w:sz w:val="18"/>
              </w:rPr>
              <w:t>the</w:t>
            </w:r>
          </w:p>
        </w:tc>
        <w:tc>
          <w:tcPr>
            <w:tcW w:type="dxa" w:w="2448"/>
            <w:tcMar>
              <w:top w:w="80" w:type="dxa"/>
              <w:bottom w:w="80" w:type="dxa"/>
              <w:left w:w="120" w:type="dxa"/>
              <w:right w:w="120" w:type="dxa"/>
            </w:tcMar>
            <w:shd w:fill="F8FAFC"/>
            <w:tcBorders>
              <w:top w:val="single" w:sz="4" w:space="0" w:color="CBD5E1"/>
              <w:bottom w:val="single" w:sz="4" w:space="0" w:color="CBD5E1"/>
              <w:left w:val="nil"/>
              <w:right w:val="nil"/>
            </w:tcBorders>
          </w:tcPr>
          <w:p>
            <w:pPr>
              <w:spacing w:after="0"/>
            </w:pPr>
            <w:r>
              <w:rPr>
                <w:rFonts w:ascii="Calibri" w:hAnsi="Calibri"/>
                <w:b w:val="0"/>
                <w:color w:val="2D3748"/>
                <w:sz w:val="18"/>
              </w:rPr>
              <w:t>DET</w:t>
            </w:r>
          </w:p>
        </w:tc>
        <w:tc>
          <w:tcPr>
            <w:tcW w:type="dxa" w:w="2448"/>
            <w:tcMar>
              <w:top w:w="80" w:type="dxa"/>
              <w:bottom w:w="80" w:type="dxa"/>
              <w:left w:w="120" w:type="dxa"/>
              <w:right w:w="120" w:type="dxa"/>
            </w:tcMar>
            <w:shd w:fill="F8FAFC"/>
            <w:tcBorders>
              <w:top w:val="single" w:sz="4" w:space="0" w:color="CBD5E1"/>
              <w:bottom w:val="single" w:sz="4" w:space="0" w:color="CBD5E1"/>
              <w:left w:val="nil"/>
              <w:right w:val="nil"/>
            </w:tcBorders>
          </w:tcPr>
          <w:p>
            <w:pPr>
              <w:spacing w:after="0"/>
            </w:pPr>
            <w:r>
              <w:rPr>
                <w:rFonts w:ascii="Calibri" w:hAnsi="Calibri"/>
                <w:b w:val="0"/>
                <w:color w:val="2D3748"/>
                <w:sz w:val="18"/>
              </w:rPr>
              <w:t>DET</w:t>
            </w:r>
          </w:p>
        </w:tc>
        <w:tc>
          <w:tcPr>
            <w:tcW w:type="dxa" w:w="2448"/>
            <w:tcMar>
              <w:top w:w="80" w:type="dxa"/>
              <w:bottom w:w="80" w:type="dxa"/>
              <w:left w:w="120" w:type="dxa"/>
              <w:right w:w="120" w:type="dxa"/>
            </w:tcMar>
            <w:shd w:fill="F8FAFC"/>
            <w:tcBorders>
              <w:top w:val="single" w:sz="4" w:space="0" w:color="CBD5E1"/>
              <w:bottom w:val="single" w:sz="4" w:space="0" w:color="CBD5E1"/>
              <w:left w:val="nil"/>
              <w:right w:val="nil"/>
            </w:tcBorders>
          </w:tcPr>
          <w:p>
            <w:pPr>
              <w:spacing w:after="0"/>
            </w:pPr>
            <w:r>
              <w:rPr>
                <w:rFonts w:ascii="Calibri" w:hAnsi="Calibri"/>
                <w:b w:val="0"/>
                <w:color w:val="2D3748"/>
                <w:sz w:val="18"/>
              </w:rPr>
              <w:t>DET</w:t>
            </w:r>
          </w:p>
        </w:tc>
      </w:tr>
      <w:tr>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same</w:t>
            </w:r>
          </w:p>
        </w:tc>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ADJ</w:t>
            </w:r>
          </w:p>
        </w:tc>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ADJ</w:t>
            </w:r>
          </w:p>
        </w:tc>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ADJ</w:t>
            </w:r>
          </w:p>
        </w:tc>
      </w:tr>
      <w:tr>
        <w:tc>
          <w:tcPr>
            <w:tcW w:type="dxa" w:w="2448"/>
            <w:tcMar>
              <w:top w:w="80" w:type="dxa"/>
              <w:bottom w:w="80" w:type="dxa"/>
              <w:left w:w="120" w:type="dxa"/>
              <w:right w:w="120" w:type="dxa"/>
            </w:tcMar>
            <w:shd w:fill="F8FAFC"/>
            <w:tcBorders>
              <w:top w:val="single" w:sz="4" w:space="0" w:color="CBD5E1"/>
              <w:bottom w:val="single" w:sz="4" w:space="0" w:color="CBD5E1"/>
              <w:left w:val="nil"/>
              <w:right w:val="nil"/>
            </w:tcBorders>
          </w:tcPr>
          <w:p>
            <w:pPr>
              <w:spacing w:after="0"/>
            </w:pPr>
            <w:r>
              <w:rPr>
                <w:rFonts w:ascii="Calibri" w:hAnsi="Calibri"/>
                <w:b w:val="0"/>
                <w:color w:val="2D3748"/>
                <w:sz w:val="18"/>
              </w:rPr>
              <w:t>spreadsheet</w:t>
            </w:r>
          </w:p>
        </w:tc>
        <w:tc>
          <w:tcPr>
            <w:tcW w:type="dxa" w:w="2448"/>
            <w:tcMar>
              <w:top w:w="80" w:type="dxa"/>
              <w:bottom w:w="80" w:type="dxa"/>
              <w:left w:w="120" w:type="dxa"/>
              <w:right w:w="120" w:type="dxa"/>
            </w:tcMar>
            <w:shd w:fill="F8FAFC"/>
            <w:tcBorders>
              <w:top w:val="single" w:sz="4" w:space="0" w:color="CBD5E1"/>
              <w:bottom w:val="single" w:sz="4" w:space="0" w:color="CBD5E1"/>
              <w:left w:val="nil"/>
              <w:right w:val="nil"/>
            </w:tcBorders>
          </w:tcPr>
          <w:p>
            <w:pPr>
              <w:spacing w:after="0"/>
            </w:pPr>
            <w:r>
              <w:rPr>
                <w:rFonts w:ascii="Calibri" w:hAnsi="Calibri"/>
                <w:b w:val="0"/>
                <w:color w:val="2D3748"/>
                <w:sz w:val="18"/>
              </w:rPr>
              <w:t>NOUN</w:t>
            </w:r>
          </w:p>
        </w:tc>
        <w:tc>
          <w:tcPr>
            <w:tcW w:type="dxa" w:w="2448"/>
            <w:tcMar>
              <w:top w:w="80" w:type="dxa"/>
              <w:bottom w:w="80" w:type="dxa"/>
              <w:left w:w="120" w:type="dxa"/>
              <w:right w:w="120" w:type="dxa"/>
            </w:tcMar>
            <w:shd w:fill="F8FAFC"/>
            <w:tcBorders>
              <w:top w:val="single" w:sz="4" w:space="0" w:color="CBD5E1"/>
              <w:bottom w:val="single" w:sz="4" w:space="0" w:color="CBD5E1"/>
              <w:left w:val="nil"/>
              <w:right w:val="nil"/>
            </w:tcBorders>
          </w:tcPr>
          <w:p>
            <w:pPr>
              <w:spacing w:after="0"/>
            </w:pPr>
            <w:r>
              <w:rPr>
                <w:rFonts w:ascii="Calibri" w:hAnsi="Calibri"/>
                <w:b w:val="0"/>
                <w:color w:val="2D3748"/>
                <w:sz w:val="18"/>
              </w:rPr>
              <w:t>NOUN</w:t>
            </w:r>
          </w:p>
        </w:tc>
        <w:tc>
          <w:tcPr>
            <w:tcW w:type="dxa" w:w="2448"/>
            <w:tcMar>
              <w:top w:w="80" w:type="dxa"/>
              <w:bottom w:w="80" w:type="dxa"/>
              <w:left w:w="120" w:type="dxa"/>
              <w:right w:w="120" w:type="dxa"/>
            </w:tcMar>
            <w:shd w:fill="F8FAFC"/>
            <w:tcBorders>
              <w:top w:val="single" w:sz="4" w:space="0" w:color="CBD5E1"/>
              <w:bottom w:val="single" w:sz="4" w:space="0" w:color="CBD5E1"/>
              <w:left w:val="nil"/>
              <w:right w:val="nil"/>
            </w:tcBorders>
          </w:tcPr>
          <w:p>
            <w:pPr>
              <w:spacing w:after="0"/>
            </w:pPr>
            <w:r>
              <w:rPr>
                <w:rFonts w:ascii="Calibri" w:hAnsi="Calibri"/>
                <w:b w:val="0"/>
                <w:color w:val="2D3748"/>
                <w:sz w:val="18"/>
              </w:rPr>
              <w:t>NOUN</w:t>
            </w:r>
          </w:p>
        </w:tc>
      </w:tr>
      <w:tr>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format</w:t>
            </w:r>
          </w:p>
        </w:tc>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NOUN</w:t>
            </w:r>
          </w:p>
        </w:tc>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NOUN</w:t>
            </w:r>
          </w:p>
        </w:tc>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NOUN</w:t>
            </w:r>
          </w:p>
        </w:tc>
      </w:tr>
      <w:tr>
        <w:tc>
          <w:tcPr>
            <w:tcW w:type="dxa" w:w="2448"/>
            <w:tcMar>
              <w:top w:w="80" w:type="dxa"/>
              <w:bottom w:w="80" w:type="dxa"/>
              <w:left w:w="120" w:type="dxa"/>
              <w:right w:w="120" w:type="dxa"/>
            </w:tcMar>
            <w:shd w:fill="F8FAFC"/>
            <w:tcBorders>
              <w:top w:val="single" w:sz="4" w:space="0" w:color="CBD5E1"/>
              <w:bottom w:val="single" w:sz="4" w:space="0" w:color="CBD5E1"/>
              <w:left w:val="nil"/>
              <w:right w:val="nil"/>
            </w:tcBorders>
          </w:tcPr>
          <w:p>
            <w:pPr>
              <w:spacing w:after="0"/>
            </w:pPr>
            <w:r>
              <w:rPr>
                <w:rFonts w:ascii="Calibri" w:hAnsi="Calibri"/>
                <w:b w:val="0"/>
                <w:color w:val="2D3748"/>
                <w:sz w:val="18"/>
              </w:rPr>
              <w:t>used</w:t>
            </w:r>
          </w:p>
        </w:tc>
        <w:tc>
          <w:tcPr>
            <w:tcW w:type="dxa" w:w="2448"/>
            <w:tcMar>
              <w:top w:w="80" w:type="dxa"/>
              <w:bottom w:w="80" w:type="dxa"/>
              <w:left w:w="120" w:type="dxa"/>
              <w:right w:w="120" w:type="dxa"/>
            </w:tcMar>
            <w:shd w:fill="F8FAFC"/>
            <w:tcBorders>
              <w:top w:val="single" w:sz="4" w:space="0" w:color="CBD5E1"/>
              <w:bottom w:val="single" w:sz="4" w:space="0" w:color="CBD5E1"/>
              <w:left w:val="nil"/>
              <w:right w:val="nil"/>
            </w:tcBorders>
          </w:tcPr>
          <w:p>
            <w:pPr>
              <w:spacing w:after="0"/>
            </w:pPr>
            <w:r>
              <w:rPr>
                <w:rFonts w:ascii="Calibri" w:hAnsi="Calibri"/>
                <w:b w:val="0"/>
                <w:color w:val="2D3748"/>
                <w:sz w:val="18"/>
              </w:rPr>
              <w:t>VERB</w:t>
            </w:r>
          </w:p>
        </w:tc>
        <w:tc>
          <w:tcPr>
            <w:tcW w:type="dxa" w:w="2448"/>
            <w:tcMar>
              <w:top w:w="80" w:type="dxa"/>
              <w:bottom w:w="80" w:type="dxa"/>
              <w:left w:w="120" w:type="dxa"/>
              <w:right w:w="120" w:type="dxa"/>
            </w:tcMar>
            <w:shd w:fill="F8FAFC"/>
            <w:tcBorders>
              <w:top w:val="single" w:sz="4" w:space="0" w:color="CBD5E1"/>
              <w:bottom w:val="single" w:sz="4" w:space="0" w:color="CBD5E1"/>
              <w:left w:val="nil"/>
              <w:right w:val="nil"/>
            </w:tcBorders>
          </w:tcPr>
          <w:p>
            <w:pPr>
              <w:spacing w:after="0"/>
            </w:pPr>
            <w:r>
              <w:rPr>
                <w:rFonts w:ascii="Calibri" w:hAnsi="Calibri"/>
                <w:b w:val="0"/>
                <w:color w:val="2D3748"/>
                <w:sz w:val="18"/>
              </w:rPr>
              <w:t>VERB</w:t>
            </w:r>
          </w:p>
        </w:tc>
        <w:tc>
          <w:tcPr>
            <w:tcW w:type="dxa" w:w="2448"/>
            <w:tcMar>
              <w:top w:w="80" w:type="dxa"/>
              <w:bottom w:w="80" w:type="dxa"/>
              <w:left w:w="120" w:type="dxa"/>
              <w:right w:w="120" w:type="dxa"/>
            </w:tcMar>
            <w:shd w:fill="F8FAFC"/>
            <w:tcBorders>
              <w:top w:val="single" w:sz="4" w:space="0" w:color="CBD5E1"/>
              <w:bottom w:val="single" w:sz="4" w:space="0" w:color="CBD5E1"/>
              <w:left w:val="nil"/>
              <w:right w:val="nil"/>
            </w:tcBorders>
          </w:tcPr>
          <w:p>
            <w:pPr>
              <w:spacing w:after="0"/>
            </w:pPr>
            <w:r>
              <w:rPr>
                <w:rFonts w:ascii="Calibri" w:hAnsi="Calibri"/>
                <w:b w:val="0"/>
                <w:color w:val="2D3748"/>
                <w:sz w:val="18"/>
              </w:rPr>
              <w:t>VERB</w:t>
            </w:r>
          </w:p>
        </w:tc>
      </w:tr>
      <w:tr>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for</w:t>
            </w:r>
          </w:p>
        </w:tc>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ADP</w:t>
            </w:r>
          </w:p>
        </w:tc>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ADP</w:t>
            </w:r>
          </w:p>
        </w:tc>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ADP</w:t>
            </w:r>
          </w:p>
        </w:tc>
      </w:tr>
      <w:tr>
        <w:tc>
          <w:tcPr>
            <w:tcW w:type="dxa" w:w="2448"/>
            <w:tcMar>
              <w:top w:w="80" w:type="dxa"/>
              <w:bottom w:w="80" w:type="dxa"/>
              <w:left w:w="120" w:type="dxa"/>
              <w:right w:w="120" w:type="dxa"/>
            </w:tcMar>
            <w:shd w:fill="F8FAFC"/>
            <w:tcBorders>
              <w:top w:val="single" w:sz="4" w:space="0" w:color="CBD5E1"/>
              <w:bottom w:val="single" w:sz="4" w:space="0" w:color="CBD5E1"/>
              <w:left w:val="nil"/>
              <w:right w:val="nil"/>
            </w:tcBorders>
          </w:tcPr>
          <w:p>
            <w:pPr>
              <w:spacing w:after="0"/>
            </w:pPr>
            <w:r>
              <w:rPr>
                <w:rFonts w:ascii="Calibri" w:hAnsi="Calibri"/>
                <w:b w:val="0"/>
                <w:color w:val="2D3748"/>
                <w:sz w:val="18"/>
              </w:rPr>
              <w:t>the</w:t>
            </w:r>
          </w:p>
        </w:tc>
        <w:tc>
          <w:tcPr>
            <w:tcW w:type="dxa" w:w="2448"/>
            <w:tcMar>
              <w:top w:w="80" w:type="dxa"/>
              <w:bottom w:w="80" w:type="dxa"/>
              <w:left w:w="120" w:type="dxa"/>
              <w:right w:w="120" w:type="dxa"/>
            </w:tcMar>
            <w:shd w:fill="F8FAFC"/>
            <w:tcBorders>
              <w:top w:val="single" w:sz="4" w:space="0" w:color="CBD5E1"/>
              <w:bottom w:val="single" w:sz="4" w:space="0" w:color="CBD5E1"/>
              <w:left w:val="nil"/>
              <w:right w:val="nil"/>
            </w:tcBorders>
          </w:tcPr>
          <w:p>
            <w:pPr>
              <w:spacing w:after="0"/>
            </w:pPr>
            <w:r>
              <w:rPr>
                <w:rFonts w:ascii="Calibri" w:hAnsi="Calibri"/>
                <w:b w:val="0"/>
                <w:color w:val="2D3748"/>
                <w:sz w:val="18"/>
              </w:rPr>
              <w:t>DET</w:t>
            </w:r>
          </w:p>
        </w:tc>
        <w:tc>
          <w:tcPr>
            <w:tcW w:type="dxa" w:w="2448"/>
            <w:tcMar>
              <w:top w:w="80" w:type="dxa"/>
              <w:bottom w:w="80" w:type="dxa"/>
              <w:left w:w="120" w:type="dxa"/>
              <w:right w:w="120" w:type="dxa"/>
            </w:tcMar>
            <w:shd w:fill="F8FAFC"/>
            <w:tcBorders>
              <w:top w:val="single" w:sz="4" w:space="0" w:color="CBD5E1"/>
              <w:bottom w:val="single" w:sz="4" w:space="0" w:color="CBD5E1"/>
              <w:left w:val="nil"/>
              <w:right w:val="nil"/>
            </w:tcBorders>
          </w:tcPr>
          <w:p>
            <w:pPr>
              <w:spacing w:after="0"/>
            </w:pPr>
            <w:r>
              <w:rPr>
                <w:rFonts w:ascii="Calibri" w:hAnsi="Calibri"/>
                <w:b w:val="0"/>
                <w:color w:val="2D3748"/>
                <w:sz w:val="18"/>
              </w:rPr>
              <w:t>DET</w:t>
            </w:r>
          </w:p>
        </w:tc>
        <w:tc>
          <w:tcPr>
            <w:tcW w:type="dxa" w:w="2448"/>
            <w:tcMar>
              <w:top w:w="80" w:type="dxa"/>
              <w:bottom w:w="80" w:type="dxa"/>
              <w:left w:w="120" w:type="dxa"/>
              <w:right w:w="120" w:type="dxa"/>
            </w:tcMar>
            <w:shd w:fill="F8FAFC"/>
            <w:tcBorders>
              <w:top w:val="single" w:sz="4" w:space="0" w:color="CBD5E1"/>
              <w:bottom w:val="single" w:sz="4" w:space="0" w:color="CBD5E1"/>
              <w:left w:val="nil"/>
              <w:right w:val="nil"/>
            </w:tcBorders>
          </w:tcPr>
          <w:p>
            <w:pPr>
              <w:spacing w:after="0"/>
            </w:pPr>
            <w:r>
              <w:rPr>
                <w:rFonts w:ascii="Calibri" w:hAnsi="Calibri"/>
                <w:b w:val="0"/>
                <w:color w:val="2D3748"/>
                <w:sz w:val="18"/>
              </w:rPr>
              <w:t>DET</w:t>
            </w:r>
          </w:p>
        </w:tc>
      </w:tr>
      <w:tr>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1/29/02</w:t>
            </w:r>
          </w:p>
        </w:tc>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NUM</w:t>
            </w:r>
          </w:p>
        </w:tc>
        <w:tc>
          <w:tcPr>
            <w:tcW w:type="dxa" w:w="2448"/>
            <w:tcMar>
              <w:top w:w="80" w:type="dxa"/>
              <w:bottom w:w="80" w:type="dxa"/>
              <w:left w:w="120" w:type="dxa"/>
              <w:right w:w="120" w:type="dxa"/>
            </w:tcMar>
            <w:shd w:fill="FEE2E2"/>
            <w:tcBorders>
              <w:top w:val="single" w:sz="4" w:space="0" w:color="CBD5E1"/>
              <w:bottom w:val="single" w:sz="4" w:space="0" w:color="CBD5E1"/>
              <w:left w:val="nil"/>
              <w:right w:val="nil"/>
            </w:tcBorders>
          </w:tcPr>
          <w:p>
            <w:pPr>
              <w:spacing w:after="0"/>
            </w:pPr>
            <w:r>
              <w:rPr>
                <w:rFonts w:ascii="Calibri" w:hAnsi="Calibri"/>
                <w:b/>
                <w:color w:val="991B1B"/>
                <w:sz w:val="18"/>
              </w:rPr>
              <w:t>ADJ</w:t>
            </w:r>
          </w:p>
        </w:tc>
        <w:tc>
          <w:tcPr>
            <w:tcW w:type="dxa" w:w="2448"/>
            <w:tcMar>
              <w:top w:w="80" w:type="dxa"/>
              <w:bottom w:w="80" w:type="dxa"/>
              <w:left w:w="120" w:type="dxa"/>
              <w:right w:w="120" w:type="dxa"/>
            </w:tcMar>
            <w:shd w:fill="DCFCE7"/>
            <w:tcBorders>
              <w:top w:val="single" w:sz="4" w:space="0" w:color="CBD5E1"/>
              <w:bottom w:val="single" w:sz="4" w:space="0" w:color="CBD5E1"/>
              <w:left w:val="nil"/>
              <w:right w:val="nil"/>
            </w:tcBorders>
          </w:tcPr>
          <w:p>
            <w:pPr>
              <w:spacing w:after="0"/>
            </w:pPr>
            <w:r>
              <w:rPr>
                <w:rFonts w:ascii="Calibri" w:hAnsi="Calibri"/>
                <w:b/>
                <w:color w:val="166534"/>
                <w:sz w:val="18"/>
              </w:rPr>
              <w:t>NUM</w:t>
            </w:r>
          </w:p>
        </w:tc>
      </w:tr>
      <w:tr>
        <w:tc>
          <w:tcPr>
            <w:tcW w:type="dxa" w:w="2448"/>
            <w:tcMar>
              <w:top w:w="80" w:type="dxa"/>
              <w:bottom w:w="80" w:type="dxa"/>
              <w:left w:w="120" w:type="dxa"/>
              <w:right w:w="120" w:type="dxa"/>
            </w:tcMar>
            <w:shd w:fill="F8FAFC"/>
            <w:tcBorders>
              <w:top w:val="single" w:sz="4" w:space="0" w:color="CBD5E1"/>
              <w:bottom w:val="single" w:sz="4" w:space="0" w:color="CBD5E1"/>
              <w:left w:val="nil"/>
              <w:right w:val="nil"/>
            </w:tcBorders>
          </w:tcPr>
          <w:p>
            <w:pPr>
              <w:spacing w:after="0"/>
            </w:pPr>
            <w:r>
              <w:rPr>
                <w:rFonts w:ascii="Calibri" w:hAnsi="Calibri"/>
                <w:b w:val="0"/>
                <w:color w:val="2D3748"/>
                <w:sz w:val="18"/>
              </w:rPr>
              <w:t>DPR</w:t>
            </w:r>
          </w:p>
        </w:tc>
        <w:tc>
          <w:tcPr>
            <w:tcW w:type="dxa" w:w="2448"/>
            <w:tcMar>
              <w:top w:w="80" w:type="dxa"/>
              <w:bottom w:w="80" w:type="dxa"/>
              <w:left w:w="120" w:type="dxa"/>
              <w:right w:w="120" w:type="dxa"/>
            </w:tcMar>
            <w:shd w:fill="F8FAFC"/>
            <w:tcBorders>
              <w:top w:val="single" w:sz="4" w:space="0" w:color="CBD5E1"/>
              <w:bottom w:val="single" w:sz="4" w:space="0" w:color="CBD5E1"/>
              <w:left w:val="nil"/>
              <w:right w:val="nil"/>
            </w:tcBorders>
          </w:tcPr>
          <w:p>
            <w:pPr>
              <w:spacing w:after="0"/>
            </w:pPr>
            <w:r>
              <w:rPr>
                <w:rFonts w:ascii="Calibri" w:hAnsi="Calibri"/>
                <w:b w:val="0"/>
                <w:color w:val="2D3748"/>
                <w:sz w:val="18"/>
              </w:rPr>
              <w:t>NOUN</w:t>
            </w:r>
          </w:p>
        </w:tc>
        <w:tc>
          <w:tcPr>
            <w:tcW w:type="dxa" w:w="2448"/>
            <w:tcMar>
              <w:top w:w="80" w:type="dxa"/>
              <w:bottom w:w="80" w:type="dxa"/>
              <w:left w:w="120" w:type="dxa"/>
              <w:right w:w="120" w:type="dxa"/>
            </w:tcMar>
            <w:shd w:fill="F8FAFC"/>
            <w:tcBorders>
              <w:top w:val="single" w:sz="4" w:space="0" w:color="CBD5E1"/>
              <w:bottom w:val="single" w:sz="4" w:space="0" w:color="CBD5E1"/>
              <w:left w:val="nil"/>
              <w:right w:val="nil"/>
            </w:tcBorders>
          </w:tcPr>
          <w:p>
            <w:pPr>
              <w:spacing w:after="0"/>
            </w:pPr>
            <w:r>
              <w:rPr>
                <w:rFonts w:ascii="Calibri" w:hAnsi="Calibri"/>
                <w:b w:val="0"/>
                <w:color w:val="2D3748"/>
                <w:sz w:val="18"/>
              </w:rPr>
              <w:t>NOUN</w:t>
            </w:r>
          </w:p>
        </w:tc>
        <w:tc>
          <w:tcPr>
            <w:tcW w:type="dxa" w:w="2448"/>
            <w:tcMar>
              <w:top w:w="80" w:type="dxa"/>
              <w:bottom w:w="80" w:type="dxa"/>
              <w:left w:w="120" w:type="dxa"/>
              <w:right w:w="120" w:type="dxa"/>
            </w:tcMar>
            <w:shd w:fill="F8FAFC"/>
            <w:tcBorders>
              <w:top w:val="single" w:sz="4" w:space="0" w:color="CBD5E1"/>
              <w:bottom w:val="single" w:sz="4" w:space="0" w:color="CBD5E1"/>
              <w:left w:val="nil"/>
              <w:right w:val="nil"/>
            </w:tcBorders>
          </w:tcPr>
          <w:p>
            <w:pPr>
              <w:spacing w:after="0"/>
            </w:pPr>
            <w:r>
              <w:rPr>
                <w:rFonts w:ascii="Calibri" w:hAnsi="Calibri"/>
                <w:b w:val="0"/>
                <w:color w:val="2D3748"/>
                <w:sz w:val="18"/>
              </w:rPr>
              <w:t>NOUN</w:t>
            </w:r>
          </w:p>
        </w:tc>
      </w:tr>
      <w:tr>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w:t>
            </w:r>
          </w:p>
        </w:tc>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PUNCT</w:t>
            </w:r>
          </w:p>
        </w:tc>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PUNCT</w:t>
            </w:r>
          </w:p>
        </w:tc>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PUNCT</w:t>
            </w:r>
          </w:p>
        </w:tc>
      </w:tr>
    </w:tbl>
    <w:p>
      <w:pPr>
        <w:spacing w:after="120"/>
      </w:pPr>
    </w:p>
    <w:p>
      <w:pPr>
        <w:keepNext/>
        <w:spacing w:before="160" w:after="60"/>
      </w:pPr>
      <w:r>
        <w:rPr>
          <w:rFonts w:ascii="Calibri" w:hAnsi="Calibri"/>
          <w:b/>
          <w:color w:val="1B365D"/>
          <w:sz w:val="20"/>
        </w:rPr>
        <w:t>Table 17. Test sentence 230 (Auxiliary 'do' misclassified as VERB by both models).</w:t>
      </w:r>
    </w:p>
    <w:tbl>
      <w:tblPr>
        <w:tblW w:type="auto" w:w="0"/>
        <w:jc w:val="center"/>
        <w:tblLayout w:type="fixed"/>
        <w:tblLook w:firstColumn="1" w:firstRow="1" w:lastColumn="0" w:lastRow="0" w:noHBand="0" w:noVBand="1" w:val="04A0"/>
      </w:tblPr>
      <w:tblGrid>
        <w:gridCol w:w="3168"/>
        <w:gridCol w:w="2016"/>
        <w:gridCol w:w="2016"/>
        <w:gridCol w:w="2016"/>
      </w:tblGrid>
      <w:tr>
        <w:trPr>
          <w:tblHeader/>
        </w:trPr>
        <w:tc>
          <w:tcPr>
            <w:tcW w:type="dxa" w:w="2448"/>
            <w:tcMar>
              <w:top w:w="100" w:type="dxa"/>
              <w:bottom w:w="100" w:type="dxa"/>
              <w:left w:w="120" w:type="dxa"/>
              <w:right w:w="120" w:type="dxa"/>
            </w:tcMar>
            <w:shd w:fill="1B365D"/>
            <w:tcBorders>
              <w:top w:val="single" w:sz="4" w:space="0" w:color="1B365D"/>
              <w:bottom w:val="single" w:sz="4" w:space="0" w:color="1B365D"/>
              <w:left w:val="nil"/>
              <w:right w:val="nil"/>
            </w:tcBorders>
          </w:tcPr>
          <w:p>
            <w:pPr>
              <w:spacing w:after="0"/>
            </w:pPr>
            <w:r>
              <w:rPr>
                <w:rFonts w:ascii="Calibri" w:hAnsi="Calibri"/>
                <w:b/>
                <w:color w:val="FFFFFF"/>
                <w:sz w:val="19"/>
              </w:rPr>
              <w:t>Word</w:t>
            </w:r>
          </w:p>
        </w:tc>
        <w:tc>
          <w:tcPr>
            <w:tcW w:type="dxa" w:w="2448"/>
            <w:tcMar>
              <w:top w:w="100" w:type="dxa"/>
              <w:bottom w:w="100" w:type="dxa"/>
              <w:left w:w="120" w:type="dxa"/>
              <w:right w:w="120" w:type="dxa"/>
            </w:tcMar>
            <w:shd w:fill="1B365D"/>
            <w:tcBorders>
              <w:top w:val="single" w:sz="4" w:space="0" w:color="1B365D"/>
              <w:bottom w:val="single" w:sz="4" w:space="0" w:color="1B365D"/>
              <w:left w:val="nil"/>
              <w:right w:val="nil"/>
            </w:tcBorders>
          </w:tcPr>
          <w:p>
            <w:pPr>
              <w:spacing w:after="0"/>
            </w:pPr>
            <w:r>
              <w:rPr>
                <w:rFonts w:ascii="Calibri" w:hAnsi="Calibri"/>
                <w:b/>
                <w:color w:val="FFFFFF"/>
                <w:sz w:val="19"/>
              </w:rPr>
              <w:t>Gold</w:t>
            </w:r>
          </w:p>
        </w:tc>
        <w:tc>
          <w:tcPr>
            <w:tcW w:type="dxa" w:w="2448"/>
            <w:tcMar>
              <w:top w:w="100" w:type="dxa"/>
              <w:bottom w:w="100" w:type="dxa"/>
              <w:left w:w="120" w:type="dxa"/>
              <w:right w:w="120" w:type="dxa"/>
            </w:tcMar>
            <w:shd w:fill="1B365D"/>
            <w:tcBorders>
              <w:top w:val="single" w:sz="4" w:space="0" w:color="1B365D"/>
              <w:bottom w:val="single" w:sz="4" w:space="0" w:color="1B365D"/>
              <w:left w:val="nil"/>
              <w:right w:val="nil"/>
            </w:tcBorders>
          </w:tcPr>
          <w:p>
            <w:pPr>
              <w:spacing w:after="0"/>
            </w:pPr>
            <w:r>
              <w:rPr>
                <w:rFonts w:ascii="Calibri" w:hAnsi="Calibri"/>
                <w:b/>
                <w:color w:val="FFFFFF"/>
                <w:sz w:val="19"/>
              </w:rPr>
              <w:t>v1 Pred</w:t>
            </w:r>
          </w:p>
        </w:tc>
        <w:tc>
          <w:tcPr>
            <w:tcW w:type="dxa" w:w="2448"/>
            <w:tcMar>
              <w:top w:w="100" w:type="dxa"/>
              <w:bottom w:w="100" w:type="dxa"/>
              <w:left w:w="120" w:type="dxa"/>
              <w:right w:w="120" w:type="dxa"/>
            </w:tcMar>
            <w:shd w:fill="1B365D"/>
            <w:tcBorders>
              <w:top w:val="single" w:sz="4" w:space="0" w:color="1B365D"/>
              <w:bottom w:val="single" w:sz="4" w:space="0" w:color="1B365D"/>
              <w:left w:val="nil"/>
              <w:right w:val="nil"/>
            </w:tcBorders>
          </w:tcPr>
          <w:p>
            <w:pPr>
              <w:spacing w:after="0"/>
            </w:pPr>
            <w:r>
              <w:rPr>
                <w:rFonts w:ascii="Calibri" w:hAnsi="Calibri"/>
                <w:b/>
                <w:color w:val="FFFFFF"/>
                <w:sz w:val="19"/>
              </w:rPr>
              <w:t>v2 Pred</w:t>
            </w:r>
          </w:p>
        </w:tc>
      </w:tr>
      <w:tr>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why</w:t>
            </w:r>
          </w:p>
        </w:tc>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ADV</w:t>
            </w:r>
          </w:p>
        </w:tc>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ADV</w:t>
            </w:r>
          </w:p>
        </w:tc>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ADV</w:t>
            </w:r>
          </w:p>
        </w:tc>
      </w:tr>
      <w:tr>
        <w:tc>
          <w:tcPr>
            <w:tcW w:type="dxa" w:w="2448"/>
            <w:tcMar>
              <w:top w:w="80" w:type="dxa"/>
              <w:bottom w:w="80" w:type="dxa"/>
              <w:left w:w="120" w:type="dxa"/>
              <w:right w:w="120" w:type="dxa"/>
            </w:tcMar>
            <w:shd w:fill="F8FAFC"/>
            <w:tcBorders>
              <w:top w:val="single" w:sz="4" w:space="0" w:color="CBD5E1"/>
              <w:bottom w:val="single" w:sz="4" w:space="0" w:color="CBD5E1"/>
              <w:left w:val="nil"/>
              <w:right w:val="nil"/>
            </w:tcBorders>
          </w:tcPr>
          <w:p>
            <w:pPr>
              <w:spacing w:after="0"/>
            </w:pPr>
            <w:r>
              <w:rPr>
                <w:rFonts w:ascii="Calibri" w:hAnsi="Calibri"/>
                <w:b w:val="0"/>
                <w:color w:val="2D3748"/>
                <w:sz w:val="18"/>
              </w:rPr>
              <w:t>do</w:t>
            </w:r>
          </w:p>
        </w:tc>
        <w:tc>
          <w:tcPr>
            <w:tcW w:type="dxa" w:w="2448"/>
            <w:tcMar>
              <w:top w:w="80" w:type="dxa"/>
              <w:bottom w:w="80" w:type="dxa"/>
              <w:left w:w="120" w:type="dxa"/>
              <w:right w:w="120" w:type="dxa"/>
            </w:tcMar>
            <w:shd w:fill="F8FAFC"/>
            <w:tcBorders>
              <w:top w:val="single" w:sz="4" w:space="0" w:color="CBD5E1"/>
              <w:bottom w:val="single" w:sz="4" w:space="0" w:color="CBD5E1"/>
              <w:left w:val="nil"/>
              <w:right w:val="nil"/>
            </w:tcBorders>
          </w:tcPr>
          <w:p>
            <w:pPr>
              <w:spacing w:after="0"/>
            </w:pPr>
            <w:r>
              <w:rPr>
                <w:rFonts w:ascii="Calibri" w:hAnsi="Calibri"/>
                <w:b w:val="0"/>
                <w:color w:val="2D3748"/>
                <w:sz w:val="18"/>
              </w:rPr>
              <w:t>AUX</w:t>
            </w:r>
          </w:p>
        </w:tc>
        <w:tc>
          <w:tcPr>
            <w:tcW w:type="dxa" w:w="2448"/>
            <w:tcMar>
              <w:top w:w="80" w:type="dxa"/>
              <w:bottom w:w="80" w:type="dxa"/>
              <w:left w:w="120" w:type="dxa"/>
              <w:right w:w="120" w:type="dxa"/>
            </w:tcMar>
            <w:shd w:fill="FEE2E2"/>
            <w:tcBorders>
              <w:top w:val="single" w:sz="4" w:space="0" w:color="CBD5E1"/>
              <w:bottom w:val="single" w:sz="4" w:space="0" w:color="CBD5E1"/>
              <w:left w:val="nil"/>
              <w:right w:val="nil"/>
            </w:tcBorders>
          </w:tcPr>
          <w:p>
            <w:pPr>
              <w:spacing w:after="0"/>
            </w:pPr>
            <w:r>
              <w:rPr>
                <w:rFonts w:ascii="Calibri" w:hAnsi="Calibri"/>
                <w:b/>
                <w:color w:val="991B1B"/>
                <w:sz w:val="18"/>
              </w:rPr>
              <w:t>VERB</w:t>
            </w:r>
          </w:p>
        </w:tc>
        <w:tc>
          <w:tcPr>
            <w:tcW w:type="dxa" w:w="2448"/>
            <w:tcMar>
              <w:top w:w="80" w:type="dxa"/>
              <w:bottom w:w="80" w:type="dxa"/>
              <w:left w:w="120" w:type="dxa"/>
              <w:right w:w="120" w:type="dxa"/>
            </w:tcMar>
            <w:shd w:fill="FEE2E2"/>
            <w:tcBorders>
              <w:top w:val="single" w:sz="4" w:space="0" w:color="CBD5E1"/>
              <w:bottom w:val="single" w:sz="4" w:space="0" w:color="CBD5E1"/>
              <w:left w:val="nil"/>
              <w:right w:val="nil"/>
            </w:tcBorders>
          </w:tcPr>
          <w:p>
            <w:pPr>
              <w:spacing w:after="0"/>
            </w:pPr>
            <w:r>
              <w:rPr>
                <w:rFonts w:ascii="Calibri" w:hAnsi="Calibri"/>
                <w:b/>
                <w:color w:val="991B1B"/>
                <w:sz w:val="18"/>
              </w:rPr>
              <w:t>VERB</w:t>
            </w:r>
          </w:p>
        </w:tc>
      </w:tr>
      <w:tr>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you</w:t>
            </w:r>
          </w:p>
        </w:tc>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PRON</w:t>
            </w:r>
          </w:p>
        </w:tc>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PRON</w:t>
            </w:r>
          </w:p>
        </w:tc>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PRON</w:t>
            </w:r>
          </w:p>
        </w:tc>
      </w:tr>
      <w:tr>
        <w:tc>
          <w:tcPr>
            <w:tcW w:type="dxa" w:w="2448"/>
            <w:tcMar>
              <w:top w:w="80" w:type="dxa"/>
              <w:bottom w:w="80" w:type="dxa"/>
              <w:left w:w="120" w:type="dxa"/>
              <w:right w:w="120" w:type="dxa"/>
            </w:tcMar>
            <w:shd w:fill="F8FAFC"/>
            <w:tcBorders>
              <w:top w:val="single" w:sz="4" w:space="0" w:color="CBD5E1"/>
              <w:bottom w:val="single" w:sz="4" w:space="0" w:color="CBD5E1"/>
              <w:left w:val="nil"/>
              <w:right w:val="nil"/>
            </w:tcBorders>
          </w:tcPr>
          <w:p>
            <w:pPr>
              <w:spacing w:after="0"/>
            </w:pPr>
            <w:r>
              <w:rPr>
                <w:rFonts w:ascii="Calibri" w:hAnsi="Calibri"/>
                <w:b w:val="0"/>
                <w:color w:val="2D3748"/>
                <w:sz w:val="18"/>
              </w:rPr>
              <w:t>think</w:t>
            </w:r>
          </w:p>
        </w:tc>
        <w:tc>
          <w:tcPr>
            <w:tcW w:type="dxa" w:w="2448"/>
            <w:tcMar>
              <w:top w:w="80" w:type="dxa"/>
              <w:bottom w:w="80" w:type="dxa"/>
              <w:left w:w="120" w:type="dxa"/>
              <w:right w:w="120" w:type="dxa"/>
            </w:tcMar>
            <w:shd w:fill="F8FAFC"/>
            <w:tcBorders>
              <w:top w:val="single" w:sz="4" w:space="0" w:color="CBD5E1"/>
              <w:bottom w:val="single" w:sz="4" w:space="0" w:color="CBD5E1"/>
              <w:left w:val="nil"/>
              <w:right w:val="nil"/>
            </w:tcBorders>
          </w:tcPr>
          <w:p>
            <w:pPr>
              <w:spacing w:after="0"/>
            </w:pPr>
            <w:r>
              <w:rPr>
                <w:rFonts w:ascii="Calibri" w:hAnsi="Calibri"/>
                <w:b w:val="0"/>
                <w:color w:val="2D3748"/>
                <w:sz w:val="18"/>
              </w:rPr>
              <w:t>VERB</w:t>
            </w:r>
          </w:p>
        </w:tc>
        <w:tc>
          <w:tcPr>
            <w:tcW w:type="dxa" w:w="2448"/>
            <w:tcMar>
              <w:top w:w="80" w:type="dxa"/>
              <w:bottom w:w="80" w:type="dxa"/>
              <w:left w:w="120" w:type="dxa"/>
              <w:right w:w="120" w:type="dxa"/>
            </w:tcMar>
            <w:shd w:fill="F8FAFC"/>
            <w:tcBorders>
              <w:top w:val="single" w:sz="4" w:space="0" w:color="CBD5E1"/>
              <w:bottom w:val="single" w:sz="4" w:space="0" w:color="CBD5E1"/>
              <w:left w:val="nil"/>
              <w:right w:val="nil"/>
            </w:tcBorders>
          </w:tcPr>
          <w:p>
            <w:pPr>
              <w:spacing w:after="0"/>
            </w:pPr>
            <w:r>
              <w:rPr>
                <w:rFonts w:ascii="Calibri" w:hAnsi="Calibri"/>
                <w:b w:val="0"/>
                <w:color w:val="2D3748"/>
                <w:sz w:val="18"/>
              </w:rPr>
              <w:t>VERB</w:t>
            </w:r>
          </w:p>
        </w:tc>
        <w:tc>
          <w:tcPr>
            <w:tcW w:type="dxa" w:w="2448"/>
            <w:tcMar>
              <w:top w:w="80" w:type="dxa"/>
              <w:bottom w:w="80" w:type="dxa"/>
              <w:left w:w="120" w:type="dxa"/>
              <w:right w:w="120" w:type="dxa"/>
            </w:tcMar>
            <w:shd w:fill="F8FAFC"/>
            <w:tcBorders>
              <w:top w:val="single" w:sz="4" w:space="0" w:color="CBD5E1"/>
              <w:bottom w:val="single" w:sz="4" w:space="0" w:color="CBD5E1"/>
              <w:left w:val="nil"/>
              <w:right w:val="nil"/>
            </w:tcBorders>
          </w:tcPr>
          <w:p>
            <w:pPr>
              <w:spacing w:after="0"/>
            </w:pPr>
            <w:r>
              <w:rPr>
                <w:rFonts w:ascii="Calibri" w:hAnsi="Calibri"/>
                <w:b w:val="0"/>
                <w:color w:val="2D3748"/>
                <w:sz w:val="18"/>
              </w:rPr>
              <w:t>VERB</w:t>
            </w:r>
          </w:p>
        </w:tc>
      </w:tr>
      <w:tr>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i</w:t>
            </w:r>
          </w:p>
        </w:tc>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PRON</w:t>
            </w:r>
          </w:p>
        </w:tc>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PRON</w:t>
            </w:r>
          </w:p>
        </w:tc>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PRON</w:t>
            </w:r>
          </w:p>
        </w:tc>
      </w:tr>
      <w:tr>
        <w:tc>
          <w:tcPr>
            <w:tcW w:type="dxa" w:w="2448"/>
            <w:tcMar>
              <w:top w:w="80" w:type="dxa"/>
              <w:bottom w:w="80" w:type="dxa"/>
              <w:left w:w="120" w:type="dxa"/>
              <w:right w:w="120" w:type="dxa"/>
            </w:tcMar>
            <w:shd w:fill="F8FAFC"/>
            <w:tcBorders>
              <w:top w:val="single" w:sz="4" w:space="0" w:color="CBD5E1"/>
              <w:bottom w:val="single" w:sz="4" w:space="0" w:color="CBD5E1"/>
              <w:left w:val="nil"/>
              <w:right w:val="nil"/>
            </w:tcBorders>
          </w:tcPr>
          <w:p>
            <w:pPr>
              <w:spacing w:after="0"/>
            </w:pPr>
            <w:r>
              <w:rPr>
                <w:rFonts w:ascii="Calibri" w:hAnsi="Calibri"/>
                <w:b w:val="0"/>
                <w:color w:val="2D3748"/>
                <w:sz w:val="18"/>
              </w:rPr>
              <w:t>should</w:t>
            </w:r>
          </w:p>
        </w:tc>
        <w:tc>
          <w:tcPr>
            <w:tcW w:type="dxa" w:w="2448"/>
            <w:tcMar>
              <w:top w:w="80" w:type="dxa"/>
              <w:bottom w:w="80" w:type="dxa"/>
              <w:left w:w="120" w:type="dxa"/>
              <w:right w:w="120" w:type="dxa"/>
            </w:tcMar>
            <w:shd w:fill="F8FAFC"/>
            <w:tcBorders>
              <w:top w:val="single" w:sz="4" w:space="0" w:color="CBD5E1"/>
              <w:bottom w:val="single" w:sz="4" w:space="0" w:color="CBD5E1"/>
              <w:left w:val="nil"/>
              <w:right w:val="nil"/>
            </w:tcBorders>
          </w:tcPr>
          <w:p>
            <w:pPr>
              <w:spacing w:after="0"/>
            </w:pPr>
            <w:r>
              <w:rPr>
                <w:rFonts w:ascii="Calibri" w:hAnsi="Calibri"/>
                <w:b w:val="0"/>
                <w:color w:val="2D3748"/>
                <w:sz w:val="18"/>
              </w:rPr>
              <w:t>AUX</w:t>
            </w:r>
          </w:p>
        </w:tc>
        <w:tc>
          <w:tcPr>
            <w:tcW w:type="dxa" w:w="2448"/>
            <w:tcMar>
              <w:top w:w="80" w:type="dxa"/>
              <w:bottom w:w="80" w:type="dxa"/>
              <w:left w:w="120" w:type="dxa"/>
              <w:right w:w="120" w:type="dxa"/>
            </w:tcMar>
            <w:shd w:fill="F8FAFC"/>
            <w:tcBorders>
              <w:top w:val="single" w:sz="4" w:space="0" w:color="CBD5E1"/>
              <w:bottom w:val="single" w:sz="4" w:space="0" w:color="CBD5E1"/>
              <w:left w:val="nil"/>
              <w:right w:val="nil"/>
            </w:tcBorders>
          </w:tcPr>
          <w:p>
            <w:pPr>
              <w:spacing w:after="0"/>
            </w:pPr>
            <w:r>
              <w:rPr>
                <w:rFonts w:ascii="Calibri" w:hAnsi="Calibri"/>
                <w:b w:val="0"/>
                <w:color w:val="2D3748"/>
                <w:sz w:val="18"/>
              </w:rPr>
              <w:t>AUX</w:t>
            </w:r>
          </w:p>
        </w:tc>
        <w:tc>
          <w:tcPr>
            <w:tcW w:type="dxa" w:w="2448"/>
            <w:tcMar>
              <w:top w:w="80" w:type="dxa"/>
              <w:bottom w:w="80" w:type="dxa"/>
              <w:left w:w="120" w:type="dxa"/>
              <w:right w:w="120" w:type="dxa"/>
            </w:tcMar>
            <w:shd w:fill="F8FAFC"/>
            <w:tcBorders>
              <w:top w:val="single" w:sz="4" w:space="0" w:color="CBD5E1"/>
              <w:bottom w:val="single" w:sz="4" w:space="0" w:color="CBD5E1"/>
              <w:left w:val="nil"/>
              <w:right w:val="nil"/>
            </w:tcBorders>
          </w:tcPr>
          <w:p>
            <w:pPr>
              <w:spacing w:after="0"/>
            </w:pPr>
            <w:r>
              <w:rPr>
                <w:rFonts w:ascii="Calibri" w:hAnsi="Calibri"/>
                <w:b w:val="0"/>
                <w:color w:val="2D3748"/>
                <w:sz w:val="18"/>
              </w:rPr>
              <w:t>AUX</w:t>
            </w:r>
          </w:p>
        </w:tc>
      </w:tr>
      <w:tr>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get</w:t>
            </w:r>
          </w:p>
        </w:tc>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VERB</w:t>
            </w:r>
          </w:p>
        </w:tc>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VERB</w:t>
            </w:r>
          </w:p>
        </w:tc>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VERB</w:t>
            </w:r>
          </w:p>
        </w:tc>
      </w:tr>
      <w:tr>
        <w:tc>
          <w:tcPr>
            <w:tcW w:type="dxa" w:w="2448"/>
            <w:tcMar>
              <w:top w:w="80" w:type="dxa"/>
              <w:bottom w:w="80" w:type="dxa"/>
              <w:left w:w="120" w:type="dxa"/>
              <w:right w:w="120" w:type="dxa"/>
            </w:tcMar>
            <w:shd w:fill="F8FAFC"/>
            <w:tcBorders>
              <w:top w:val="single" w:sz="4" w:space="0" w:color="CBD5E1"/>
              <w:bottom w:val="single" w:sz="4" w:space="0" w:color="CBD5E1"/>
              <w:left w:val="nil"/>
              <w:right w:val="nil"/>
            </w:tcBorders>
          </w:tcPr>
          <w:p>
            <w:pPr>
              <w:spacing w:after="0"/>
            </w:pPr>
            <w:r>
              <w:rPr>
                <w:rFonts w:ascii="Calibri" w:hAnsi="Calibri"/>
                <w:b w:val="0"/>
                <w:color w:val="2D3748"/>
                <w:sz w:val="18"/>
              </w:rPr>
              <w:t>one</w:t>
            </w:r>
          </w:p>
        </w:tc>
        <w:tc>
          <w:tcPr>
            <w:tcW w:type="dxa" w:w="2448"/>
            <w:tcMar>
              <w:top w:w="80" w:type="dxa"/>
              <w:bottom w:w="80" w:type="dxa"/>
              <w:left w:w="120" w:type="dxa"/>
              <w:right w:w="120" w:type="dxa"/>
            </w:tcMar>
            <w:shd w:fill="F8FAFC"/>
            <w:tcBorders>
              <w:top w:val="single" w:sz="4" w:space="0" w:color="CBD5E1"/>
              <w:bottom w:val="single" w:sz="4" w:space="0" w:color="CBD5E1"/>
              <w:left w:val="nil"/>
              <w:right w:val="nil"/>
            </w:tcBorders>
          </w:tcPr>
          <w:p>
            <w:pPr>
              <w:spacing w:after="0"/>
            </w:pPr>
            <w:r>
              <w:rPr>
                <w:rFonts w:ascii="Calibri" w:hAnsi="Calibri"/>
                <w:b w:val="0"/>
                <w:color w:val="2D3748"/>
                <w:sz w:val="18"/>
              </w:rPr>
              <w:t>NUM</w:t>
            </w:r>
          </w:p>
        </w:tc>
        <w:tc>
          <w:tcPr>
            <w:tcW w:type="dxa" w:w="2448"/>
            <w:tcMar>
              <w:top w:w="80" w:type="dxa"/>
              <w:bottom w:w="80" w:type="dxa"/>
              <w:left w:w="120" w:type="dxa"/>
              <w:right w:w="120" w:type="dxa"/>
            </w:tcMar>
            <w:shd w:fill="F8FAFC"/>
            <w:tcBorders>
              <w:top w:val="single" w:sz="4" w:space="0" w:color="CBD5E1"/>
              <w:bottom w:val="single" w:sz="4" w:space="0" w:color="CBD5E1"/>
              <w:left w:val="nil"/>
              <w:right w:val="nil"/>
            </w:tcBorders>
          </w:tcPr>
          <w:p>
            <w:pPr>
              <w:spacing w:after="0"/>
            </w:pPr>
            <w:r>
              <w:rPr>
                <w:rFonts w:ascii="Calibri" w:hAnsi="Calibri"/>
                <w:b w:val="0"/>
                <w:color w:val="2D3748"/>
                <w:sz w:val="18"/>
              </w:rPr>
              <w:t>NUM</w:t>
            </w:r>
          </w:p>
        </w:tc>
        <w:tc>
          <w:tcPr>
            <w:tcW w:type="dxa" w:w="2448"/>
            <w:tcMar>
              <w:top w:w="80" w:type="dxa"/>
              <w:bottom w:w="80" w:type="dxa"/>
              <w:left w:w="120" w:type="dxa"/>
              <w:right w:w="120" w:type="dxa"/>
            </w:tcMar>
            <w:shd w:fill="F8FAFC"/>
            <w:tcBorders>
              <w:top w:val="single" w:sz="4" w:space="0" w:color="CBD5E1"/>
              <w:bottom w:val="single" w:sz="4" w:space="0" w:color="CBD5E1"/>
              <w:left w:val="nil"/>
              <w:right w:val="nil"/>
            </w:tcBorders>
          </w:tcPr>
          <w:p>
            <w:pPr>
              <w:spacing w:after="0"/>
            </w:pPr>
            <w:r>
              <w:rPr>
                <w:rFonts w:ascii="Calibri" w:hAnsi="Calibri"/>
                <w:b w:val="0"/>
                <w:color w:val="2D3748"/>
                <w:sz w:val="18"/>
              </w:rPr>
              <w:t>NUM</w:t>
            </w:r>
          </w:p>
        </w:tc>
      </w:tr>
      <w:tr>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of</w:t>
            </w:r>
          </w:p>
        </w:tc>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ADP</w:t>
            </w:r>
          </w:p>
        </w:tc>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ADP</w:t>
            </w:r>
          </w:p>
        </w:tc>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ADP</w:t>
            </w:r>
          </w:p>
        </w:tc>
      </w:tr>
      <w:tr>
        <w:tc>
          <w:tcPr>
            <w:tcW w:type="dxa" w:w="2448"/>
            <w:tcMar>
              <w:top w:w="80" w:type="dxa"/>
              <w:bottom w:w="80" w:type="dxa"/>
              <w:left w:w="120" w:type="dxa"/>
              <w:right w:w="120" w:type="dxa"/>
            </w:tcMar>
            <w:shd w:fill="F8FAFC"/>
            <w:tcBorders>
              <w:top w:val="single" w:sz="4" w:space="0" w:color="CBD5E1"/>
              <w:bottom w:val="single" w:sz="4" w:space="0" w:color="CBD5E1"/>
              <w:left w:val="nil"/>
              <w:right w:val="nil"/>
            </w:tcBorders>
          </w:tcPr>
          <w:p>
            <w:pPr>
              <w:spacing w:after="0"/>
            </w:pPr>
            <w:r>
              <w:rPr>
                <w:rFonts w:ascii="Calibri" w:hAnsi="Calibri"/>
                <w:b w:val="0"/>
                <w:color w:val="2D3748"/>
                <w:sz w:val="18"/>
              </w:rPr>
              <w:t>those</w:t>
            </w:r>
          </w:p>
        </w:tc>
        <w:tc>
          <w:tcPr>
            <w:tcW w:type="dxa" w:w="2448"/>
            <w:tcMar>
              <w:top w:w="80" w:type="dxa"/>
              <w:bottom w:w="80" w:type="dxa"/>
              <w:left w:w="120" w:type="dxa"/>
              <w:right w:w="120" w:type="dxa"/>
            </w:tcMar>
            <w:shd w:fill="F8FAFC"/>
            <w:tcBorders>
              <w:top w:val="single" w:sz="4" w:space="0" w:color="CBD5E1"/>
              <w:bottom w:val="single" w:sz="4" w:space="0" w:color="CBD5E1"/>
              <w:left w:val="nil"/>
              <w:right w:val="nil"/>
            </w:tcBorders>
          </w:tcPr>
          <w:p>
            <w:pPr>
              <w:spacing w:after="0"/>
            </w:pPr>
            <w:r>
              <w:rPr>
                <w:rFonts w:ascii="Calibri" w:hAnsi="Calibri"/>
                <w:b w:val="0"/>
                <w:color w:val="2D3748"/>
                <w:sz w:val="18"/>
              </w:rPr>
              <w:t>PRON</w:t>
            </w:r>
          </w:p>
        </w:tc>
        <w:tc>
          <w:tcPr>
            <w:tcW w:type="dxa" w:w="2448"/>
            <w:tcMar>
              <w:top w:w="80" w:type="dxa"/>
              <w:bottom w:w="80" w:type="dxa"/>
              <w:left w:w="120" w:type="dxa"/>
              <w:right w:w="120" w:type="dxa"/>
            </w:tcMar>
            <w:shd w:fill="F8FAFC"/>
            <w:tcBorders>
              <w:top w:val="single" w:sz="4" w:space="0" w:color="CBD5E1"/>
              <w:bottom w:val="single" w:sz="4" w:space="0" w:color="CBD5E1"/>
              <w:left w:val="nil"/>
              <w:right w:val="nil"/>
            </w:tcBorders>
          </w:tcPr>
          <w:p>
            <w:pPr>
              <w:spacing w:after="0"/>
            </w:pPr>
            <w:r>
              <w:rPr>
                <w:rFonts w:ascii="Calibri" w:hAnsi="Calibri"/>
                <w:b w:val="0"/>
                <w:color w:val="2D3748"/>
                <w:sz w:val="18"/>
              </w:rPr>
              <w:t>PRON</w:t>
            </w:r>
          </w:p>
        </w:tc>
        <w:tc>
          <w:tcPr>
            <w:tcW w:type="dxa" w:w="2448"/>
            <w:tcMar>
              <w:top w:w="80" w:type="dxa"/>
              <w:bottom w:w="80" w:type="dxa"/>
              <w:left w:w="120" w:type="dxa"/>
              <w:right w:w="120" w:type="dxa"/>
            </w:tcMar>
            <w:shd w:fill="F8FAFC"/>
            <w:tcBorders>
              <w:top w:val="single" w:sz="4" w:space="0" w:color="CBD5E1"/>
              <w:bottom w:val="single" w:sz="4" w:space="0" w:color="CBD5E1"/>
              <w:left w:val="nil"/>
              <w:right w:val="nil"/>
            </w:tcBorders>
          </w:tcPr>
          <w:p>
            <w:pPr>
              <w:spacing w:after="0"/>
            </w:pPr>
            <w:r>
              <w:rPr>
                <w:rFonts w:ascii="Calibri" w:hAnsi="Calibri"/>
                <w:b w:val="0"/>
                <w:color w:val="2D3748"/>
                <w:sz w:val="18"/>
              </w:rPr>
              <w:t>PRON</w:t>
            </w:r>
          </w:p>
        </w:tc>
      </w:tr>
      <w:tr>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w:t>
            </w:r>
          </w:p>
        </w:tc>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PUNCT</w:t>
            </w:r>
          </w:p>
        </w:tc>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PUNCT</w:t>
            </w:r>
          </w:p>
        </w:tc>
        <w:tc>
          <w:tcPr>
            <w:tcW w:type="dxa" w:w="2448"/>
            <w:tcMar>
              <w:top w:w="80" w:type="dxa"/>
              <w:bottom w:w="80" w:type="dxa"/>
              <w:left w:w="120" w:type="dxa"/>
              <w:right w:w="120" w:type="dxa"/>
            </w:tcMar>
            <w:shd w:fill="FFFFFF"/>
            <w:tcBorders>
              <w:top w:val="single" w:sz="4" w:space="0" w:color="CBD5E1"/>
              <w:bottom w:val="single" w:sz="4" w:space="0" w:color="CBD5E1"/>
              <w:left w:val="nil"/>
              <w:right w:val="nil"/>
            </w:tcBorders>
          </w:tcPr>
          <w:p>
            <w:pPr>
              <w:spacing w:after="0"/>
            </w:pPr>
            <w:r>
              <w:rPr>
                <w:rFonts w:ascii="Calibri" w:hAnsi="Calibri"/>
                <w:b w:val="0"/>
                <w:color w:val="2D3748"/>
                <w:sz w:val="18"/>
              </w:rPr>
              <w:t>PUNCT</w:t>
            </w:r>
          </w:p>
        </w:tc>
      </w:tr>
    </w:tbl>
    <w:p>
      <w:pPr>
        <w:spacing w:after="120"/>
      </w:pPr>
    </w:p>
    <w:p>
      <w:pPr>
        <w:spacing w:after="80" w:line="276" w:lineRule="auto"/>
      </w:pPr>
      <w:r>
        <w:rPr>
          <w:rFonts w:ascii="Calibri" w:hAnsi="Calibri"/>
          <w:color w:val="2D3748"/>
          <w:sz w:val="21"/>
        </w:rPr>
        <w:t>In the first three sentences the fixed words are unseen forms: an acronym ('CDWR', ADJ to NOUN), a plural noun ('girlfriends', VERB to NOUN) and a date ('1/29/02', ADJ to NUM). In the last sentence, 'do' is a known word, yet it is tagged VERB instead of AUX. Smoothing and unknown-word buckets cannot fix this kind of error, because the HMM only sees the previous tag.</w:t>
      </w:r>
    </w:p>
    <w:p>
      <w:pPr>
        <w:keepNext/>
        <w:spacing w:before="280" w:after="80"/>
      </w:pPr>
      <w:r>
        <w:rPr>
          <w:rFonts w:ascii="Calibri" w:hAnsi="Calibri"/>
          <w:b/>
          <w:color w:val="1B365D"/>
          <w:sz w:val="30"/>
        </w:rPr>
        <w:t>9. Discussion</w:t>
      </w:r>
    </w:p>
    <w:p>
      <w:pPr>
        <w:keepNext/>
        <w:spacing w:before="200" w:after="60"/>
      </w:pPr>
      <w:r>
        <w:rPr>
          <w:rFonts w:ascii="Calibri" w:hAnsi="Calibri"/>
          <w:b/>
          <w:color w:val="2B6CB0"/>
          <w:sz w:val="25"/>
        </w:rPr>
        <w:t>9.1 The gap: why a BiLSTM next</w:t>
      </w:r>
    </w:p>
    <w:p>
      <w:pPr>
        <w:spacing w:after="80" w:line="276" w:lineRule="auto"/>
      </w:pPr>
      <w:r>
        <w:rPr>
          <w:rFonts w:ascii="Calibri" w:hAnsi="Calibri"/>
          <w:color w:val="2D3748"/>
          <w:sz w:val="21"/>
        </w:rPr>
        <w:t>HMM v2 closes much of the unknown-word gap, but its structure still limits it.</w:t>
      </w:r>
    </w:p>
    <w:p>
      <w:pPr>
        <w:spacing w:after="80" w:line="276" w:lineRule="auto"/>
      </w:pPr>
      <w:r>
        <w:rPr>
          <w:rFonts w:ascii="Calibri" w:hAnsi="Calibri"/>
          <w:b/>
          <w:color w:val="1B365D"/>
          <w:sz w:val="21"/>
        </w:rPr>
        <w:t xml:space="preserve">Limited context: </w:t>
      </w:r>
      <w:r>
        <w:rPr>
          <w:rFonts w:ascii="Calibri" w:hAnsi="Calibri"/>
          <w:color w:val="2D3748"/>
          <w:sz w:val="21"/>
        </w:rPr>
        <w:t>The tag of a word depends only on the previous tag, and each word depends only on its own tag. Rabiner (1989, Section VIII-A) notes that the Markov assumption is inappropriate when dependencies extend over several states. Remaining errors such as VERB versus AUX or NOUN versus PROPN are the kind of ambiguity that wider context can help to resolve, although we did not measure long-range dependencies directly.</w:t>
      </w:r>
    </w:p>
    <w:p>
      <w:pPr>
        <w:spacing w:after="80" w:line="276" w:lineRule="auto"/>
      </w:pPr>
      <w:r>
        <w:rPr>
          <w:rFonts w:ascii="Calibri" w:hAnsi="Calibri"/>
          <w:b/>
          <w:color w:val="1B365D"/>
          <w:sz w:val="21"/>
        </w:rPr>
        <w:t xml:space="preserve">Unknown words handled by hand-written rules: </w:t>
      </w:r>
      <w:r>
        <w:rPr>
          <w:rFonts w:ascii="Calibri" w:hAnsi="Calibri"/>
          <w:color w:val="2D3748"/>
          <w:sz w:val="21"/>
        </w:rPr>
        <w:t>The buckets use a small fixed list of shapes and suffixes. A BiLSTM with character or subword embeddings can learn such cues itself, and can combine them with the surrounding sentence.</w:t>
      </w:r>
    </w:p>
    <w:p>
      <w:pPr>
        <w:spacing w:after="80" w:line="276" w:lineRule="auto"/>
      </w:pPr>
      <w:r>
        <w:rPr>
          <w:rFonts w:ascii="Calibri" w:hAnsi="Calibri"/>
          <w:b/>
          <w:color w:val="1B365D"/>
          <w:sz w:val="21"/>
        </w:rPr>
        <w:t xml:space="preserve">Left-to-right scoring: </w:t>
      </w:r>
      <w:r>
        <w:rPr>
          <w:rFonts w:ascii="Calibri" w:hAnsi="Calibri"/>
          <w:color w:val="2D3748"/>
          <w:sz w:val="21"/>
        </w:rPr>
        <w:t>The HMM scores a tag from its left neighbour through the transition table, while a bidirectional model sees context on both sides of a word.</w:t>
      </w:r>
    </w:p>
    <w:p>
      <w:pPr>
        <w:keepNext/>
        <w:spacing w:before="200" w:after="60"/>
      </w:pPr>
      <w:r>
        <w:rPr>
          <w:rFonts w:ascii="Calibri" w:hAnsi="Calibri"/>
          <w:b/>
          <w:color w:val="2B6CB0"/>
          <w:sz w:val="25"/>
        </w:rPr>
        <w:t>9.2 Limitations</w:t>
      </w:r>
    </w:p>
    <w:p>
      <w:pPr>
        <w:spacing w:after="80" w:line="276" w:lineRule="auto"/>
      </w:pPr>
      <w:r>
        <w:rPr>
          <w:rFonts w:ascii="Calibri" w:hAnsi="Calibri"/>
          <w:b/>
          <w:color w:val="1B365D"/>
          <w:sz w:val="21"/>
        </w:rPr>
        <w:t xml:space="preserve">Test-set exposure: </w:t>
      </w:r>
      <w:r>
        <w:rPr>
          <w:rFonts w:ascii="Calibri" w:hAnsi="Calibri"/>
          <w:color w:val="2D3748"/>
          <w:sz w:val="21"/>
        </w:rPr>
        <w:t>The idea of shape-based buckets came from the error analysis of v1, which was carried out on the test set. All choices among settings were made on the development set, and the development and test gains are similar (about 2.1 and 2.2 points), but the test result of v2 may still be slightly optimistic.</w:t>
      </w:r>
    </w:p>
    <w:p>
      <w:pPr>
        <w:spacing w:after="80" w:line="276" w:lineRule="auto"/>
      </w:pPr>
      <w:r>
        <w:rPr>
          <w:rFonts w:ascii="Calibri" w:hAnsi="Calibri"/>
          <w:b/>
          <w:color w:val="1B365D"/>
          <w:sz w:val="21"/>
        </w:rPr>
        <w:t xml:space="preserve">Domain and language specificity: </w:t>
      </w:r>
      <w:r>
        <w:rPr>
          <w:rFonts w:ascii="Calibri" w:hAnsi="Calibri"/>
          <w:color w:val="2D3748"/>
          <w:sz w:val="21"/>
        </w:rPr>
        <w:t>Hand-written bucket rules reflect English spelling and the style of this corpus, and may transfer poorly to other languages or domains.</w:t>
      </w:r>
    </w:p>
    <w:p>
      <w:pPr>
        <w:spacing w:after="80" w:line="276" w:lineRule="auto"/>
      </w:pPr>
      <w:r>
        <w:rPr>
          <w:rFonts w:ascii="Calibri" w:hAnsi="Calibri"/>
          <w:b/>
          <w:color w:val="1B365D"/>
          <w:sz w:val="21"/>
        </w:rPr>
        <w:t xml:space="preserve">Rare tags: </w:t>
      </w:r>
      <w:r>
        <w:rPr>
          <w:rFonts w:ascii="Calibri" w:hAnsi="Calibri"/>
          <w:color w:val="2D3748"/>
          <w:sz w:val="21"/>
        </w:rPr>
        <w:t>The tag X (42 test tokens) is nearly unsolved and has a large effect on macro F1 relative to its effect on accuracy.</w:t>
      </w:r>
    </w:p>
    <w:p>
      <w:pPr>
        <w:spacing w:after="80" w:line="276" w:lineRule="auto"/>
      </w:pPr>
      <w:r>
        <w:rPr>
          <w:rFonts w:ascii="Calibri" w:hAnsi="Calibri"/>
          <w:b/>
          <w:color w:val="1B365D"/>
          <w:sz w:val="21"/>
        </w:rPr>
        <w:t xml:space="preserve">Single split: </w:t>
      </w:r>
      <w:r>
        <w:rPr>
          <w:rFonts w:ascii="Calibri" w:hAnsi="Calibri"/>
          <w:color w:val="2D3748"/>
          <w:sz w:val="21"/>
        </w:rPr>
        <w:t>All results come from the official train, development and test split. We did not repeat the experiments on other splits.</w:t>
      </w:r>
    </w:p>
    <w:p>
      <w:pPr>
        <w:keepNext/>
        <w:spacing w:before="280" w:after="80"/>
      </w:pPr>
      <w:r>
        <w:rPr>
          <w:rFonts w:ascii="Calibri" w:hAnsi="Calibri"/>
          <w:b/>
          <w:color w:val="1B365D"/>
          <w:sz w:val="30"/>
        </w:rPr>
        <w:t>10. Conclusion and Next Steps</w:t>
      </w:r>
    </w:p>
    <w:p>
      <w:pPr>
        <w:spacing w:after="80" w:line="276" w:lineRule="auto"/>
      </w:pPr>
      <w:r>
        <w:rPr>
          <w:rFonts w:ascii="Calibri" w:hAnsi="Calibri"/>
          <w:color w:val="2D3748"/>
          <w:sz w:val="21"/>
        </w:rPr>
        <w:t>We built an HMM POS tagger with add-k smoothing and log-space Viterbi decoding. The baseline reaches 90.03% test accuracy; shape-based unknown-word buckets raise this to 92.24%, with macro F1 of 85.53% and unknown-word accuracy of 75.72%. The remaining errors are concentrated in ambiguities between categories that share word forms, and in unknown nouns and adjectives.</w:t>
      </w:r>
    </w:p>
    <w:p>
      <w:pPr>
        <w:spacing w:after="80" w:line="276" w:lineRule="auto"/>
      </w:pPr>
      <w:r>
        <w:rPr>
          <w:rFonts w:ascii="Calibri" w:hAnsi="Calibri"/>
          <w:color w:val="2D3748"/>
          <w:sz w:val="21"/>
        </w:rPr>
        <w:t>The next phase will train a BiLSTM tagger with word and character or subword embeddings, masking padded positions in the loss (Huang, Xu and Yu, 2015). For a fair comparison it must use the same data files, the same 17 tags, the same unknown-word definition and the same metrics. The HMM v2 numbers in Table 5 are the reference to compare against.</w:t>
      </w:r>
    </w:p>
    <w:p>
      <w:pPr>
        <w:keepNext/>
        <w:spacing w:before="280" w:after="80"/>
      </w:pPr>
      <w:r>
        <w:rPr>
          <w:rFonts w:ascii="Calibri" w:hAnsi="Calibri"/>
          <w:b/>
          <w:color w:val="1B365D"/>
          <w:sz w:val="30"/>
        </w:rPr>
        <w:t>Appendix A. Reproducibility and Hand-off</w:t>
      </w:r>
    </w:p>
    <w:p>
      <w:pPr>
        <w:keepNext/>
        <w:spacing w:before="160" w:after="60"/>
      </w:pPr>
      <w:r>
        <w:rPr>
          <w:rFonts w:ascii="Calibri" w:hAnsi="Calibri"/>
          <w:b/>
          <w:color w:val="1B365D"/>
          <w:sz w:val="20"/>
        </w:rPr>
        <w:t>Table 18. Final settings of the two models.</w:t>
      </w:r>
    </w:p>
    <w:tbl>
      <w:tblPr>
        <w:tblW w:type="auto" w:w="0"/>
        <w:jc w:val="center"/>
        <w:tblLayout w:type="fixed"/>
        <w:tblLook w:firstColumn="1" w:firstRow="1" w:lastColumn="0" w:lastRow="0" w:noHBand="0" w:noVBand="1" w:val="04A0"/>
      </w:tblPr>
      <w:tblGrid>
        <w:gridCol w:w="4032"/>
        <w:gridCol w:w="2880"/>
        <w:gridCol w:w="2880"/>
      </w:tblGrid>
      <w:tr>
        <w:trPr>
          <w:tblHeader/>
        </w:trPr>
        <w:tc>
          <w:tcPr>
            <w:tcW w:type="dxa" w:w="3264"/>
            <w:tcMar>
              <w:top w:w="120" w:type="dxa"/>
              <w:bottom w:w="120" w:type="dxa"/>
              <w:left w:w="140" w:type="dxa"/>
              <w:right w:w="140" w:type="dxa"/>
            </w:tcMar>
            <w:shd w:fill="1B365D"/>
            <w:tcBorders>
              <w:top w:val="single" w:sz="4" w:space="0" w:color="1B365D"/>
              <w:bottom w:val="single" w:sz="4" w:space="0" w:color="1B365D"/>
              <w:left w:val="nil"/>
              <w:right w:val="nil"/>
            </w:tcBorders>
          </w:tcPr>
          <w:p>
            <w:pPr>
              <w:spacing w:after="0"/>
              <w:jc w:val="left"/>
            </w:pPr>
            <w:r>
              <w:rPr>
                <w:rFonts w:ascii="Calibri" w:hAnsi="Calibri"/>
                <w:b/>
                <w:color w:val="FFFFFF"/>
                <w:sz w:val="19"/>
              </w:rPr>
              <w:t>Setting</w:t>
            </w:r>
          </w:p>
        </w:tc>
        <w:tc>
          <w:tcPr>
            <w:tcW w:type="dxa" w:w="3264"/>
            <w:tcMar>
              <w:top w:w="120" w:type="dxa"/>
              <w:bottom w:w="120" w:type="dxa"/>
              <w:left w:w="140" w:type="dxa"/>
              <w:right w:w="140" w:type="dxa"/>
            </w:tcMar>
            <w:shd w:fill="1B365D"/>
            <w:tcBorders>
              <w:top w:val="single" w:sz="4" w:space="0" w:color="1B365D"/>
              <w:bottom w:val="single" w:sz="4" w:space="0" w:color="1B365D"/>
              <w:left w:val="nil"/>
              <w:right w:val="nil"/>
            </w:tcBorders>
          </w:tcPr>
          <w:p>
            <w:pPr>
              <w:spacing w:after="0"/>
              <w:jc w:val="left"/>
            </w:pPr>
            <w:r>
              <w:rPr>
                <w:rFonts w:ascii="Calibri" w:hAnsi="Calibri"/>
                <w:b/>
                <w:color w:val="FFFFFF"/>
                <w:sz w:val="19"/>
              </w:rPr>
              <w:t>HMM v1</w:t>
            </w:r>
          </w:p>
        </w:tc>
        <w:tc>
          <w:tcPr>
            <w:tcW w:type="dxa" w:w="3264"/>
            <w:tcMar>
              <w:top w:w="120" w:type="dxa"/>
              <w:bottom w:w="120" w:type="dxa"/>
              <w:left w:w="140" w:type="dxa"/>
              <w:right w:w="140" w:type="dxa"/>
            </w:tcMar>
            <w:shd w:fill="1B365D"/>
            <w:tcBorders>
              <w:top w:val="single" w:sz="4" w:space="0" w:color="1B365D"/>
              <w:bottom w:val="single" w:sz="4" w:space="0" w:color="1B365D"/>
              <w:left w:val="nil"/>
              <w:right w:val="nil"/>
            </w:tcBorders>
          </w:tcPr>
          <w:p>
            <w:pPr>
              <w:spacing w:after="0"/>
              <w:jc w:val="left"/>
            </w:pPr>
            <w:r>
              <w:rPr>
                <w:rFonts w:ascii="Calibri" w:hAnsi="Calibri"/>
                <w:b/>
                <w:color w:val="FFFFFF"/>
                <w:sz w:val="19"/>
              </w:rPr>
              <w:t>HMM v2</w:t>
            </w:r>
          </w:p>
        </w:tc>
      </w:tr>
      <w:tr>
        <w:tc>
          <w:tcPr>
            <w:tcW w:type="dxa" w:w="326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left"/>
            </w:pPr>
            <w:r>
              <w:rPr>
                <w:rFonts w:ascii="Calibri" w:hAnsi="Calibri"/>
                <w:color w:val="2D3748"/>
                <w:sz w:val="18"/>
              </w:rPr>
              <w:t>Lowercase words</w:t>
            </w:r>
          </w:p>
        </w:tc>
        <w:tc>
          <w:tcPr>
            <w:tcW w:type="dxa" w:w="326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left"/>
            </w:pPr>
            <w:r>
              <w:rPr>
                <w:rFonts w:ascii="Calibri" w:hAnsi="Calibri"/>
                <w:color w:val="2D3748"/>
                <w:sz w:val="18"/>
              </w:rPr>
              <w:t>yes</w:t>
            </w:r>
          </w:p>
        </w:tc>
        <w:tc>
          <w:tcPr>
            <w:tcW w:type="dxa" w:w="326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left"/>
            </w:pPr>
            <w:r>
              <w:rPr>
                <w:rFonts w:ascii="Calibri" w:hAnsi="Calibri"/>
                <w:color w:val="2D3748"/>
                <w:sz w:val="18"/>
              </w:rPr>
              <w:t>yes</w:t>
            </w:r>
          </w:p>
        </w:tc>
      </w:tr>
      <w:tr>
        <w:tc>
          <w:tcPr>
            <w:tcW w:type="dxa" w:w="3264"/>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left"/>
            </w:pPr>
            <w:r>
              <w:rPr>
                <w:rFonts w:ascii="Calibri" w:hAnsi="Calibri"/>
                <w:color w:val="2D3748"/>
                <w:sz w:val="18"/>
              </w:rPr>
              <w:t>Rarity threshold (min_freq)</w:t>
            </w:r>
          </w:p>
        </w:tc>
        <w:tc>
          <w:tcPr>
            <w:tcW w:type="dxa" w:w="3264"/>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left"/>
            </w:pPr>
            <w:r>
              <w:rPr>
                <w:rFonts w:ascii="Calibri" w:hAnsi="Calibri"/>
                <w:color w:val="2D3748"/>
                <w:sz w:val="18"/>
              </w:rPr>
              <w:t>2</w:t>
            </w:r>
          </w:p>
        </w:tc>
        <w:tc>
          <w:tcPr>
            <w:tcW w:type="dxa" w:w="3264"/>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left"/>
            </w:pPr>
            <w:r>
              <w:rPr>
                <w:rFonts w:ascii="Calibri" w:hAnsi="Calibri"/>
                <w:color w:val="2D3748"/>
                <w:sz w:val="18"/>
              </w:rPr>
              <w:t>2</w:t>
            </w:r>
          </w:p>
        </w:tc>
      </w:tr>
      <w:tr>
        <w:tc>
          <w:tcPr>
            <w:tcW w:type="dxa" w:w="326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left"/>
            </w:pPr>
            <w:r>
              <w:rPr>
                <w:rFonts w:ascii="Calibri" w:hAnsi="Calibri"/>
                <w:color w:val="2D3748"/>
                <w:sz w:val="18"/>
              </w:rPr>
              <w:t>Unknown-word handling</w:t>
            </w:r>
          </w:p>
        </w:tc>
        <w:tc>
          <w:tcPr>
            <w:tcW w:type="dxa" w:w="326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left"/>
            </w:pPr>
            <w:r>
              <w:rPr>
                <w:rFonts w:ascii="Calibri" w:hAnsi="Calibri"/>
                <w:color w:val="2D3748"/>
                <w:sz w:val="18"/>
              </w:rPr>
              <w:t>single &lt;UNK&gt;</w:t>
            </w:r>
          </w:p>
        </w:tc>
        <w:tc>
          <w:tcPr>
            <w:tcW w:type="dxa" w:w="326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left"/>
            </w:pPr>
            <w:r>
              <w:rPr>
                <w:rFonts w:ascii="Calibri" w:hAnsi="Calibri"/>
                <w:color w:val="2D3748"/>
                <w:sz w:val="18"/>
              </w:rPr>
              <w:t>11 shape buckets</w:t>
            </w:r>
          </w:p>
        </w:tc>
      </w:tr>
      <w:tr>
        <w:tc>
          <w:tcPr>
            <w:tcW w:type="dxa" w:w="3264"/>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left"/>
            </w:pPr>
            <w:r>
              <w:rPr>
                <w:rFonts w:ascii="Calibri" w:hAnsi="Calibri"/>
                <w:color w:val="2D3748"/>
                <w:sz w:val="18"/>
              </w:rPr>
              <w:t>k_trans</w:t>
            </w:r>
          </w:p>
        </w:tc>
        <w:tc>
          <w:tcPr>
            <w:tcW w:type="dxa" w:w="3264"/>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left"/>
            </w:pPr>
            <w:r>
              <w:rPr>
                <w:rFonts w:ascii="Calibri" w:hAnsi="Calibri"/>
                <w:color w:val="2D3748"/>
                <w:sz w:val="18"/>
              </w:rPr>
              <w:t>1.0</w:t>
            </w:r>
          </w:p>
        </w:tc>
        <w:tc>
          <w:tcPr>
            <w:tcW w:type="dxa" w:w="3264"/>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left"/>
            </w:pPr>
            <w:r>
              <w:rPr>
                <w:rFonts w:ascii="Calibri" w:hAnsi="Calibri"/>
                <w:color w:val="2D3748"/>
                <w:sz w:val="18"/>
              </w:rPr>
              <w:t>1.0</w:t>
            </w:r>
          </w:p>
        </w:tc>
      </w:tr>
      <w:tr>
        <w:tc>
          <w:tcPr>
            <w:tcW w:type="dxa" w:w="326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left"/>
            </w:pPr>
            <w:r>
              <w:rPr>
                <w:rFonts w:ascii="Calibri" w:hAnsi="Calibri"/>
                <w:color w:val="2D3748"/>
                <w:sz w:val="18"/>
              </w:rPr>
              <w:t>k_emit</w:t>
            </w:r>
          </w:p>
        </w:tc>
        <w:tc>
          <w:tcPr>
            <w:tcW w:type="dxa" w:w="326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left"/>
            </w:pPr>
            <w:r>
              <w:rPr>
                <w:rFonts w:ascii="Calibri" w:hAnsi="Calibri"/>
                <w:color w:val="2D3748"/>
                <w:sz w:val="18"/>
              </w:rPr>
              <w:t>0.001</w:t>
            </w:r>
          </w:p>
        </w:tc>
        <w:tc>
          <w:tcPr>
            <w:tcW w:type="dxa" w:w="3264"/>
            <w:tcMar>
              <w:top w:w="90" w:type="dxa"/>
              <w:bottom w:w="90" w:type="dxa"/>
              <w:left w:w="140" w:type="dxa"/>
              <w:right w:w="140" w:type="dxa"/>
            </w:tcMar>
            <w:shd w:fill="FFFFFF"/>
            <w:tcBorders>
              <w:top w:val="single" w:sz="4" w:space="0" w:color="CBD5E1"/>
              <w:bottom w:val="single" w:sz="4" w:space="0" w:color="CBD5E1"/>
              <w:left w:val="nil"/>
              <w:right w:val="nil"/>
            </w:tcBorders>
          </w:tcPr>
          <w:p>
            <w:pPr>
              <w:spacing w:after="0"/>
              <w:jc w:val="left"/>
            </w:pPr>
            <w:r>
              <w:rPr>
                <w:rFonts w:ascii="Calibri" w:hAnsi="Calibri"/>
                <w:color w:val="2D3748"/>
                <w:sz w:val="18"/>
              </w:rPr>
              <w:t>0.001</w:t>
            </w:r>
          </w:p>
        </w:tc>
      </w:tr>
      <w:tr>
        <w:tc>
          <w:tcPr>
            <w:tcW w:type="dxa" w:w="3264"/>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left"/>
            </w:pPr>
            <w:r>
              <w:rPr>
                <w:rFonts w:ascii="Calibri" w:hAnsi="Calibri"/>
                <w:color w:val="2D3748"/>
                <w:sz w:val="18"/>
              </w:rPr>
              <w:t>Vocabulary size</w:t>
            </w:r>
          </w:p>
        </w:tc>
        <w:tc>
          <w:tcPr>
            <w:tcW w:type="dxa" w:w="3264"/>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left"/>
            </w:pPr>
            <w:r>
              <w:rPr>
                <w:rFonts w:ascii="Calibri" w:hAnsi="Calibri"/>
                <w:color w:val="2D3748"/>
                <w:sz w:val="18"/>
              </w:rPr>
              <w:t>8,866</w:t>
            </w:r>
          </w:p>
        </w:tc>
        <w:tc>
          <w:tcPr>
            <w:tcW w:type="dxa" w:w="3264"/>
            <w:tcMar>
              <w:top w:w="90" w:type="dxa"/>
              <w:bottom w:w="90" w:type="dxa"/>
              <w:left w:w="140" w:type="dxa"/>
              <w:right w:w="140" w:type="dxa"/>
            </w:tcMar>
            <w:shd w:fill="F8FAFC"/>
            <w:tcBorders>
              <w:top w:val="single" w:sz="4" w:space="0" w:color="CBD5E1"/>
              <w:bottom w:val="single" w:sz="4" w:space="0" w:color="CBD5E1"/>
              <w:left w:val="nil"/>
              <w:right w:val="nil"/>
            </w:tcBorders>
          </w:tcPr>
          <w:p>
            <w:pPr>
              <w:spacing w:after="0"/>
              <w:jc w:val="left"/>
            </w:pPr>
            <w:r>
              <w:rPr>
                <w:rFonts w:ascii="Calibri" w:hAnsi="Calibri"/>
                <w:color w:val="2D3748"/>
                <w:sz w:val="18"/>
              </w:rPr>
              <w:t>8,876</w:t>
            </w:r>
          </w:p>
        </w:tc>
      </w:tr>
    </w:tbl>
    <w:p>
      <w:pPr>
        <w:spacing w:after="120"/>
      </w:pPr>
    </w:p>
    <w:p>
      <w:pPr>
        <w:spacing w:after="80" w:line="276" w:lineRule="auto"/>
      </w:pPr>
      <w:r>
        <w:rPr>
          <w:rFonts w:ascii="Calibri" w:hAnsi="Calibri"/>
          <w:color w:val="2D3748"/>
          <w:sz w:val="21"/>
        </w:rPr>
        <w:t>The experiments were run in Python with NumPy, conllu, scikit-learn and Matplotlib, in a Colab notebook and standalone modular package. Two files are saved for the next phase: hmm_results.json (settings, test metrics and per-tag F1) and hmm_test_predictions.json (words, gold tags and HMM v2 predictions for every test sentence).</w:t>
      </w:r>
    </w:p>
    <w:p>
      <w:pPr>
        <w:spacing w:after="80" w:line="276" w:lineRule="auto"/>
      </w:pPr>
      <w:r>
        <w:rPr>
          <w:rFonts w:ascii="Calibri" w:hAnsi="Calibri"/>
          <w:b/>
          <w:color w:val="1B365D"/>
          <w:sz w:val="21"/>
        </w:rPr>
        <w:t xml:space="preserve">Checklist for the DL phase: </w:t>
      </w:r>
      <w:r>
        <w:rPr>
          <w:rFonts w:ascii="Calibri" w:hAnsi="Calibri"/>
          <w:color w:val="2D3748"/>
          <w:sz w:val="21"/>
        </w:rPr>
        <w:t>Use the same three EWT files (UD v2.18), skipping multiword tokens and empty nodes; the same 17 tags in alphabetical order (ADJ, ADP, ADV, AUX, CCONJ, DET, INTJ, NOUN, NUM, PART, PRON, PROPN, PUNCT, SCONJ, SYM, VERB, X); a vocabulary built from the training split only; the unknown-word definition of Section 5; the metrics of Section 5, with padded tokens masked out of the loss and out of every metric; hyperparameters chosen on the development split, with the test split used once.</w:t>
      </w:r>
    </w:p>
    <w:p>
      <w:pPr>
        <w:keepNext/>
        <w:spacing w:before="280" w:after="80"/>
      </w:pPr>
      <w:r>
        <w:rPr>
          <w:rFonts w:ascii="Calibri" w:hAnsi="Calibri"/>
          <w:b/>
          <w:color w:val="1B365D"/>
          <w:sz w:val="30"/>
        </w:rPr>
        <w:t>References</w:t>
      </w:r>
    </w:p>
    <w:p>
      <w:pPr>
        <w:spacing w:after="80" w:line="276" w:lineRule="auto"/>
      </w:pPr>
      <w:r>
        <w:rPr>
          <w:rFonts w:ascii="Calibri" w:hAnsi="Calibri"/>
          <w:color w:val="2D3748"/>
          <w:sz w:val="21"/>
        </w:rPr>
        <w:t>Rabiner, L. R. (1989). A tutorial on hidden Markov models and selected applications in speech recognition. Proceedings of the IEEE, 77(2), 257-286.</w:t>
      </w:r>
    </w:p>
    <w:p>
      <w:pPr>
        <w:spacing w:after="80" w:line="276" w:lineRule="auto"/>
      </w:pPr>
      <w:r>
        <w:rPr>
          <w:rFonts w:ascii="Calibri" w:hAnsi="Calibri"/>
          <w:color w:val="2D3748"/>
          <w:sz w:val="21"/>
        </w:rPr>
        <w:t>Huang, Z., Xu, W., and Yu, K. (2015). Bidirectional LSTM-CRF models for sequence tagging. arXiv:1508.01991.</w:t>
      </w:r>
    </w:p>
    <w:p>
      <w:pPr>
        <w:spacing w:after="80" w:line="276" w:lineRule="auto"/>
      </w:pPr>
      <w:r>
        <w:rPr>
          <w:rFonts w:ascii="Calibri" w:hAnsi="Calibri"/>
          <w:color w:val="2D3748"/>
          <w:sz w:val="21"/>
        </w:rPr>
        <w:t>Universal Dependencies English EWT treebank, release v2.18 (CC BY-SA 4.0). https://github.com/UniversalDependencies/UD_English-EWT</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before="0"/>
    </w:pPr>
    <w:rPr>
      <w:rFonts w:ascii="Calibri" w:hAnsi="Calibri"/>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