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2A7DA" w14:textId="77777777" w:rsidR="00115D45" w:rsidRDefault="00000000">
      <w:pPr>
        <w:pStyle w:val="Heading1"/>
      </w:pPr>
      <w:bookmarkStart w:id="0" w:name="Xda3371405c759e62ce733d8b43e30d3fe92b6ef"/>
      <w:r>
        <w:t>ESG Controversy Signals for Equity Crash-Risk Monitoring</w:t>
      </w:r>
    </w:p>
    <w:p w14:paraId="4C62A7DB" w14:textId="77777777" w:rsidR="00115D45" w:rsidRDefault="00000000">
      <w:pPr>
        <w:pStyle w:val="FirstParagraph"/>
      </w:pPr>
      <w:r>
        <w:rPr>
          <w:b/>
          <w:bCs/>
        </w:rPr>
        <w:t>Module:</w:t>
      </w:r>
      <w:r>
        <w:t xml:space="preserve"> FIN42110 — Financial Data Science Project </w:t>
      </w:r>
      <w:r>
        <w:rPr>
          <w:b/>
          <w:bCs/>
        </w:rPr>
        <w:t>Programme:</w:t>
      </w:r>
      <w:r>
        <w:t xml:space="preserve"> MSc Financial Data Science, University College Dublin </w:t>
      </w:r>
      <w:r>
        <w:rPr>
          <w:b/>
          <w:bCs/>
        </w:rPr>
        <w:t>Date:</w:t>
      </w:r>
      <w:r>
        <w:t xml:space="preserve"> April 2026</w:t>
      </w:r>
    </w:p>
    <w:p w14:paraId="4C62A7DC" w14:textId="77777777" w:rsidR="00115D45" w:rsidRDefault="00000000">
      <w:r>
        <w:pict w14:anchorId="4C62AC3C">
          <v:rect id="_x0000_i1025" style="width:0;height:1.5pt" o:hralign="center" o:hrstd="t" o:hr="t"/>
        </w:pict>
      </w:r>
    </w:p>
    <w:p w14:paraId="4C62A7DD" w14:textId="77777777" w:rsidR="00115D45" w:rsidRDefault="00000000">
      <w:pPr>
        <w:pStyle w:val="Heading2"/>
      </w:pPr>
      <w:bookmarkStart w:id="1" w:name="abstract"/>
      <w:r>
        <w:t>Abstract</w:t>
      </w:r>
    </w:p>
    <w:p w14:paraId="4C62A7DE" w14:textId="77777777" w:rsidR="00115D45" w:rsidRDefault="00000000">
      <w:pPr>
        <w:pStyle w:val="FirstParagraph"/>
      </w:pPr>
      <w:r>
        <w:t>This report documents an end-to-end machine learning system that monitors equity crash risk using ESG controversy signals. Motivated by Chen, Hong and Stein’s (2001) negative return skewness framework and Kim, Li and Zhang’s (2014) extension to ESG disclosure, the pipeline ingests four Bloomberg-sourced datasets — daily stock prices, benchmark prices, firm fundamentals, and monthly ESG controversy scores — for a 50-stock universe spanning January 2019 to December 2024. Twenty engineered features across five groups (crash history, trading activity, downside risk, fundamentals, and ESG controversy) feed a Logistic Regression classifier that predicts whether a stock’s return skewness will deteriorate into the top-20% risk quartile over the next 13 weeks. The full ESG model achieves a ROC-AUC of 0.598 on the held-out test set, representing a +2.9 percentage-point improvement over the non-ESG baseline. Applying the model as a weekly risk overlay to a hypothetical $1 billion fund, the strategy delivers an annualised alpha of 4.26%, generating an estimated annual economic gain of $42.6 million — a 53× return on the cost of a four-person implementation team.</w:t>
      </w:r>
    </w:p>
    <w:p w14:paraId="4C62A7DF" w14:textId="77777777" w:rsidR="00115D45" w:rsidRDefault="00000000">
      <w:r>
        <w:pict w14:anchorId="4C62AC3D">
          <v:rect id="_x0000_i1026" style="width:0;height:1.5pt" o:hralign="center" o:hrstd="t" o:hr="t"/>
        </w:pict>
      </w:r>
    </w:p>
    <w:p w14:paraId="4C62A7E0" w14:textId="77777777" w:rsidR="00115D45" w:rsidRDefault="00000000">
      <w:pPr>
        <w:pStyle w:val="Heading2"/>
      </w:pPr>
      <w:bookmarkStart w:id="2" w:name="table-of-contents"/>
      <w:bookmarkEnd w:id="1"/>
      <w:r>
        <w:t>Table of Contents</w:t>
      </w:r>
    </w:p>
    <w:p w14:paraId="4C62A7E1" w14:textId="77777777" w:rsidR="00115D45" w:rsidRDefault="00000000">
      <w:pPr>
        <w:pStyle w:val="Compact"/>
        <w:numPr>
          <w:ilvl w:val="0"/>
          <w:numId w:val="2"/>
        </w:numPr>
      </w:pPr>
      <w:hyperlink w:anchor="X0e4cc01b8c6aa90ac58582e58323bb092764a06">
        <w:r>
          <w:rPr>
            <w:rStyle w:val="Hyperlink"/>
          </w:rPr>
          <w:t>Data Summary and Visualisations</w:t>
        </w:r>
      </w:hyperlink>
    </w:p>
    <w:p w14:paraId="4C62A7E2" w14:textId="77777777" w:rsidR="00115D45" w:rsidRDefault="00000000">
      <w:pPr>
        <w:pStyle w:val="Compact"/>
        <w:numPr>
          <w:ilvl w:val="1"/>
          <w:numId w:val="3"/>
        </w:numPr>
      </w:pPr>
      <w:r>
        <w:t>1.1 Research Motivation</w:t>
      </w:r>
    </w:p>
    <w:p w14:paraId="4C62A7E3" w14:textId="77777777" w:rsidR="00115D45" w:rsidRDefault="00000000">
      <w:pPr>
        <w:pStyle w:val="Compact"/>
        <w:numPr>
          <w:ilvl w:val="1"/>
          <w:numId w:val="3"/>
        </w:numPr>
      </w:pPr>
      <w:r>
        <w:t>1.2 Data Universe and Sources</w:t>
      </w:r>
    </w:p>
    <w:p w14:paraId="4C62A7E4" w14:textId="77777777" w:rsidR="00115D45" w:rsidRDefault="00000000">
      <w:pPr>
        <w:pStyle w:val="Compact"/>
        <w:numPr>
          <w:ilvl w:val="1"/>
          <w:numId w:val="3"/>
        </w:numPr>
      </w:pPr>
      <w:r>
        <w:t>1.3 Data Cleaning and Validation</w:t>
      </w:r>
    </w:p>
    <w:p w14:paraId="4C62A7E5" w14:textId="77777777" w:rsidR="00115D45" w:rsidRDefault="00000000">
      <w:pPr>
        <w:pStyle w:val="Compact"/>
        <w:numPr>
          <w:ilvl w:val="1"/>
          <w:numId w:val="3"/>
        </w:numPr>
      </w:pPr>
      <w:r>
        <w:t>1.4 Feature Engineering</w:t>
      </w:r>
    </w:p>
    <w:p w14:paraId="4C62A7E6" w14:textId="77777777" w:rsidR="00115D45" w:rsidRDefault="00000000">
      <w:pPr>
        <w:pStyle w:val="Compact"/>
        <w:numPr>
          <w:ilvl w:val="1"/>
          <w:numId w:val="3"/>
        </w:numPr>
      </w:pPr>
      <w:r>
        <w:t>1.5 SQL Evidence Queries</w:t>
      </w:r>
    </w:p>
    <w:p w14:paraId="4C62A7E7" w14:textId="77777777" w:rsidR="00115D45" w:rsidRDefault="00000000">
      <w:pPr>
        <w:pStyle w:val="Compact"/>
        <w:numPr>
          <w:ilvl w:val="1"/>
          <w:numId w:val="3"/>
        </w:numPr>
      </w:pPr>
      <w:r>
        <w:t>1.6 Visualisations</w:t>
      </w:r>
    </w:p>
    <w:p w14:paraId="4C62A7E8" w14:textId="77777777" w:rsidR="00115D45" w:rsidRDefault="00000000">
      <w:pPr>
        <w:pStyle w:val="Compact"/>
        <w:numPr>
          <w:ilvl w:val="0"/>
          <w:numId w:val="2"/>
        </w:numPr>
      </w:pPr>
      <w:hyperlink w:anchor="X421d1624c8af712b453a3b4d3605ceedaf44a18">
        <w:r>
          <w:rPr>
            <w:rStyle w:val="Hyperlink"/>
          </w:rPr>
          <w:t>Textual Analysis</w:t>
        </w:r>
      </w:hyperlink>
    </w:p>
    <w:p w14:paraId="4C62A7E9" w14:textId="77777777" w:rsidR="00115D45" w:rsidRDefault="00000000">
      <w:pPr>
        <w:pStyle w:val="Compact"/>
        <w:numPr>
          <w:ilvl w:val="0"/>
          <w:numId w:val="2"/>
        </w:numPr>
      </w:pPr>
      <w:hyperlink w:anchor="Xb194a9933ab6743d023cf7d62da0a7705e82ae3">
        <w:r>
          <w:rPr>
            <w:rStyle w:val="Hyperlink"/>
          </w:rPr>
          <w:t>Machine Learning</w:t>
        </w:r>
      </w:hyperlink>
    </w:p>
    <w:p w14:paraId="4C62A7EA" w14:textId="77777777" w:rsidR="00115D45" w:rsidRDefault="00000000">
      <w:pPr>
        <w:pStyle w:val="Compact"/>
        <w:numPr>
          <w:ilvl w:val="1"/>
          <w:numId w:val="4"/>
        </w:numPr>
      </w:pPr>
      <w:r>
        <w:t>3.1 Target Variable</w:t>
      </w:r>
    </w:p>
    <w:p w14:paraId="4C62A7EB" w14:textId="77777777" w:rsidR="00115D45" w:rsidRDefault="00000000">
      <w:pPr>
        <w:pStyle w:val="Compact"/>
        <w:numPr>
          <w:ilvl w:val="1"/>
          <w:numId w:val="4"/>
        </w:numPr>
      </w:pPr>
      <w:r>
        <w:t>3.2 Chronological Data Splits</w:t>
      </w:r>
    </w:p>
    <w:p w14:paraId="4C62A7EC" w14:textId="77777777" w:rsidR="00115D45" w:rsidRDefault="00000000">
      <w:pPr>
        <w:pStyle w:val="Compact"/>
        <w:numPr>
          <w:ilvl w:val="1"/>
          <w:numId w:val="4"/>
        </w:numPr>
      </w:pPr>
      <w:r>
        <w:t>3.3 Modelling Pipeline Architecture</w:t>
      </w:r>
    </w:p>
    <w:p w14:paraId="4C62A7ED" w14:textId="77777777" w:rsidR="00115D45" w:rsidRDefault="00000000">
      <w:pPr>
        <w:pStyle w:val="Compact"/>
        <w:numPr>
          <w:ilvl w:val="1"/>
          <w:numId w:val="4"/>
        </w:numPr>
      </w:pPr>
      <w:r>
        <w:t>3.4 Algorithms and Hyperparameter Grids</w:t>
      </w:r>
    </w:p>
    <w:p w14:paraId="4C62A7EE" w14:textId="77777777" w:rsidR="00115D45" w:rsidRDefault="00000000">
      <w:pPr>
        <w:pStyle w:val="Compact"/>
        <w:numPr>
          <w:ilvl w:val="1"/>
          <w:numId w:val="4"/>
        </w:numPr>
      </w:pPr>
      <w:r>
        <w:t>3.5 Evaluation Metrics</w:t>
      </w:r>
    </w:p>
    <w:p w14:paraId="4C62A7EF" w14:textId="77777777" w:rsidR="00115D45" w:rsidRDefault="00000000">
      <w:pPr>
        <w:pStyle w:val="Compact"/>
        <w:numPr>
          <w:ilvl w:val="1"/>
          <w:numId w:val="4"/>
        </w:numPr>
      </w:pPr>
      <w:r>
        <w:t>3.6 Algorithm Comparison Results</w:t>
      </w:r>
    </w:p>
    <w:p w14:paraId="4C62A7F0" w14:textId="77777777" w:rsidR="00115D45" w:rsidRDefault="00000000">
      <w:pPr>
        <w:pStyle w:val="Compact"/>
        <w:numPr>
          <w:ilvl w:val="1"/>
          <w:numId w:val="4"/>
        </w:numPr>
      </w:pPr>
      <w:r>
        <w:t>3.7 ESG Feature Lift Analysis</w:t>
      </w:r>
    </w:p>
    <w:p w14:paraId="4C62A7F1" w14:textId="77777777" w:rsidR="00115D45" w:rsidRDefault="00000000">
      <w:pPr>
        <w:pStyle w:val="Compact"/>
        <w:numPr>
          <w:ilvl w:val="1"/>
          <w:numId w:val="4"/>
        </w:numPr>
      </w:pPr>
      <w:r>
        <w:lastRenderedPageBreak/>
        <w:t>3.8 Feature Importance</w:t>
      </w:r>
    </w:p>
    <w:p w14:paraId="4C62A7F2" w14:textId="77777777" w:rsidR="00115D45" w:rsidRDefault="00000000">
      <w:pPr>
        <w:pStyle w:val="Compact"/>
        <w:numPr>
          <w:ilvl w:val="1"/>
          <w:numId w:val="4"/>
        </w:numPr>
      </w:pPr>
      <w:r>
        <w:t>3.9 Individual Stock Scoring</w:t>
      </w:r>
    </w:p>
    <w:p w14:paraId="4C62A7F3" w14:textId="77777777" w:rsidR="00115D45" w:rsidRDefault="00000000">
      <w:pPr>
        <w:pStyle w:val="Compact"/>
        <w:numPr>
          <w:ilvl w:val="0"/>
          <w:numId w:val="2"/>
        </w:numPr>
      </w:pPr>
      <w:hyperlink w:anchor="Xbaf53f1c469429f9103f3c8d55d5c4ac7d480cc">
        <w:r>
          <w:rPr>
            <w:rStyle w:val="Hyperlink"/>
          </w:rPr>
          <w:t>Business Analysis</w:t>
        </w:r>
      </w:hyperlink>
    </w:p>
    <w:p w14:paraId="4C62A7F4" w14:textId="77777777" w:rsidR="00115D45" w:rsidRDefault="00000000">
      <w:pPr>
        <w:pStyle w:val="Compact"/>
        <w:numPr>
          <w:ilvl w:val="1"/>
          <w:numId w:val="5"/>
        </w:numPr>
      </w:pPr>
      <w:r>
        <w:t>4.1 Strategy Design</w:t>
      </w:r>
    </w:p>
    <w:p w14:paraId="4C62A7F5" w14:textId="77777777" w:rsidR="00115D45" w:rsidRDefault="00000000">
      <w:pPr>
        <w:pStyle w:val="Compact"/>
        <w:numPr>
          <w:ilvl w:val="1"/>
          <w:numId w:val="5"/>
        </w:numPr>
      </w:pPr>
      <w:r>
        <w:t>4.2 Performance Metrics</w:t>
      </w:r>
    </w:p>
    <w:p w14:paraId="4C62A7F6" w14:textId="77777777" w:rsidR="00115D45" w:rsidRDefault="00000000">
      <w:pPr>
        <w:pStyle w:val="Compact"/>
        <w:numPr>
          <w:ilvl w:val="1"/>
          <w:numId w:val="5"/>
        </w:numPr>
      </w:pPr>
      <w:r>
        <w:t>4.3 Results</w:t>
      </w:r>
    </w:p>
    <w:p w14:paraId="4C62A7F7" w14:textId="77777777" w:rsidR="00115D45" w:rsidRDefault="00000000">
      <w:pPr>
        <w:pStyle w:val="Compact"/>
        <w:numPr>
          <w:ilvl w:val="1"/>
          <w:numId w:val="5"/>
        </w:numPr>
      </w:pPr>
      <w:r>
        <w:t>4.4 Economic Value</w:t>
      </w:r>
    </w:p>
    <w:p w14:paraId="4C62A7F8" w14:textId="77777777" w:rsidR="00115D45" w:rsidRDefault="00000000">
      <w:pPr>
        <w:pStyle w:val="Compact"/>
        <w:numPr>
          <w:ilvl w:val="1"/>
          <w:numId w:val="5"/>
        </w:numPr>
      </w:pPr>
      <w:r>
        <w:t>4.5 Caveats</w:t>
      </w:r>
    </w:p>
    <w:p w14:paraId="4C62A7F9" w14:textId="77777777" w:rsidR="00115D45" w:rsidRDefault="00000000">
      <w:pPr>
        <w:pStyle w:val="Compact"/>
        <w:numPr>
          <w:ilvl w:val="0"/>
          <w:numId w:val="6"/>
        </w:numPr>
      </w:pPr>
      <w:hyperlink w:anchor="appendix-a-code-architecture">
        <w:r>
          <w:rPr>
            <w:rStyle w:val="Hyperlink"/>
          </w:rPr>
          <w:t>Appendix A: Code Architecture</w:t>
        </w:r>
      </w:hyperlink>
    </w:p>
    <w:p w14:paraId="4C62A7FA" w14:textId="77777777" w:rsidR="00115D45" w:rsidRDefault="00000000">
      <w:pPr>
        <w:pStyle w:val="Compact"/>
        <w:numPr>
          <w:ilvl w:val="0"/>
          <w:numId w:val="6"/>
        </w:numPr>
      </w:pPr>
      <w:hyperlink w:anchor="appendix-b-full-feature-definitions">
        <w:r>
          <w:rPr>
            <w:rStyle w:val="Hyperlink"/>
          </w:rPr>
          <w:t>Appendix B: Full Feature Definitions</w:t>
        </w:r>
      </w:hyperlink>
    </w:p>
    <w:p w14:paraId="4C62A7FB" w14:textId="77777777" w:rsidR="00115D45" w:rsidRDefault="00000000">
      <w:pPr>
        <w:pStyle w:val="Compact"/>
        <w:numPr>
          <w:ilvl w:val="0"/>
          <w:numId w:val="6"/>
        </w:numPr>
      </w:pPr>
      <w:hyperlink w:anchor="appendix-c-bloomberg-data-guide">
        <w:r>
          <w:rPr>
            <w:rStyle w:val="Hyperlink"/>
          </w:rPr>
          <w:t>Appendix C: Bloomberg Data Guide</w:t>
        </w:r>
      </w:hyperlink>
    </w:p>
    <w:p w14:paraId="4C62A7FC" w14:textId="77777777" w:rsidR="00115D45" w:rsidRDefault="00000000">
      <w:pPr>
        <w:pStyle w:val="Compact"/>
        <w:numPr>
          <w:ilvl w:val="0"/>
          <w:numId w:val="6"/>
        </w:numPr>
      </w:pPr>
      <w:hyperlink w:anchor="references">
        <w:r>
          <w:rPr>
            <w:rStyle w:val="Hyperlink"/>
          </w:rPr>
          <w:t>References</w:t>
        </w:r>
      </w:hyperlink>
    </w:p>
    <w:p w14:paraId="4C62A7FD" w14:textId="77777777" w:rsidR="00115D45" w:rsidRDefault="00000000">
      <w:r>
        <w:pict w14:anchorId="4C62AC3E">
          <v:rect id="_x0000_i1027" style="width:0;height:1.5pt" o:hralign="center" o:hrstd="t" o:hr="t"/>
        </w:pict>
      </w:r>
    </w:p>
    <w:p w14:paraId="4C62A7FE" w14:textId="77777777" w:rsidR="00115D45" w:rsidRDefault="00000000">
      <w:pPr>
        <w:pStyle w:val="Heading2"/>
      </w:pPr>
      <w:bookmarkStart w:id="3" w:name="data-summary-and-visualisations"/>
      <w:bookmarkEnd w:id="2"/>
      <w:r>
        <w:t>1. Data Summary and Visualisations</w:t>
      </w:r>
    </w:p>
    <w:p w14:paraId="4C62A7FF" w14:textId="77777777" w:rsidR="00115D45" w:rsidRDefault="00000000">
      <w:pPr>
        <w:pStyle w:val="Heading3"/>
      </w:pPr>
      <w:bookmarkStart w:id="4" w:name="research-motivation"/>
      <w:r>
        <w:t>1.1 Research Motivation</w:t>
      </w:r>
    </w:p>
    <w:p w14:paraId="4C62A800" w14:textId="77777777" w:rsidR="00115D45" w:rsidRDefault="00000000">
      <w:pPr>
        <w:pStyle w:val="FirstParagraph"/>
      </w:pPr>
      <w:r>
        <w:t>Equity crash risk — the tendency for stock prices to fall sharply rather than smoothly — has been a central concern in empirical finance since Duffee (1995) and Harvey and Siddique (2000). Chen, Hong and Stein (2001) provide the key theoretical framework: when managers hoard bad news, return skewness becomes increasingly negative until the information dam breaks and a crash occurs. They operationalise this through the Negative Conditional Skewness (NCSKEW) measure, which captures the asymmetry of the firm-specific return distribution.</w:t>
      </w:r>
    </w:p>
    <w:p w14:paraId="4C62A801" w14:textId="77777777" w:rsidR="00115D45" w:rsidRDefault="00000000">
      <w:pPr>
        <w:pStyle w:val="BodyText"/>
      </w:pPr>
      <w:r>
        <w:t>This project extends that framework using the insight of Kim, Li and Zhang (2014): firms with poor ESG controversy records hoard negative information more aggressively, producing a predictable pattern where rising controversy scores precede deteriorating return skewness. The practical application is a weekly risk monitoring system that uses controversy dynamics — not just levels — to identify stocks that are building toward a crash.</w:t>
      </w:r>
    </w:p>
    <w:p w14:paraId="4C62A802" w14:textId="77777777" w:rsidR="00115D45" w:rsidRDefault="00000000">
      <w:pPr>
        <w:pStyle w:val="BodyText"/>
      </w:pPr>
      <w:r>
        <w:t xml:space="preserve">The core research question is therefore: </w:t>
      </w:r>
      <w:r>
        <w:rPr>
          <w:b/>
          <w:bCs/>
        </w:rPr>
        <w:t>Can ESG controversy signals, combined with standard crash-risk features, reliably identify stocks in the top-20% of future crash risk one quarter ahead?</w:t>
      </w:r>
    </w:p>
    <w:p w14:paraId="4C62A803" w14:textId="77777777" w:rsidR="00115D45" w:rsidRDefault="00000000">
      <w:pPr>
        <w:pStyle w:val="Heading3"/>
      </w:pPr>
      <w:bookmarkStart w:id="5" w:name="data-universe-and-sources"/>
      <w:bookmarkEnd w:id="4"/>
      <w:r>
        <w:t>1.2 Data Universe and Sources</w:t>
      </w:r>
    </w:p>
    <w:p w14:paraId="4C62A804" w14:textId="77777777" w:rsidR="00115D45" w:rsidRDefault="00000000">
      <w:pPr>
        <w:pStyle w:val="FirstParagraph"/>
      </w:pPr>
      <w:r>
        <w:t>The pipeline ingests four raw datasets, all sourced in Bloomberg-compatible CSV format:</w:t>
      </w:r>
    </w:p>
    <w:tbl>
      <w:tblPr>
        <w:tblStyle w:val="Table"/>
        <w:tblW w:w="4999" w:type="pct"/>
        <w:tblLook w:val="0020" w:firstRow="1" w:lastRow="0" w:firstColumn="0" w:lastColumn="0" w:noHBand="0" w:noVBand="0"/>
      </w:tblPr>
      <w:tblGrid>
        <w:gridCol w:w="2187"/>
        <w:gridCol w:w="2636"/>
        <w:gridCol w:w="930"/>
        <w:gridCol w:w="1244"/>
        <w:gridCol w:w="2577"/>
      </w:tblGrid>
      <w:tr w:rsidR="00115D45" w14:paraId="4C62A80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805" w14:textId="77777777" w:rsidR="00115D45" w:rsidRDefault="00000000">
            <w:pPr>
              <w:pStyle w:val="Compact"/>
            </w:pPr>
            <w:r>
              <w:t>Dataset</w:t>
            </w:r>
          </w:p>
        </w:tc>
        <w:tc>
          <w:tcPr>
            <w:tcW w:w="0" w:type="auto"/>
          </w:tcPr>
          <w:p w14:paraId="4C62A806" w14:textId="77777777" w:rsidR="00115D45" w:rsidRDefault="00000000">
            <w:pPr>
              <w:pStyle w:val="Compact"/>
            </w:pPr>
            <w:r>
              <w:t>File</w:t>
            </w:r>
          </w:p>
        </w:tc>
        <w:tc>
          <w:tcPr>
            <w:tcW w:w="0" w:type="auto"/>
          </w:tcPr>
          <w:p w14:paraId="4C62A807" w14:textId="77777777" w:rsidR="00115D45" w:rsidRDefault="00000000">
            <w:pPr>
              <w:pStyle w:val="Compact"/>
            </w:pPr>
            <w:r>
              <w:t>Rows</w:t>
            </w:r>
          </w:p>
        </w:tc>
        <w:tc>
          <w:tcPr>
            <w:tcW w:w="0" w:type="auto"/>
          </w:tcPr>
          <w:p w14:paraId="4C62A808" w14:textId="77777777" w:rsidR="00115D45" w:rsidRDefault="00000000">
            <w:pPr>
              <w:pStyle w:val="Compact"/>
            </w:pPr>
            <w:r>
              <w:t>Tickers</w:t>
            </w:r>
          </w:p>
        </w:tc>
        <w:tc>
          <w:tcPr>
            <w:tcW w:w="0" w:type="auto"/>
          </w:tcPr>
          <w:p w14:paraId="4C62A809" w14:textId="77777777" w:rsidR="00115D45" w:rsidRDefault="00000000">
            <w:pPr>
              <w:pStyle w:val="Compact"/>
            </w:pPr>
            <w:r>
              <w:t>Date Range</w:t>
            </w:r>
          </w:p>
        </w:tc>
      </w:tr>
      <w:tr w:rsidR="00115D45" w14:paraId="4C62A810" w14:textId="77777777">
        <w:tc>
          <w:tcPr>
            <w:tcW w:w="0" w:type="auto"/>
          </w:tcPr>
          <w:p w14:paraId="4C62A80B" w14:textId="77777777" w:rsidR="00115D45" w:rsidRDefault="00000000">
            <w:pPr>
              <w:pStyle w:val="Compact"/>
            </w:pPr>
            <w:r>
              <w:t>Daily stock prices</w:t>
            </w:r>
          </w:p>
        </w:tc>
        <w:tc>
          <w:tcPr>
            <w:tcW w:w="0" w:type="auto"/>
          </w:tcPr>
          <w:p w14:paraId="4C62A80C" w14:textId="77777777" w:rsidR="00115D45" w:rsidRDefault="00000000">
            <w:pPr>
              <w:pStyle w:val="Compact"/>
            </w:pPr>
            <w:r>
              <w:rPr>
                <w:rStyle w:val="VerbatimChar"/>
              </w:rPr>
              <w:t>prices.csv</w:t>
            </w:r>
          </w:p>
        </w:tc>
        <w:tc>
          <w:tcPr>
            <w:tcW w:w="0" w:type="auto"/>
          </w:tcPr>
          <w:p w14:paraId="4C62A80D" w14:textId="77777777" w:rsidR="00115D45" w:rsidRDefault="00000000">
            <w:pPr>
              <w:pStyle w:val="Compact"/>
            </w:pPr>
            <w:r>
              <w:t>75,450</w:t>
            </w:r>
          </w:p>
        </w:tc>
        <w:tc>
          <w:tcPr>
            <w:tcW w:w="0" w:type="auto"/>
          </w:tcPr>
          <w:p w14:paraId="4C62A80E" w14:textId="77777777" w:rsidR="00115D45" w:rsidRDefault="00000000">
            <w:pPr>
              <w:pStyle w:val="Compact"/>
            </w:pPr>
            <w:r>
              <w:t>50</w:t>
            </w:r>
          </w:p>
        </w:tc>
        <w:tc>
          <w:tcPr>
            <w:tcW w:w="0" w:type="auto"/>
          </w:tcPr>
          <w:p w14:paraId="4C62A80F" w14:textId="77777777" w:rsidR="00115D45" w:rsidRDefault="00000000">
            <w:pPr>
              <w:pStyle w:val="Compact"/>
            </w:pPr>
            <w:r>
              <w:t>2019-01-02 → 2024-12-30</w:t>
            </w:r>
          </w:p>
        </w:tc>
      </w:tr>
      <w:tr w:rsidR="00115D45" w14:paraId="4C62A816" w14:textId="77777777">
        <w:tc>
          <w:tcPr>
            <w:tcW w:w="0" w:type="auto"/>
          </w:tcPr>
          <w:p w14:paraId="4C62A811" w14:textId="77777777" w:rsidR="00115D45" w:rsidRDefault="00000000">
            <w:pPr>
              <w:pStyle w:val="Compact"/>
            </w:pPr>
            <w:r>
              <w:t>Daily benchmark prices</w:t>
            </w:r>
          </w:p>
        </w:tc>
        <w:tc>
          <w:tcPr>
            <w:tcW w:w="0" w:type="auto"/>
          </w:tcPr>
          <w:p w14:paraId="4C62A812" w14:textId="77777777" w:rsidR="00115D45" w:rsidRDefault="00000000">
            <w:pPr>
              <w:pStyle w:val="Compact"/>
            </w:pPr>
            <w:r>
              <w:rPr>
                <w:rStyle w:val="VerbatimChar"/>
              </w:rPr>
              <w:t>benchmark_prices.csv</w:t>
            </w:r>
          </w:p>
        </w:tc>
        <w:tc>
          <w:tcPr>
            <w:tcW w:w="0" w:type="auto"/>
          </w:tcPr>
          <w:p w14:paraId="4C62A813" w14:textId="77777777" w:rsidR="00115D45" w:rsidRDefault="00000000">
            <w:pPr>
              <w:pStyle w:val="Compact"/>
            </w:pPr>
            <w:r>
              <w:t>1,509</w:t>
            </w:r>
          </w:p>
        </w:tc>
        <w:tc>
          <w:tcPr>
            <w:tcW w:w="0" w:type="auto"/>
          </w:tcPr>
          <w:p w14:paraId="4C62A814" w14:textId="77777777" w:rsidR="00115D45" w:rsidRDefault="00000000">
            <w:pPr>
              <w:pStyle w:val="Compact"/>
            </w:pPr>
            <w:r>
              <w:t>1 (S&amp;P 500)</w:t>
            </w:r>
          </w:p>
        </w:tc>
        <w:tc>
          <w:tcPr>
            <w:tcW w:w="0" w:type="auto"/>
          </w:tcPr>
          <w:p w14:paraId="4C62A815" w14:textId="77777777" w:rsidR="00115D45" w:rsidRDefault="00000000">
            <w:pPr>
              <w:pStyle w:val="Compact"/>
            </w:pPr>
            <w:r>
              <w:t>2019-01-02 → 2024-12-30</w:t>
            </w:r>
          </w:p>
        </w:tc>
      </w:tr>
      <w:tr w:rsidR="00115D45" w14:paraId="4C62A81C" w14:textId="77777777">
        <w:tc>
          <w:tcPr>
            <w:tcW w:w="0" w:type="auto"/>
          </w:tcPr>
          <w:p w14:paraId="4C62A817" w14:textId="77777777" w:rsidR="00115D45" w:rsidRDefault="00000000">
            <w:pPr>
              <w:pStyle w:val="Compact"/>
            </w:pPr>
            <w:r>
              <w:lastRenderedPageBreak/>
              <w:t>Firm fundamentals</w:t>
            </w:r>
          </w:p>
        </w:tc>
        <w:tc>
          <w:tcPr>
            <w:tcW w:w="0" w:type="auto"/>
          </w:tcPr>
          <w:p w14:paraId="4C62A818" w14:textId="77777777" w:rsidR="00115D45" w:rsidRDefault="00000000">
            <w:pPr>
              <w:pStyle w:val="Compact"/>
            </w:pPr>
            <w:r>
              <w:rPr>
                <w:rStyle w:val="VerbatimChar"/>
              </w:rPr>
              <w:t>fundamentals.csv</w:t>
            </w:r>
          </w:p>
        </w:tc>
        <w:tc>
          <w:tcPr>
            <w:tcW w:w="0" w:type="auto"/>
          </w:tcPr>
          <w:p w14:paraId="4C62A819" w14:textId="77777777" w:rsidR="00115D45" w:rsidRDefault="00000000">
            <w:pPr>
              <w:pStyle w:val="Compact"/>
            </w:pPr>
            <w:r>
              <w:t>50</w:t>
            </w:r>
          </w:p>
        </w:tc>
        <w:tc>
          <w:tcPr>
            <w:tcW w:w="0" w:type="auto"/>
          </w:tcPr>
          <w:p w14:paraId="4C62A81A" w14:textId="77777777" w:rsidR="00115D45" w:rsidRDefault="00000000">
            <w:pPr>
              <w:pStyle w:val="Compact"/>
            </w:pPr>
            <w:r>
              <w:t>50</w:t>
            </w:r>
          </w:p>
        </w:tc>
        <w:tc>
          <w:tcPr>
            <w:tcW w:w="0" w:type="auto"/>
          </w:tcPr>
          <w:p w14:paraId="4C62A81B" w14:textId="77777777" w:rsidR="00115D45" w:rsidRDefault="00000000">
            <w:pPr>
              <w:pStyle w:val="Compact"/>
            </w:pPr>
            <w:r>
              <w:t>Annual/quarterly snapshot</w:t>
            </w:r>
          </w:p>
        </w:tc>
      </w:tr>
      <w:tr w:rsidR="00115D45" w14:paraId="4C62A822" w14:textId="77777777">
        <w:tc>
          <w:tcPr>
            <w:tcW w:w="0" w:type="auto"/>
          </w:tcPr>
          <w:p w14:paraId="4C62A81D" w14:textId="77777777" w:rsidR="00115D45" w:rsidRDefault="00000000">
            <w:pPr>
              <w:pStyle w:val="Compact"/>
            </w:pPr>
            <w:r>
              <w:t>ESG controversy scores</w:t>
            </w:r>
          </w:p>
        </w:tc>
        <w:tc>
          <w:tcPr>
            <w:tcW w:w="0" w:type="auto"/>
          </w:tcPr>
          <w:p w14:paraId="4C62A81E" w14:textId="77777777" w:rsidR="00115D45" w:rsidRDefault="00000000">
            <w:pPr>
              <w:pStyle w:val="Compact"/>
            </w:pPr>
            <w:r>
              <w:rPr>
                <w:rStyle w:val="VerbatimChar"/>
              </w:rPr>
              <w:t>controversies.csv</w:t>
            </w:r>
          </w:p>
        </w:tc>
        <w:tc>
          <w:tcPr>
            <w:tcW w:w="0" w:type="auto"/>
          </w:tcPr>
          <w:p w14:paraId="4C62A81F" w14:textId="77777777" w:rsidR="00115D45" w:rsidRDefault="00000000">
            <w:pPr>
              <w:pStyle w:val="Compact"/>
            </w:pPr>
            <w:r>
              <w:t>3,600</w:t>
            </w:r>
          </w:p>
        </w:tc>
        <w:tc>
          <w:tcPr>
            <w:tcW w:w="0" w:type="auto"/>
          </w:tcPr>
          <w:p w14:paraId="4C62A820" w14:textId="77777777" w:rsidR="00115D45" w:rsidRDefault="00000000">
            <w:pPr>
              <w:pStyle w:val="Compact"/>
            </w:pPr>
            <w:r>
              <w:t>50</w:t>
            </w:r>
          </w:p>
        </w:tc>
        <w:tc>
          <w:tcPr>
            <w:tcW w:w="0" w:type="auto"/>
          </w:tcPr>
          <w:p w14:paraId="4C62A821" w14:textId="77777777" w:rsidR="00115D45" w:rsidRDefault="00000000">
            <w:pPr>
              <w:pStyle w:val="Compact"/>
            </w:pPr>
            <w:r>
              <w:t>2019-01-31 → 2024-12-31</w:t>
            </w:r>
          </w:p>
        </w:tc>
      </w:tr>
    </w:tbl>
    <w:p w14:paraId="4C62A823" w14:textId="77777777" w:rsidR="00115D45" w:rsidRDefault="00000000">
      <w:pPr>
        <w:pStyle w:val="BodyText"/>
      </w:pPr>
      <w:r>
        <w:t>The 50-stock universe covers ten GICS sectors (Energy, Financial Services, Industrials, Communication Services, Consumer Cyclical, Technology, Basic Materials, Healthcare, Consumer Defensive, and Utilities), providing broad cross-sectional coverage for both modelling and cross-sectional target labelling. The 1,509 daily benchmark observations correspond to exactly 1,509 trading days of the S&amp;P 500 Equal Weight index over the six-year window.</w:t>
      </w:r>
    </w:p>
    <w:p w14:paraId="4C62A824" w14:textId="77777777" w:rsidR="00115D45" w:rsidRDefault="00000000">
      <w:pPr>
        <w:pStyle w:val="BodyText"/>
      </w:pPr>
      <w:r>
        <w:rPr>
          <w:b/>
          <w:bCs/>
        </w:rPr>
        <w:t>Why six years?</w:t>
      </w:r>
      <w:r>
        <w:t xml:space="preserve"> The 13-week crash target requires a minimum of 13 future returns to score, and the 26-week rolling windows for NCSKEW and downside beta require a further 26 weeks of history. A six-year window produces approximately 315 weekly observations per stock, which is sufficient for stable rolling statistics while keeping the dataset computationally tractable.</w:t>
      </w:r>
    </w:p>
    <w:p w14:paraId="4C62A825" w14:textId="77777777" w:rsidR="00115D45" w:rsidRDefault="00000000">
      <w:pPr>
        <w:pStyle w:val="Heading3"/>
      </w:pPr>
      <w:bookmarkStart w:id="6" w:name="data-cleaning-and-validation"/>
      <w:bookmarkEnd w:id="5"/>
      <w:r>
        <w:t>1.3 Data Cleaning and Validation</w:t>
      </w:r>
    </w:p>
    <w:p w14:paraId="4C62A826" w14:textId="77777777" w:rsidR="00115D45" w:rsidRDefault="00000000">
      <w:pPr>
        <w:pStyle w:val="FirstParagraph"/>
      </w:pPr>
      <w:r>
        <w:t>All raw files pass through a validated loader (</w:t>
      </w:r>
      <w:r>
        <w:rPr>
          <w:rStyle w:val="VerbatimChar"/>
        </w:rPr>
        <w:t>crashrisk/data/loaders.py</w:t>
      </w:r>
      <w:r>
        <w:t>) that checks required column names, parses dates and numeric types, and flags anomalies. The cleaning log from the current run is reproduced below:</w:t>
      </w:r>
    </w:p>
    <w:tbl>
      <w:tblPr>
        <w:tblStyle w:val="Table"/>
        <w:tblW w:w="5000" w:type="pct"/>
        <w:tblLook w:val="0020" w:firstRow="1" w:lastRow="0" w:firstColumn="0" w:lastColumn="0" w:noHBand="0" w:noVBand="0"/>
      </w:tblPr>
      <w:tblGrid>
        <w:gridCol w:w="2222"/>
        <w:gridCol w:w="2342"/>
        <w:gridCol w:w="865"/>
        <w:gridCol w:w="4147"/>
      </w:tblGrid>
      <w:tr w:rsidR="00115D45" w14:paraId="4C62A82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827" w14:textId="77777777" w:rsidR="00115D45" w:rsidRDefault="00000000">
            <w:pPr>
              <w:pStyle w:val="Compact"/>
            </w:pPr>
            <w:r>
              <w:t>Dataset</w:t>
            </w:r>
          </w:p>
        </w:tc>
        <w:tc>
          <w:tcPr>
            <w:tcW w:w="0" w:type="auto"/>
          </w:tcPr>
          <w:p w14:paraId="4C62A828" w14:textId="77777777" w:rsidR="00115D45" w:rsidRDefault="00000000">
            <w:pPr>
              <w:pStyle w:val="Compact"/>
            </w:pPr>
            <w:r>
              <w:t>Check</w:t>
            </w:r>
          </w:p>
        </w:tc>
        <w:tc>
          <w:tcPr>
            <w:tcW w:w="0" w:type="auto"/>
          </w:tcPr>
          <w:p w14:paraId="4C62A829" w14:textId="77777777" w:rsidR="00115D45" w:rsidRDefault="00000000">
            <w:pPr>
              <w:pStyle w:val="Compact"/>
            </w:pPr>
            <w:r>
              <w:t>Result</w:t>
            </w:r>
          </w:p>
        </w:tc>
        <w:tc>
          <w:tcPr>
            <w:tcW w:w="0" w:type="auto"/>
          </w:tcPr>
          <w:p w14:paraId="4C62A82A" w14:textId="77777777" w:rsidR="00115D45" w:rsidRDefault="00000000">
            <w:pPr>
              <w:pStyle w:val="Compact"/>
            </w:pPr>
            <w:r>
              <w:t>Detail</w:t>
            </w:r>
          </w:p>
        </w:tc>
      </w:tr>
      <w:tr w:rsidR="00115D45" w14:paraId="4C62A830" w14:textId="77777777">
        <w:tc>
          <w:tcPr>
            <w:tcW w:w="0" w:type="auto"/>
          </w:tcPr>
          <w:p w14:paraId="4C62A82C" w14:textId="77777777" w:rsidR="00115D45" w:rsidRDefault="00000000">
            <w:pPr>
              <w:pStyle w:val="Compact"/>
            </w:pPr>
            <w:r>
              <w:t>prices</w:t>
            </w:r>
          </w:p>
        </w:tc>
        <w:tc>
          <w:tcPr>
            <w:tcW w:w="0" w:type="auto"/>
          </w:tcPr>
          <w:p w14:paraId="4C62A82D" w14:textId="77777777" w:rsidR="00115D45" w:rsidRDefault="00000000">
            <w:pPr>
              <w:pStyle w:val="Compact"/>
            </w:pPr>
            <w:r>
              <w:t>Missing required values</w:t>
            </w:r>
          </w:p>
        </w:tc>
        <w:tc>
          <w:tcPr>
            <w:tcW w:w="0" w:type="auto"/>
          </w:tcPr>
          <w:p w14:paraId="4C62A82E" w14:textId="77777777" w:rsidR="00115D45" w:rsidRDefault="00000000">
            <w:pPr>
              <w:pStyle w:val="Compact"/>
            </w:pPr>
            <w:r>
              <w:t>0</w:t>
            </w:r>
          </w:p>
        </w:tc>
        <w:tc>
          <w:tcPr>
            <w:tcW w:w="0" w:type="auto"/>
          </w:tcPr>
          <w:p w14:paraId="4C62A82F" w14:textId="77777777" w:rsidR="00115D45" w:rsidRDefault="00000000">
            <w:pPr>
              <w:pStyle w:val="Compact"/>
            </w:pPr>
            <w:r>
              <w:t>No blanks in ticker, date, adj_close, volume</w:t>
            </w:r>
          </w:p>
        </w:tc>
      </w:tr>
      <w:tr w:rsidR="00115D45" w14:paraId="4C62A835" w14:textId="77777777">
        <w:tc>
          <w:tcPr>
            <w:tcW w:w="0" w:type="auto"/>
          </w:tcPr>
          <w:p w14:paraId="4C62A831" w14:textId="77777777" w:rsidR="00115D45" w:rsidRDefault="00000000">
            <w:pPr>
              <w:pStyle w:val="Compact"/>
            </w:pPr>
            <w:r>
              <w:t>prices</w:t>
            </w:r>
          </w:p>
        </w:tc>
        <w:tc>
          <w:tcPr>
            <w:tcW w:w="0" w:type="auto"/>
          </w:tcPr>
          <w:p w14:paraId="4C62A832" w14:textId="77777777" w:rsidR="00115D45" w:rsidRDefault="00000000">
            <w:pPr>
              <w:pStyle w:val="Compact"/>
            </w:pPr>
            <w:r>
              <w:t>Duplicate rows</w:t>
            </w:r>
          </w:p>
        </w:tc>
        <w:tc>
          <w:tcPr>
            <w:tcW w:w="0" w:type="auto"/>
          </w:tcPr>
          <w:p w14:paraId="4C62A833" w14:textId="77777777" w:rsidR="00115D45" w:rsidRDefault="00000000">
            <w:pPr>
              <w:pStyle w:val="Compact"/>
            </w:pPr>
            <w:r>
              <w:t>0</w:t>
            </w:r>
          </w:p>
        </w:tc>
        <w:tc>
          <w:tcPr>
            <w:tcW w:w="0" w:type="auto"/>
          </w:tcPr>
          <w:p w14:paraId="4C62A834" w14:textId="77777777" w:rsidR="00115D45" w:rsidRDefault="00000000">
            <w:pPr>
              <w:pStyle w:val="Compact"/>
            </w:pPr>
            <w:r>
              <w:t>No fully duplicated ticker-date pairs</w:t>
            </w:r>
          </w:p>
        </w:tc>
      </w:tr>
      <w:tr w:rsidR="00115D45" w14:paraId="4C62A83A" w14:textId="77777777">
        <w:tc>
          <w:tcPr>
            <w:tcW w:w="0" w:type="auto"/>
          </w:tcPr>
          <w:p w14:paraId="4C62A836" w14:textId="77777777" w:rsidR="00115D45" w:rsidRDefault="00000000">
            <w:pPr>
              <w:pStyle w:val="Compact"/>
            </w:pPr>
            <w:r>
              <w:t>prices</w:t>
            </w:r>
          </w:p>
        </w:tc>
        <w:tc>
          <w:tcPr>
            <w:tcW w:w="0" w:type="auto"/>
          </w:tcPr>
          <w:p w14:paraId="4C62A837" w14:textId="77777777" w:rsidR="00115D45" w:rsidRDefault="00000000">
            <w:pPr>
              <w:pStyle w:val="Compact"/>
            </w:pPr>
            <w:r>
              <w:t>Zero/negative adj_close</w:t>
            </w:r>
          </w:p>
        </w:tc>
        <w:tc>
          <w:tcPr>
            <w:tcW w:w="0" w:type="auto"/>
          </w:tcPr>
          <w:p w14:paraId="4C62A838" w14:textId="77777777" w:rsidR="00115D45" w:rsidRDefault="00000000">
            <w:pPr>
              <w:pStyle w:val="Compact"/>
            </w:pPr>
            <w:r>
              <w:t>0</w:t>
            </w:r>
          </w:p>
        </w:tc>
        <w:tc>
          <w:tcPr>
            <w:tcW w:w="0" w:type="auto"/>
          </w:tcPr>
          <w:p w14:paraId="4C62A839" w14:textId="77777777" w:rsidR="00115D45" w:rsidRDefault="00000000">
            <w:pPr>
              <w:pStyle w:val="Compact"/>
            </w:pPr>
            <w:r>
              <w:t>All prices strictly positive</w:t>
            </w:r>
          </w:p>
        </w:tc>
      </w:tr>
      <w:tr w:rsidR="00115D45" w14:paraId="4C62A83F" w14:textId="77777777">
        <w:tc>
          <w:tcPr>
            <w:tcW w:w="0" w:type="auto"/>
          </w:tcPr>
          <w:p w14:paraId="4C62A83B" w14:textId="77777777" w:rsidR="00115D45" w:rsidRDefault="00000000">
            <w:pPr>
              <w:pStyle w:val="Compact"/>
            </w:pPr>
            <w:r>
              <w:t>benchmark_prices</w:t>
            </w:r>
          </w:p>
        </w:tc>
        <w:tc>
          <w:tcPr>
            <w:tcW w:w="0" w:type="auto"/>
          </w:tcPr>
          <w:p w14:paraId="4C62A83C" w14:textId="77777777" w:rsidR="00115D45" w:rsidRDefault="00000000">
            <w:pPr>
              <w:pStyle w:val="Compact"/>
            </w:pPr>
            <w:r>
              <w:t>Missing required values</w:t>
            </w:r>
          </w:p>
        </w:tc>
        <w:tc>
          <w:tcPr>
            <w:tcW w:w="0" w:type="auto"/>
          </w:tcPr>
          <w:p w14:paraId="4C62A83D" w14:textId="77777777" w:rsidR="00115D45" w:rsidRDefault="00000000">
            <w:pPr>
              <w:pStyle w:val="Compact"/>
            </w:pPr>
            <w:r>
              <w:t>0</w:t>
            </w:r>
          </w:p>
        </w:tc>
        <w:tc>
          <w:tcPr>
            <w:tcW w:w="0" w:type="auto"/>
          </w:tcPr>
          <w:p w14:paraId="4C62A83E" w14:textId="77777777" w:rsidR="00115D45" w:rsidRDefault="00000000">
            <w:pPr>
              <w:pStyle w:val="Compact"/>
            </w:pPr>
            <w:r>
              <w:t>Clean</w:t>
            </w:r>
          </w:p>
        </w:tc>
      </w:tr>
      <w:tr w:rsidR="00115D45" w14:paraId="4C62A844" w14:textId="77777777">
        <w:tc>
          <w:tcPr>
            <w:tcW w:w="0" w:type="auto"/>
          </w:tcPr>
          <w:p w14:paraId="4C62A840" w14:textId="77777777" w:rsidR="00115D45" w:rsidRDefault="00000000">
            <w:pPr>
              <w:pStyle w:val="Compact"/>
            </w:pPr>
            <w:r>
              <w:t>benchmark_prices</w:t>
            </w:r>
          </w:p>
        </w:tc>
        <w:tc>
          <w:tcPr>
            <w:tcW w:w="0" w:type="auto"/>
          </w:tcPr>
          <w:p w14:paraId="4C62A841" w14:textId="77777777" w:rsidR="00115D45" w:rsidRDefault="00000000">
            <w:pPr>
              <w:pStyle w:val="Compact"/>
            </w:pPr>
            <w:r>
              <w:t>Duplicate rows</w:t>
            </w:r>
          </w:p>
        </w:tc>
        <w:tc>
          <w:tcPr>
            <w:tcW w:w="0" w:type="auto"/>
          </w:tcPr>
          <w:p w14:paraId="4C62A842" w14:textId="77777777" w:rsidR="00115D45" w:rsidRDefault="00000000">
            <w:pPr>
              <w:pStyle w:val="Compact"/>
            </w:pPr>
            <w:r>
              <w:t>0</w:t>
            </w:r>
          </w:p>
        </w:tc>
        <w:tc>
          <w:tcPr>
            <w:tcW w:w="0" w:type="auto"/>
          </w:tcPr>
          <w:p w14:paraId="4C62A843" w14:textId="77777777" w:rsidR="00115D45" w:rsidRDefault="00000000">
            <w:pPr>
              <w:pStyle w:val="Compact"/>
            </w:pPr>
            <w:r>
              <w:t>Clean</w:t>
            </w:r>
          </w:p>
        </w:tc>
      </w:tr>
      <w:tr w:rsidR="00115D45" w14:paraId="4C62A849" w14:textId="77777777">
        <w:tc>
          <w:tcPr>
            <w:tcW w:w="0" w:type="auto"/>
          </w:tcPr>
          <w:p w14:paraId="4C62A845" w14:textId="77777777" w:rsidR="00115D45" w:rsidRDefault="00000000">
            <w:pPr>
              <w:pStyle w:val="Compact"/>
            </w:pPr>
            <w:r>
              <w:t>fundamentals</w:t>
            </w:r>
          </w:p>
        </w:tc>
        <w:tc>
          <w:tcPr>
            <w:tcW w:w="0" w:type="auto"/>
          </w:tcPr>
          <w:p w14:paraId="4C62A846" w14:textId="77777777" w:rsidR="00115D45" w:rsidRDefault="00000000">
            <w:pPr>
              <w:pStyle w:val="Compact"/>
            </w:pPr>
            <w:r>
              <w:t>Missing required values</w:t>
            </w:r>
          </w:p>
        </w:tc>
        <w:tc>
          <w:tcPr>
            <w:tcW w:w="0" w:type="auto"/>
          </w:tcPr>
          <w:p w14:paraId="4C62A847" w14:textId="77777777" w:rsidR="00115D45" w:rsidRDefault="00000000">
            <w:pPr>
              <w:pStyle w:val="Compact"/>
            </w:pPr>
            <w:r>
              <w:t>7</w:t>
            </w:r>
          </w:p>
        </w:tc>
        <w:tc>
          <w:tcPr>
            <w:tcW w:w="0" w:type="auto"/>
          </w:tcPr>
          <w:p w14:paraId="4C62A848" w14:textId="77777777" w:rsidR="00115D45" w:rsidRDefault="00000000">
            <w:pPr>
              <w:pStyle w:val="Compact"/>
            </w:pPr>
            <w:r>
              <w:t>Some optional ratio fields partially absent</w:t>
            </w:r>
          </w:p>
        </w:tc>
      </w:tr>
      <w:tr w:rsidR="00115D45" w14:paraId="4C62A84E" w14:textId="77777777">
        <w:tc>
          <w:tcPr>
            <w:tcW w:w="0" w:type="auto"/>
          </w:tcPr>
          <w:p w14:paraId="4C62A84A" w14:textId="77777777" w:rsidR="00115D45" w:rsidRDefault="00000000">
            <w:pPr>
              <w:pStyle w:val="Compact"/>
            </w:pPr>
            <w:r>
              <w:t>fundamentals</w:t>
            </w:r>
          </w:p>
        </w:tc>
        <w:tc>
          <w:tcPr>
            <w:tcW w:w="0" w:type="auto"/>
          </w:tcPr>
          <w:p w14:paraId="4C62A84B" w14:textId="77777777" w:rsidR="00115D45" w:rsidRDefault="00000000">
            <w:pPr>
              <w:pStyle w:val="Compact"/>
            </w:pPr>
            <w:r>
              <w:t>Duplicate rows</w:t>
            </w:r>
          </w:p>
        </w:tc>
        <w:tc>
          <w:tcPr>
            <w:tcW w:w="0" w:type="auto"/>
          </w:tcPr>
          <w:p w14:paraId="4C62A84C" w14:textId="77777777" w:rsidR="00115D45" w:rsidRDefault="00000000">
            <w:pPr>
              <w:pStyle w:val="Compact"/>
            </w:pPr>
            <w:r>
              <w:t>0</w:t>
            </w:r>
          </w:p>
        </w:tc>
        <w:tc>
          <w:tcPr>
            <w:tcW w:w="0" w:type="auto"/>
          </w:tcPr>
          <w:p w14:paraId="4C62A84D" w14:textId="77777777" w:rsidR="00115D45" w:rsidRDefault="00000000">
            <w:pPr>
              <w:pStyle w:val="Compact"/>
            </w:pPr>
            <w:r>
              <w:t>Clean</w:t>
            </w:r>
          </w:p>
        </w:tc>
      </w:tr>
      <w:tr w:rsidR="00115D45" w14:paraId="4C62A853" w14:textId="77777777">
        <w:tc>
          <w:tcPr>
            <w:tcW w:w="0" w:type="auto"/>
          </w:tcPr>
          <w:p w14:paraId="4C62A84F" w14:textId="77777777" w:rsidR="00115D45" w:rsidRDefault="00000000">
            <w:pPr>
              <w:pStyle w:val="Compact"/>
            </w:pPr>
            <w:r>
              <w:t>controversies</w:t>
            </w:r>
          </w:p>
        </w:tc>
        <w:tc>
          <w:tcPr>
            <w:tcW w:w="0" w:type="auto"/>
          </w:tcPr>
          <w:p w14:paraId="4C62A850" w14:textId="77777777" w:rsidR="00115D45" w:rsidRDefault="00000000">
            <w:pPr>
              <w:pStyle w:val="Compact"/>
            </w:pPr>
            <w:r>
              <w:t>Missing required values</w:t>
            </w:r>
          </w:p>
        </w:tc>
        <w:tc>
          <w:tcPr>
            <w:tcW w:w="0" w:type="auto"/>
          </w:tcPr>
          <w:p w14:paraId="4C62A851" w14:textId="77777777" w:rsidR="00115D45" w:rsidRDefault="00000000">
            <w:pPr>
              <w:pStyle w:val="Compact"/>
            </w:pPr>
            <w:r>
              <w:t>0</w:t>
            </w:r>
          </w:p>
        </w:tc>
        <w:tc>
          <w:tcPr>
            <w:tcW w:w="0" w:type="auto"/>
          </w:tcPr>
          <w:p w14:paraId="4C62A852" w14:textId="77777777" w:rsidR="00115D45" w:rsidRDefault="00000000">
            <w:pPr>
              <w:pStyle w:val="Compact"/>
            </w:pPr>
            <w:r>
              <w:t>Clean</w:t>
            </w:r>
          </w:p>
        </w:tc>
      </w:tr>
      <w:tr w:rsidR="00115D45" w14:paraId="4C62A858" w14:textId="77777777">
        <w:tc>
          <w:tcPr>
            <w:tcW w:w="0" w:type="auto"/>
          </w:tcPr>
          <w:p w14:paraId="4C62A854" w14:textId="77777777" w:rsidR="00115D45" w:rsidRDefault="00000000">
            <w:pPr>
              <w:pStyle w:val="Compact"/>
            </w:pPr>
            <w:r>
              <w:t>controversies</w:t>
            </w:r>
          </w:p>
        </w:tc>
        <w:tc>
          <w:tcPr>
            <w:tcW w:w="0" w:type="auto"/>
          </w:tcPr>
          <w:p w14:paraId="4C62A855" w14:textId="77777777" w:rsidR="00115D45" w:rsidRDefault="00000000">
            <w:pPr>
              <w:pStyle w:val="Compact"/>
            </w:pPr>
            <w:r>
              <w:t>Duplicate rows</w:t>
            </w:r>
          </w:p>
        </w:tc>
        <w:tc>
          <w:tcPr>
            <w:tcW w:w="0" w:type="auto"/>
          </w:tcPr>
          <w:p w14:paraId="4C62A856" w14:textId="77777777" w:rsidR="00115D45" w:rsidRDefault="00000000">
            <w:pPr>
              <w:pStyle w:val="Compact"/>
            </w:pPr>
            <w:r>
              <w:t>0</w:t>
            </w:r>
          </w:p>
        </w:tc>
        <w:tc>
          <w:tcPr>
            <w:tcW w:w="0" w:type="auto"/>
          </w:tcPr>
          <w:p w14:paraId="4C62A857" w14:textId="77777777" w:rsidR="00115D45" w:rsidRDefault="00000000">
            <w:pPr>
              <w:pStyle w:val="Compact"/>
            </w:pPr>
            <w:r>
              <w:t>Clean</w:t>
            </w:r>
          </w:p>
        </w:tc>
      </w:tr>
      <w:tr w:rsidR="00115D45" w14:paraId="4C62A85D" w14:textId="77777777">
        <w:tc>
          <w:tcPr>
            <w:tcW w:w="0" w:type="auto"/>
          </w:tcPr>
          <w:p w14:paraId="4C62A859" w14:textId="77777777" w:rsidR="00115D45" w:rsidRDefault="00000000">
            <w:pPr>
              <w:pStyle w:val="Compact"/>
            </w:pPr>
            <w:r>
              <w:t>Feature engineering</w:t>
            </w:r>
          </w:p>
        </w:tc>
        <w:tc>
          <w:tcPr>
            <w:tcW w:w="0" w:type="auto"/>
          </w:tcPr>
          <w:p w14:paraId="4C62A85A" w14:textId="77777777" w:rsidR="00115D45" w:rsidRDefault="00000000">
            <w:pPr>
              <w:pStyle w:val="Compact"/>
            </w:pPr>
            <w:r>
              <w:t>Date alignment</w:t>
            </w:r>
          </w:p>
        </w:tc>
        <w:tc>
          <w:tcPr>
            <w:tcW w:w="0" w:type="auto"/>
          </w:tcPr>
          <w:p w14:paraId="4C62A85B" w14:textId="77777777" w:rsidR="00115D45" w:rsidRDefault="00000000">
            <w:pPr>
              <w:pStyle w:val="Compact"/>
            </w:pPr>
            <w:r>
              <w:t>—</w:t>
            </w:r>
          </w:p>
        </w:tc>
        <w:tc>
          <w:tcPr>
            <w:tcW w:w="0" w:type="auto"/>
          </w:tcPr>
          <w:p w14:paraId="4C62A85C" w14:textId="77777777" w:rsidR="00115D45" w:rsidRDefault="00000000">
            <w:pPr>
              <w:pStyle w:val="Compact"/>
            </w:pPr>
            <w:r>
              <w:t>Daily inputs resampled to Friday week-end (W-FRI)</w:t>
            </w:r>
          </w:p>
        </w:tc>
      </w:tr>
      <w:tr w:rsidR="00115D45" w14:paraId="4C62A862" w14:textId="77777777">
        <w:tc>
          <w:tcPr>
            <w:tcW w:w="0" w:type="auto"/>
          </w:tcPr>
          <w:p w14:paraId="4C62A85E" w14:textId="77777777" w:rsidR="00115D45" w:rsidRDefault="00000000">
            <w:pPr>
              <w:pStyle w:val="Compact"/>
            </w:pPr>
            <w:r>
              <w:t>Target creation</w:t>
            </w:r>
          </w:p>
        </w:tc>
        <w:tc>
          <w:tcPr>
            <w:tcW w:w="0" w:type="auto"/>
          </w:tcPr>
          <w:p w14:paraId="4C62A85F" w14:textId="77777777" w:rsidR="00115D45" w:rsidRDefault="00000000">
            <w:pPr>
              <w:pStyle w:val="Compact"/>
            </w:pPr>
            <w:r>
              <w:t>Future window</w:t>
            </w:r>
          </w:p>
        </w:tc>
        <w:tc>
          <w:tcPr>
            <w:tcW w:w="0" w:type="auto"/>
          </w:tcPr>
          <w:p w14:paraId="4C62A860" w14:textId="77777777" w:rsidR="00115D45" w:rsidRDefault="00000000">
            <w:pPr>
              <w:pStyle w:val="Compact"/>
            </w:pPr>
            <w:r>
              <w:t>—</w:t>
            </w:r>
          </w:p>
        </w:tc>
        <w:tc>
          <w:tcPr>
            <w:tcW w:w="0" w:type="auto"/>
          </w:tcPr>
          <w:p w14:paraId="4C62A861" w14:textId="77777777" w:rsidR="00115D45" w:rsidRDefault="00000000">
            <w:pPr>
              <w:pStyle w:val="Compact"/>
            </w:pPr>
            <w:r>
              <w:t>Labels use t+1 through t+13 only</w:t>
            </w:r>
          </w:p>
        </w:tc>
      </w:tr>
    </w:tbl>
    <w:p w14:paraId="4C62A863" w14:textId="77777777" w:rsidR="00115D45" w:rsidRDefault="00000000">
      <w:pPr>
        <w:pStyle w:val="BodyText"/>
      </w:pPr>
      <w:r>
        <w:lastRenderedPageBreak/>
        <w:t xml:space="preserve">The seven missing fundamental values are in non-critical ratio fields (e.g., market-to-book for a handful of tickers at inception). The </w:t>
      </w:r>
      <w:r>
        <w:rPr>
          <w:rStyle w:val="VerbatimChar"/>
        </w:rPr>
        <w:t>SimpleImputer(strategy="median")</w:t>
      </w:r>
      <w:r>
        <w:t xml:space="preserve"> step in the modelling pipeline handles these at training time so no rows are dropped.</w:t>
      </w:r>
    </w:p>
    <w:p w14:paraId="4C62A864" w14:textId="77777777" w:rsidR="00115D45" w:rsidRDefault="00000000">
      <w:pPr>
        <w:pStyle w:val="BodyText"/>
      </w:pPr>
      <w:r>
        <w:rPr>
          <w:b/>
          <w:bCs/>
        </w:rPr>
        <w:t>The 45-day Fundamentals Lag.</w:t>
      </w:r>
      <w:r>
        <w:t xml:space="preserve"> A critical design decision is the </w:t>
      </w:r>
      <w:r>
        <w:rPr>
          <w:rStyle w:val="VerbatimChar"/>
        </w:rPr>
        <w:t>fundamentals_lag_days = 45</w:t>
      </w:r>
      <w:r>
        <w:t xml:space="preserve"> setting in </w:t>
      </w:r>
      <w:r>
        <w:rPr>
          <w:rStyle w:val="VerbatimChar"/>
        </w:rPr>
        <w:t>CrashRiskConfig</w:t>
      </w:r>
      <w:r>
        <w:t xml:space="preserve">. Quarterly earnings reports are typically filed with the SEC within 40–45 days of the period end. To prevent look-ahead bias, fundamental values (market cap, market-to-book ratio, leverage, and ROA) are made available in the feature panel only 45 days after their period-end date. This is implemented via a </w:t>
      </w:r>
      <w:r>
        <w:rPr>
          <w:rStyle w:val="VerbatimChar"/>
        </w:rPr>
        <w:t>merge_asof</w:t>
      </w:r>
      <w:r>
        <w:t xml:space="preserve"> backward join in </w:t>
      </w:r>
      <w:r>
        <w:rPr>
          <w:rStyle w:val="VerbatimChar"/>
        </w:rPr>
        <w:t>features/pipeline.py</w:t>
      </w:r>
      <w:r>
        <w:t xml:space="preserve">, which attaches the most recently </w:t>
      </w:r>
      <w:r>
        <w:rPr>
          <w:i/>
          <w:iCs/>
        </w:rPr>
        <w:t>available</w:t>
      </w:r>
      <w:r>
        <w:t xml:space="preserve"> fundamental values to each weekly observation rather than the most recently </w:t>
      </w:r>
      <w:r>
        <w:rPr>
          <w:i/>
          <w:iCs/>
        </w:rPr>
        <w:t>published</w:t>
      </w:r>
      <w:r>
        <w:t xml:space="preserve"> values.</w:t>
      </w:r>
    </w:p>
    <w:p w14:paraId="4C62A865" w14:textId="77777777" w:rsidR="00115D45" w:rsidRDefault="00000000">
      <w:pPr>
        <w:pStyle w:val="BodyText"/>
      </w:pPr>
      <w:r>
        <w:rPr>
          <w:b/>
          <w:bCs/>
        </w:rPr>
        <w:t>Weekly aggregation.</w:t>
      </w:r>
      <w:r>
        <w:t xml:space="preserve"> All daily price data are resampled to weekly Friday-end observations (</w:t>
      </w:r>
      <w:r>
        <w:rPr>
          <w:rStyle w:val="VerbatimChar"/>
        </w:rPr>
        <w:t>W-FRI</w:t>
      </w:r>
      <w:r>
        <w:t xml:space="preserve">) using </w:t>
      </w:r>
      <w:r>
        <w:rPr>
          <w:rStyle w:val="VerbatimChar"/>
        </w:rPr>
        <w:t>resample().last()</w:t>
      </w:r>
      <w:r>
        <w:t xml:space="preserve"> for adjusted close prices and </w:t>
      </w:r>
      <w:r>
        <w:rPr>
          <w:rStyle w:val="VerbatimChar"/>
        </w:rPr>
        <w:t>resample().sum()</w:t>
      </w:r>
      <w:r>
        <w:t xml:space="preserve"> for volume. This aligns stock returns, market returns, and controversy scores to a consistent weekly cadence before any feature is computed.</w:t>
      </w:r>
    </w:p>
    <w:p w14:paraId="4C62A866" w14:textId="77777777" w:rsidR="00115D45" w:rsidRDefault="00000000">
      <w:pPr>
        <w:pStyle w:val="Heading3"/>
      </w:pPr>
      <w:bookmarkStart w:id="7" w:name="feature-engineering"/>
      <w:bookmarkEnd w:id="6"/>
      <w:r>
        <w:t>1.4 Feature Engineering</w:t>
      </w:r>
    </w:p>
    <w:p w14:paraId="4C62A867" w14:textId="77777777" w:rsidR="00115D45" w:rsidRDefault="00000000">
      <w:pPr>
        <w:pStyle w:val="FirstParagraph"/>
      </w:pPr>
      <w:r>
        <w:t xml:space="preserve">Twenty features are engineered from the raw inputs and grouped into five categories. The feature panel contains </w:t>
      </w:r>
      <w:r>
        <w:rPr>
          <w:b/>
          <w:bCs/>
        </w:rPr>
        <w:t>15,700 weekly ticker-date observations</w:t>
      </w:r>
      <w:r>
        <w:t xml:space="preserve"> (50 tickers × approximately 314 weeks).</w:t>
      </w:r>
    </w:p>
    <w:p w14:paraId="4C62A868" w14:textId="77777777" w:rsidR="00115D45" w:rsidRDefault="00000000">
      <w:pPr>
        <w:pStyle w:val="Heading4"/>
      </w:pPr>
      <w:bookmarkStart w:id="8" w:name="X2d55bab23547a1cb538ef72a3f48e08f687b824"/>
      <w:r>
        <w:t>Group 1: Crash-Risk History (Lagged NCSKEW and DUVOL)</w:t>
      </w:r>
    </w:p>
    <w:p w14:paraId="4C62A869" w14:textId="77777777" w:rsidR="00115D45" w:rsidRDefault="00000000">
      <w:pPr>
        <w:pStyle w:val="FirstParagraph"/>
      </w:pPr>
      <w:r>
        <w:t xml:space="preserve">These two features capture the </w:t>
      </w:r>
      <w:r>
        <w:rPr>
          <w:i/>
          <w:iCs/>
        </w:rPr>
        <w:t>stock’s own recent history</w:t>
      </w:r>
      <w:r>
        <w:t xml:space="preserve"> of return asymmetry, as lagged skewness is a well-established predictor of future crash risk (Chen et al., 2001).</w:t>
      </w:r>
    </w:p>
    <w:p w14:paraId="4C62A86A" w14:textId="77777777" w:rsidR="00115D45" w:rsidRDefault="00000000">
      <w:pPr>
        <w:pStyle w:val="BodyText"/>
      </w:pPr>
      <w:r>
        <w:rPr>
          <w:b/>
          <w:bCs/>
        </w:rPr>
        <w:t>Firm-specific return</w:t>
      </w:r>
      <w:r>
        <w:t xml:space="preserve"> is the raw material for both metrics:</w:t>
      </w:r>
    </w:p>
    <w:p w14:paraId="4C62A86B" w14:textId="77777777" w:rsidR="00115D45"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r>
                <m:rPr>
                  <m:nor/>
                </m:rPr>
                <m:t>specific</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t</m:t>
              </m:r>
            </m:sub>
          </m:sSub>
        </m:oMath>
      </m:oMathPara>
    </w:p>
    <w:p w14:paraId="4C62A86C" w14:textId="77777777" w:rsidR="00115D45" w:rsidRDefault="00000000">
      <w:pPr>
        <w:pStyle w:val="FirstParagraph"/>
      </w:pPr>
      <w:r>
        <w:t xml:space="preserve">where </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oMath>
      <w:r>
        <w:t xml:space="preserve"> is the stock’s weekly return and </w:t>
      </w:r>
      <m:oMath>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t</m:t>
            </m:r>
          </m:sub>
        </m:sSub>
      </m:oMath>
      <w:r>
        <w:t xml:space="preserve"> is the weekly market (benchmark) return. This strips out systematic market movements so that the skewness measures reflect firm-level information hoarding rather than market-wide shocks.</w:t>
      </w:r>
    </w:p>
    <w:p w14:paraId="4C62A86D" w14:textId="77777777" w:rsidR="00115D45" w:rsidRDefault="00000000">
      <w:pPr>
        <w:pStyle w:val="BodyText"/>
      </w:pPr>
      <w:r>
        <w:rPr>
          <w:b/>
          <w:bCs/>
        </w:rPr>
        <w:t>Negative Conditional Skewness (NCSKEW)</w:t>
      </w:r>
      <w:r>
        <w:t xml:space="preserve"> is computed over a trailing 26-week rolling window:</w:t>
      </w:r>
    </w:p>
    <w:p w14:paraId="4C62A86E" w14:textId="77777777" w:rsidR="00115D45" w:rsidRDefault="00000000">
      <w:pPr>
        <w:pStyle w:val="BodyText"/>
      </w:pPr>
      <m:oMathPara>
        <m:oMathParaPr>
          <m:jc m:val="center"/>
        </m:oMathParaPr>
        <m:oMath>
          <m:sSub>
            <m:sSubPr>
              <m:ctrlPr>
                <w:rPr>
                  <w:rFonts w:ascii="Cambria Math" w:hAnsi="Cambria Math"/>
                </w:rPr>
              </m:ctrlPr>
            </m:sSubPr>
            <m:e>
              <m:r>
                <m:rPr>
                  <m:nor/>
                </m:rPr>
                <m:t>NCSKEW</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3</m:t>
                  </m:r>
                  <m:r>
                    <m:rPr>
                      <m:sty m:val="p"/>
                    </m:rPr>
                    <w:rPr>
                      <w:rFonts w:ascii="Cambria Math" w:hAnsi="Cambria Math"/>
                    </w:rPr>
                    <m:t>/</m:t>
                  </m:r>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3</m:t>
                      </m:r>
                    </m:sup>
                  </m:sSubSup>
                </m:e>
              </m:nary>
            </m:num>
            <m:den>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2</m:t>
                              </m:r>
                            </m:sup>
                          </m:sSubSup>
                        </m:e>
                      </m:nary>
                    </m:e>
                  </m:d>
                </m:e>
                <m:sup>
                  <m:r>
                    <w:rPr>
                      <w:rFonts w:ascii="Cambria Math" w:hAnsi="Cambria Math"/>
                    </w:rPr>
                    <m:t>3</m:t>
                  </m:r>
                  <m:r>
                    <m:rPr>
                      <m:sty m:val="p"/>
                    </m:rPr>
                    <w:rPr>
                      <w:rFonts w:ascii="Cambria Math" w:hAnsi="Cambria Math"/>
                    </w:rPr>
                    <m:t>/</m:t>
                  </m:r>
                  <m:r>
                    <w:rPr>
                      <w:rFonts w:ascii="Cambria Math" w:hAnsi="Cambria Math"/>
                    </w:rPr>
                    <m:t>2</m:t>
                  </m:r>
                </m:sup>
              </m:sSup>
            </m:den>
          </m:f>
        </m:oMath>
      </m:oMathPara>
    </w:p>
    <w:p w14:paraId="4C62A86F" w14:textId="77777777" w:rsidR="00115D45" w:rsidRDefault="00000000">
      <w:pPr>
        <w:pStyle w:val="FirstParagraph"/>
      </w:pPr>
      <w:r>
        <w:t xml:space="preserve">The negative sign means a </w:t>
      </w:r>
      <w:r>
        <w:rPr>
          <w:i/>
          <w:iCs/>
        </w:rPr>
        <w:t>higher</w:t>
      </w:r>
      <w:r>
        <w:t xml:space="preserve"> NCSKEW value corresponds to more </w:t>
      </w:r>
      <w:r>
        <w:rPr>
          <w:i/>
          <w:iCs/>
        </w:rPr>
        <w:t>negative</w:t>
      </w:r>
      <w:r>
        <w:t xml:space="preserve"> skewness — i.e., a fatter left tail. The feature stored in the panel is </w:t>
      </w:r>
      <w:r>
        <w:rPr>
          <w:rStyle w:val="VerbatimChar"/>
        </w:rPr>
        <w:t>lagged_ncskew</w:t>
      </w:r>
      <w:r>
        <w:t xml:space="preserve">, the NCSKEW computed up to and including week </w:t>
      </w:r>
      <m:oMath>
        <m:r>
          <w:rPr>
            <w:rFonts w:ascii="Cambria Math" w:hAnsi="Cambria Math"/>
          </w:rPr>
          <m:t>t</m:t>
        </m:r>
      </m:oMath>
      <w:r>
        <w:t xml:space="preserve">, used to predict the </w:t>
      </w:r>
      <w:r>
        <w:rPr>
          <w:i/>
          <w:iCs/>
        </w:rPr>
        <w:t>future</w:t>
      </w:r>
      <w:r>
        <w:t xml:space="preserve"> NCSKEW (the target, computed over the 13 weeks after </w:t>
      </w:r>
      <m:oMath>
        <m:r>
          <w:rPr>
            <w:rFonts w:ascii="Cambria Math" w:hAnsi="Cambria Math"/>
          </w:rPr>
          <m:t>t</m:t>
        </m:r>
      </m:oMath>
      <w:r>
        <w:t>).</w:t>
      </w:r>
    </w:p>
    <w:p w14:paraId="4C62A870" w14:textId="77777777" w:rsidR="00115D45" w:rsidRDefault="00000000">
      <w:pPr>
        <w:pStyle w:val="BodyText"/>
      </w:pPr>
      <w:r>
        <w:rPr>
          <w:b/>
          <w:bCs/>
        </w:rPr>
        <w:t>Down-to-Up Volatility (DUVOL)</w:t>
      </w:r>
      <w:r>
        <w:t xml:space="preserve"> provides a complementary non-parametric measure:</w:t>
      </w:r>
    </w:p>
    <w:p w14:paraId="4C62A871" w14:textId="77777777" w:rsidR="00115D45" w:rsidRDefault="00000000">
      <w:pPr>
        <w:pStyle w:val="BodyText"/>
      </w:pPr>
      <m:oMathPara>
        <m:oMathParaPr>
          <m:jc m:val="center"/>
        </m:oMathParaPr>
        <m:oMath>
          <m:sSub>
            <m:sSubPr>
              <m:ctrlPr>
                <w:rPr>
                  <w:rFonts w:ascii="Cambria Math" w:hAnsi="Cambria Math"/>
                </w:rPr>
              </m:ctrlPr>
            </m:sSubPr>
            <m:e>
              <m:r>
                <m:rPr>
                  <m:nor/>
                </m:rPr>
                <m:t>DUVOL</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m:rPr>
              <m:nor/>
            </m:rPr>
            <m:t>ln</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m:rPr>
                          <m:nor/>
                        </m:rPr>
                        <m:t>down</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2</m:t>
                          </m:r>
                        </m:sup>
                      </m:sSubSup>
                    </m:e>
                  </m:nary>
                </m:num>
                <m:den>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m:rPr>
                          <m:nor/>
                        </m:rPr>
                        <m:t>up</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2</m:t>
                          </m:r>
                        </m:sup>
                      </m:sSubSup>
                    </m:e>
                  </m:nary>
                </m:den>
              </m:f>
            </m:e>
          </m:d>
        </m:oMath>
      </m:oMathPara>
    </w:p>
    <w:p w14:paraId="4C62A872" w14:textId="77777777" w:rsidR="00115D45" w:rsidRDefault="00000000">
      <w:pPr>
        <w:pStyle w:val="FirstParagraph"/>
      </w:pPr>
      <w:r>
        <w:t xml:space="preserve">where “down” weeks are those with </w:t>
      </w:r>
      <m:oMath>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j</m:t>
            </m:r>
          </m:sub>
          <m:sup>
            <m:r>
              <m:rPr>
                <m:nor/>
              </m:rPr>
              <m:t>specific</m:t>
            </m:r>
          </m:sup>
        </m:sSubSup>
        <m:r>
          <m:rPr>
            <m:sty m:val="p"/>
          </m:rPr>
          <w:rPr>
            <w:rFonts w:ascii="Cambria Math" w:hAnsi="Cambria Math"/>
          </w:rPr>
          <m:t>&lt;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oMath>
      <w:r>
        <w:t xml:space="preserve"> and “up” weeks are those with </w:t>
      </w:r>
      <m:oMath>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j</m:t>
            </m:r>
          </m:sub>
          <m:sup>
            <m:r>
              <m:rPr>
                <m:nor/>
              </m:rPr>
              <m:t>specific</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oMath>
      <w:r>
        <w:t xml:space="preserve">. A higher DUVOL means downside variance dominates upside variance — again flagging a fat left tail. The panel stores this as </w:t>
      </w:r>
      <w:r>
        <w:rPr>
          <w:rStyle w:val="VerbatimChar"/>
        </w:rPr>
        <w:t>lagged_duvol</w:t>
      </w:r>
      <w:r>
        <w:t>.</w:t>
      </w:r>
    </w:p>
    <w:p w14:paraId="4C62A873" w14:textId="77777777" w:rsidR="00115D45" w:rsidRDefault="00000000">
      <w:pPr>
        <w:pStyle w:val="Heading4"/>
      </w:pPr>
      <w:bookmarkStart w:id="9" w:name="group-2-trading-activity-turnover"/>
      <w:bookmarkEnd w:id="8"/>
      <w:r>
        <w:t>Group 2: Trading Activity (Turnover)</w:t>
      </w:r>
    </w:p>
    <w:p w14:paraId="4C62A874" w14:textId="77777777" w:rsidR="00115D45" w:rsidRDefault="00000000">
      <w:pPr>
        <w:pStyle w:val="FirstParagraph"/>
      </w:pPr>
      <w:r>
        <w:t>Turnover-based features capture the information from unusual trading volume, which can signal informed selling ahead of a crash.</w:t>
      </w:r>
    </w:p>
    <w:p w14:paraId="4C62A875" w14:textId="77777777" w:rsidR="00115D45" w:rsidRDefault="00000000">
      <w:pPr>
        <w:pStyle w:val="BodyText"/>
      </w:pPr>
      <w:r>
        <w:rPr>
          <w:b/>
          <w:bCs/>
        </w:rPr>
        <w:t>Turnover</w:t>
      </w:r>
      <w:r>
        <w:t xml:space="preserve"> is defined as:</w:t>
      </w:r>
    </w:p>
    <w:p w14:paraId="4C62A876" w14:textId="77777777" w:rsidR="00115D45" w:rsidRDefault="00000000">
      <w:pPr>
        <w:pStyle w:val="BodyText"/>
      </w:pPr>
      <m:oMathPara>
        <m:oMathParaPr>
          <m:jc m:val="center"/>
        </m:oMathParaPr>
        <m:oMath>
          <m:sSub>
            <m:sSubPr>
              <m:ctrlPr>
                <w:rPr>
                  <w:rFonts w:ascii="Cambria Math" w:hAnsi="Cambria Math"/>
                </w:rPr>
              </m:ctrlPr>
            </m:sSubPr>
            <m:e>
              <m:r>
                <m:rPr>
                  <m:nor/>
                </m:rPr>
                <m:t>turnover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weekly volume</m:t>
                  </m:r>
                </m:e>
                <m:sub>
                  <m:r>
                    <w:rPr>
                      <w:rFonts w:ascii="Cambria Math" w:hAnsi="Cambria Math"/>
                    </w:rPr>
                    <m:t>i</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m:rPr>
                      <m:nor/>
                    </m:rPr>
                    <m:t>shares outstanding</m:t>
                  </m:r>
                </m:e>
                <m:sub>
                  <m:r>
                    <w:rPr>
                      <w:rFonts w:ascii="Cambria Math" w:hAnsi="Cambria Math"/>
                    </w:rPr>
                    <m:t>i</m:t>
                  </m:r>
                </m:sub>
              </m:sSub>
            </m:den>
          </m:f>
        </m:oMath>
      </m:oMathPara>
    </w:p>
    <w:p w14:paraId="4C62A877" w14:textId="77777777" w:rsidR="00115D45" w:rsidRDefault="00000000">
      <w:pPr>
        <w:pStyle w:val="FirstParagraph"/>
      </w:pPr>
      <w:r>
        <w:t>To remove the long-run trend in turnover that arises from secular shifts in trading technology, the pipeline computes:</w:t>
      </w:r>
    </w:p>
    <w:p w14:paraId="4C62A878" w14:textId="77777777" w:rsidR="00115D45" w:rsidRDefault="00000000">
      <w:pPr>
        <w:pStyle w:val="BodyText"/>
      </w:pPr>
      <m:oMathPara>
        <m:oMathParaPr>
          <m:jc m:val="center"/>
        </m:oMathParaPr>
        <m:oMath>
          <m:sSub>
            <m:sSubPr>
              <m:ctrlPr>
                <w:rPr>
                  <w:rFonts w:ascii="Cambria Math" w:hAnsi="Cambria Math"/>
                </w:rPr>
              </m:ctrlPr>
            </m:sSubPr>
            <m:e>
              <m:r>
                <m:rPr>
                  <m:nor/>
                </m:rPr>
                <m:t>detrended_turnover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turnover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nor/>
                    </m:rPr>
                    <m:t>turnover</m:t>
                  </m:r>
                </m:e>
              </m:acc>
            </m:e>
            <m:sub>
              <m:r>
                <w:rPr>
                  <w:rFonts w:ascii="Cambria Math" w:hAnsi="Cambria Math"/>
                </w:rPr>
                <m:t>i</m:t>
              </m:r>
              <m:r>
                <m:rPr>
                  <m:sty m:val="p"/>
                </m:rPr>
                <w:rPr>
                  <w:rFonts w:ascii="Cambria Math" w:hAnsi="Cambria Math"/>
                </w:rPr>
                <m:t>,</m:t>
              </m:r>
              <m:r>
                <w:rPr>
                  <w:rFonts w:ascii="Cambria Math" w:hAnsi="Cambria Math"/>
                </w:rPr>
                <m:t>26</m:t>
              </m:r>
              <m:r>
                <m:rPr>
                  <m:nor/>
                </m:rPr>
                <m:t>w</m:t>
              </m:r>
            </m:sub>
          </m:sSub>
        </m:oMath>
      </m:oMathPara>
    </w:p>
    <w:p w14:paraId="4C62A879" w14:textId="77777777" w:rsidR="00115D45" w:rsidRDefault="00000000">
      <w:pPr>
        <w:pStyle w:val="FirstParagraph"/>
      </w:pPr>
      <w:r>
        <w:t xml:space="preserve">where </w:t>
      </w:r>
      <m:oMath>
        <m:sSub>
          <m:sSubPr>
            <m:ctrlPr>
              <w:rPr>
                <w:rFonts w:ascii="Cambria Math" w:hAnsi="Cambria Math"/>
              </w:rPr>
            </m:ctrlPr>
          </m:sSubPr>
          <m:e>
            <m:acc>
              <m:accPr>
                <m:chr m:val="‾"/>
                <m:ctrlPr>
                  <w:rPr>
                    <w:rFonts w:ascii="Cambria Math" w:hAnsi="Cambria Math"/>
                  </w:rPr>
                </m:ctrlPr>
              </m:accPr>
              <m:e>
                <m:r>
                  <m:rPr>
                    <m:nor/>
                  </m:rPr>
                  <m:t>turnover</m:t>
                </m:r>
              </m:e>
            </m:acc>
          </m:e>
          <m:sub>
            <m:r>
              <w:rPr>
                <w:rFonts w:ascii="Cambria Math" w:hAnsi="Cambria Math"/>
              </w:rPr>
              <m:t>i</m:t>
            </m:r>
            <m:r>
              <m:rPr>
                <m:sty m:val="p"/>
              </m:rPr>
              <w:rPr>
                <w:rFonts w:ascii="Cambria Math" w:hAnsi="Cambria Math"/>
              </w:rPr>
              <m:t>,</m:t>
            </m:r>
            <m:r>
              <w:rPr>
                <w:rFonts w:ascii="Cambria Math" w:hAnsi="Cambria Math"/>
              </w:rPr>
              <m:t>26</m:t>
            </m:r>
            <m:r>
              <m:rPr>
                <m:nor/>
              </m:rPr>
              <m:t>w</m:t>
            </m:r>
          </m:sub>
        </m:sSub>
      </m:oMath>
      <w:r>
        <w:t xml:space="preserve"> is the 26-week rolling mean. A high positive </w:t>
      </w:r>
      <w:r>
        <w:rPr>
          <w:rStyle w:val="VerbatimChar"/>
        </w:rPr>
        <w:t>detrended_turnover</w:t>
      </w:r>
      <w:r>
        <w:t xml:space="preserve"> indicates abnormally elevated trading activity relative to the stock’s own recent baseline.</w:t>
      </w:r>
    </w:p>
    <w:p w14:paraId="4C62A87A" w14:textId="77777777" w:rsidR="00115D45" w:rsidRDefault="00000000">
      <w:pPr>
        <w:pStyle w:val="Heading4"/>
      </w:pPr>
      <w:bookmarkStart w:id="10" w:name="group-3-downside-risk-beta-family"/>
      <w:bookmarkEnd w:id="9"/>
      <w:r>
        <w:t>Group 3: Downside Risk (Beta Family)</w:t>
      </w:r>
    </w:p>
    <w:p w14:paraId="4C62A87B" w14:textId="77777777" w:rsidR="00115D45" w:rsidRDefault="00000000">
      <w:pPr>
        <w:pStyle w:val="FirstParagraph"/>
      </w:pPr>
      <w:r>
        <w:t>Three beta-based features capture systematic risk exposure and its asymmetry.</w:t>
      </w:r>
    </w:p>
    <w:p w14:paraId="4C62A87C" w14:textId="77777777" w:rsidR="00115D45" w:rsidRDefault="00000000">
      <w:pPr>
        <w:pStyle w:val="BodyText"/>
      </w:pPr>
      <w:r>
        <w:rPr>
          <w:b/>
          <w:bCs/>
        </w:rPr>
        <w:t>Standard beta</w:t>
      </w:r>
      <w:r>
        <w:t xml:space="preserve"> uses a 26-week rolling OLS-equivalent:</w:t>
      </w:r>
    </w:p>
    <w:p w14:paraId="4C62A87D" w14:textId="77777777" w:rsidR="00115D45" w:rsidRDefault="00000000">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m:rPr>
                  <m:nor/>
                </m:rPr>
                <m:t>Cov</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26</m:t>
                  </m:r>
                  <m:r>
                    <m:rPr>
                      <m:nor/>
                    </m:rPr>
                    <m:t>w</m:t>
                  </m:r>
                </m:sub>
              </m:sSub>
            </m:num>
            <m:den>
              <m:r>
                <m:rPr>
                  <m:nor/>
                </m:rPr>
                <m:t>Var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26</m:t>
                  </m:r>
                  <m:r>
                    <m:rPr>
                      <m:nor/>
                    </m:rPr>
                    <m:t>w</m:t>
                  </m:r>
                </m:sub>
              </m:sSub>
            </m:den>
          </m:f>
        </m:oMath>
      </m:oMathPara>
    </w:p>
    <w:p w14:paraId="4C62A87E" w14:textId="77777777" w:rsidR="00115D45" w:rsidRDefault="00000000">
      <w:pPr>
        <w:pStyle w:val="FirstParagraph"/>
      </w:pPr>
      <w:r>
        <w:rPr>
          <w:b/>
          <w:bCs/>
        </w:rPr>
        <w:t>Downside beta</w:t>
      </w:r>
      <w:r>
        <w:t xml:space="preserve"> is identical but computed only over weeks where the market return is negative:</w:t>
      </w:r>
    </w:p>
    <w:p w14:paraId="4C62A87F" w14:textId="77777777" w:rsidR="00115D45"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β</m:t>
              </m:r>
            </m:e>
            <m:sub>
              <m:r>
                <w:rPr>
                  <w:rFonts w:ascii="Cambria Math" w:hAnsi="Cambria Math"/>
                </w:rPr>
                <m:t>i</m:t>
              </m:r>
              <m:r>
                <m:rPr>
                  <m:sty m:val="p"/>
                </m:rPr>
                <w:rPr>
                  <w:rFonts w:ascii="Cambria Math" w:hAnsi="Cambria Math"/>
                </w:rPr>
                <m:t>,</m:t>
              </m:r>
              <m:r>
                <w:rPr>
                  <w:rFonts w:ascii="Cambria Math" w:hAnsi="Cambria Math"/>
                </w:rPr>
                <m:t>t</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nor/>
                </m:rPr>
                <m:t>Cov</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&lt;</m:t>
              </m:r>
              <m:r>
                <w:rPr>
                  <w:rFonts w:ascii="Cambria Math" w:hAnsi="Cambria Math"/>
                </w:rPr>
                <m:t>0</m:t>
              </m:r>
              <m:sSub>
                <m:sSubPr>
                  <m:ctrlPr>
                    <w:rPr>
                      <w:rFonts w:ascii="Cambria Math" w:hAnsi="Cambria Math"/>
                    </w:rPr>
                  </m:ctrlPr>
                </m:sSubPr>
                <m:e>
                  <m:r>
                    <m:rPr>
                      <m:sty m:val="p"/>
                    </m:rPr>
                    <w:rPr>
                      <w:rFonts w:ascii="Cambria Math" w:hAnsi="Cambria Math"/>
                    </w:rPr>
                    <m:t>)</m:t>
                  </m:r>
                </m:e>
                <m:sub>
                  <m:r>
                    <w:rPr>
                      <w:rFonts w:ascii="Cambria Math" w:hAnsi="Cambria Math"/>
                    </w:rPr>
                    <m:t>26</m:t>
                  </m:r>
                  <m:r>
                    <m:rPr>
                      <m:nor/>
                    </m:rPr>
                    <m:t>w</m:t>
                  </m:r>
                </m:sub>
              </m:sSub>
            </m:num>
            <m:den>
              <m:r>
                <m:rPr>
                  <m:nor/>
                </m:rPr>
                <m:t>Var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&lt;</m:t>
              </m:r>
              <m:r>
                <w:rPr>
                  <w:rFonts w:ascii="Cambria Math" w:hAnsi="Cambria Math"/>
                </w:rPr>
                <m:t>0</m:t>
              </m:r>
              <m:sSub>
                <m:sSubPr>
                  <m:ctrlPr>
                    <w:rPr>
                      <w:rFonts w:ascii="Cambria Math" w:hAnsi="Cambria Math"/>
                    </w:rPr>
                  </m:ctrlPr>
                </m:sSubPr>
                <m:e>
                  <m:r>
                    <m:rPr>
                      <m:sty m:val="p"/>
                    </m:rPr>
                    <w:rPr>
                      <w:rFonts w:ascii="Cambria Math" w:hAnsi="Cambria Math"/>
                    </w:rPr>
                    <m:t>)</m:t>
                  </m:r>
                </m:e>
                <m:sub>
                  <m:r>
                    <w:rPr>
                      <w:rFonts w:ascii="Cambria Math" w:hAnsi="Cambria Math"/>
                    </w:rPr>
                    <m:t>26</m:t>
                  </m:r>
                  <m:r>
                    <m:rPr>
                      <m:nor/>
                    </m:rPr>
                    <m:t>w</m:t>
                  </m:r>
                </m:sub>
              </m:sSub>
            </m:den>
          </m:f>
        </m:oMath>
      </m:oMathPara>
    </w:p>
    <w:p w14:paraId="4C62A880" w14:textId="77777777" w:rsidR="00115D45" w:rsidRDefault="00000000">
      <w:pPr>
        <w:pStyle w:val="FirstParagraph"/>
      </w:pPr>
      <w:r>
        <w:rPr>
          <w:b/>
          <w:bCs/>
        </w:rPr>
        <w:t>Relative downside beta</w:t>
      </w:r>
      <w:r>
        <w:t xml:space="preserve"> isolates the asymmetric component:</w:t>
      </w:r>
    </w:p>
    <w:p w14:paraId="4C62A881" w14:textId="77777777" w:rsidR="00115D45" w:rsidRDefault="00000000">
      <w:pPr>
        <w:pStyle w:val="BodyText"/>
      </w:pPr>
      <m:oMathPara>
        <m:oMathParaPr>
          <m:jc m:val="center"/>
        </m:oMathParaPr>
        <m:oMath>
          <m:sSub>
            <m:sSubPr>
              <m:ctrlPr>
                <w:rPr>
                  <w:rFonts w:ascii="Cambria Math" w:hAnsi="Cambria Math"/>
                </w:rPr>
              </m:ctrlPr>
            </m:sSubPr>
            <m:e>
              <m:r>
                <m:rPr>
                  <m:nor/>
                </m:rPr>
                <m:t>relative_downside_beta</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i</m:t>
              </m:r>
              <m:r>
                <m:rPr>
                  <m:sty m:val="p"/>
                </m:rPr>
                <w:rPr>
                  <w:rFonts w:ascii="Cambria Math" w:hAnsi="Cambria Math"/>
                </w:rPr>
                <m:t>,</m:t>
              </m:r>
              <m:r>
                <w:rPr>
                  <w:rFonts w:ascii="Cambria Math" w:hAnsi="Cambria Math"/>
                </w:rPr>
                <m:t>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r>
                <m:rPr>
                  <m:sty m:val="p"/>
                </m:rPr>
                <w:rPr>
                  <w:rFonts w:ascii="Cambria Math" w:hAnsi="Cambria Math"/>
                </w:rPr>
                <m:t>,</m:t>
              </m:r>
              <m:r>
                <w:rPr>
                  <w:rFonts w:ascii="Cambria Math" w:hAnsi="Cambria Math"/>
                </w:rPr>
                <m:t>t</m:t>
              </m:r>
            </m:sub>
          </m:sSub>
        </m:oMath>
      </m:oMathPara>
    </w:p>
    <w:p w14:paraId="4C62A882" w14:textId="77777777" w:rsidR="00115D45" w:rsidRDefault="00000000">
      <w:pPr>
        <w:pStyle w:val="FirstParagraph"/>
      </w:pPr>
      <w:r>
        <w:t>A positive value means the stock is more sensitive to market downturns than its full-period beta would suggest — a direct measure of crash co-movement risk.</w:t>
      </w:r>
    </w:p>
    <w:p w14:paraId="4C62A883" w14:textId="77777777" w:rsidR="00115D45" w:rsidRDefault="00000000">
      <w:pPr>
        <w:pStyle w:val="BodyText"/>
      </w:pPr>
      <w:r>
        <w:rPr>
          <w:b/>
          <w:bCs/>
        </w:rPr>
        <w:t>Trailing return and realised volatility</w:t>
      </w:r>
      <w:r>
        <w:t xml:space="preserve"> complete this group:</w:t>
      </w:r>
    </w:p>
    <w:p w14:paraId="4C62A884" w14:textId="77777777" w:rsidR="00115D45" w:rsidRDefault="00000000">
      <w:pPr>
        <w:pStyle w:val="BodyText"/>
      </w:pPr>
      <m:oMathPara>
        <m:oMathParaPr>
          <m:jc m:val="center"/>
        </m:oMathParaPr>
        <m:oMath>
          <m:sSub>
            <m:sSubPr>
              <m:ctrlPr>
                <w:rPr>
                  <w:rFonts w:ascii="Cambria Math" w:hAnsi="Cambria Math"/>
                </w:rPr>
              </m:ctrlPr>
            </m:sSubPr>
            <m:e>
              <m:r>
                <m:rPr>
                  <m:nor/>
                </m:rPr>
                <m:t>trailing_return</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25</m:t>
              </m:r>
            </m:sub>
            <m:sup>
              <m:r>
                <w:rPr>
                  <w:rFonts w:ascii="Cambria Math" w:hAnsi="Cambria Math"/>
                </w:rPr>
                <m:t>t</m:t>
              </m:r>
            </m:sup>
            <m:e>
              <m:r>
                <m:rPr>
                  <m:sty m:val="p"/>
                </m:rPr>
                <w:rPr>
                  <w:rFonts w:ascii="Cambria Math" w:hAnsi="Cambria Math"/>
                </w:rPr>
                <m:t>(</m:t>
              </m:r>
            </m:e>
          </m:nary>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1 </m:t>
          </m:r>
          <m:r>
            <m:rPr>
              <m:nor/>
            </m:rPr>
            <m:t>(26-week cumulative)</m:t>
          </m:r>
        </m:oMath>
      </m:oMathPara>
    </w:p>
    <w:p w14:paraId="4C62A885" w14:textId="77777777" w:rsidR="00115D45" w:rsidRDefault="00000000">
      <w:pPr>
        <w:pStyle w:val="FirstParagraph"/>
      </w:pPr>
      <m:oMathPara>
        <m:oMathParaPr>
          <m:jc m:val="center"/>
        </m:oMathParaPr>
        <m:oMath>
          <m:sSub>
            <m:sSubPr>
              <m:ctrlPr>
                <w:rPr>
                  <w:rFonts w:ascii="Cambria Math" w:hAnsi="Cambria Math"/>
                </w:rPr>
              </m:ctrlPr>
            </m:sSubPr>
            <m:e>
              <m:r>
                <m:rPr>
                  <m:nor/>
                </m:rPr>
                <m:t>realized_volatility</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r>
                <m:rPr>
                  <m:sty m:val="p"/>
                </m:rPr>
                <w:rPr>
                  <w:rFonts w:ascii="Cambria Math" w:hAnsi="Cambria Math"/>
                </w:rPr>
                <m:t>,</m:t>
              </m:r>
              <m:r>
                <w:rPr>
                  <w:rFonts w:ascii="Cambria Math" w:hAnsi="Cambria Math"/>
                </w:rPr>
                <m:t>26</m:t>
              </m:r>
              <m:r>
                <m:rPr>
                  <m:nor/>
                </m:rPr>
                <m:t>w</m:t>
              </m:r>
            </m:sub>
            <m:sup>
              <m:r>
                <m:rPr>
                  <m:nor/>
                </m:rPr>
                <m:t>weekly</m:t>
              </m:r>
            </m:sup>
          </m:sSubSup>
          <m:r>
            <m:rPr>
              <m:sty m:val="p"/>
            </m:rPr>
            <w:rPr>
              <w:rFonts w:ascii="Cambria Math" w:hAnsi="Cambria Math"/>
            </w:rPr>
            <m:t>×</m:t>
          </m:r>
          <m:rad>
            <m:radPr>
              <m:degHide m:val="1"/>
              <m:ctrlPr>
                <w:rPr>
                  <w:rFonts w:ascii="Cambria Math" w:hAnsi="Cambria Math"/>
                </w:rPr>
              </m:ctrlPr>
            </m:radPr>
            <m:deg/>
            <m:e>
              <m:r>
                <w:rPr>
                  <w:rFonts w:ascii="Cambria Math" w:hAnsi="Cambria Math"/>
                </w:rPr>
                <m:t>52</m:t>
              </m:r>
            </m:e>
          </m:rad>
          <m:r>
            <w:rPr>
              <w:rFonts w:ascii="Cambria Math" w:hAnsi="Cambria Math"/>
            </w:rPr>
            <m:t> </m:t>
          </m:r>
          <m:r>
            <m:rPr>
              <m:nor/>
            </m:rPr>
            <m:t>(annualised)</m:t>
          </m:r>
        </m:oMath>
      </m:oMathPara>
    </w:p>
    <w:p w14:paraId="4C62A886" w14:textId="77777777" w:rsidR="00115D45" w:rsidRDefault="00000000">
      <w:pPr>
        <w:pStyle w:val="Heading4"/>
      </w:pPr>
      <w:bookmarkStart w:id="11" w:name="group-4-firm-fundamentals"/>
      <w:bookmarkEnd w:id="10"/>
      <w:r>
        <w:t>Group 4: Firm Fundamentals</w:t>
      </w:r>
    </w:p>
    <w:p w14:paraId="4C62A887" w14:textId="77777777" w:rsidR="00115D45" w:rsidRDefault="00000000">
      <w:pPr>
        <w:pStyle w:val="FirstParagraph"/>
      </w:pPr>
      <w:r>
        <w:t>Four accounting-based features provide cross-sectional context. All values are joined with a 45-day lag to prevent look-ahead bias:</w:t>
      </w:r>
    </w:p>
    <w:tbl>
      <w:tblPr>
        <w:tblStyle w:val="Table"/>
        <w:tblW w:w="0" w:type="pct"/>
        <w:tblLook w:val="0020" w:firstRow="1" w:lastRow="0" w:firstColumn="0" w:lastColumn="0" w:noHBand="0" w:noVBand="0"/>
      </w:tblPr>
      <w:tblGrid>
        <w:gridCol w:w="1910"/>
        <w:gridCol w:w="5310"/>
      </w:tblGrid>
      <w:tr w:rsidR="00115D45" w14:paraId="4C62A88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888" w14:textId="77777777" w:rsidR="00115D45" w:rsidRDefault="00000000">
            <w:pPr>
              <w:pStyle w:val="Compact"/>
            </w:pPr>
            <w:r>
              <w:t>Feature</w:t>
            </w:r>
          </w:p>
        </w:tc>
        <w:tc>
          <w:tcPr>
            <w:tcW w:w="0" w:type="auto"/>
          </w:tcPr>
          <w:p w14:paraId="4C62A889" w14:textId="77777777" w:rsidR="00115D45" w:rsidRDefault="00000000">
            <w:pPr>
              <w:pStyle w:val="Compact"/>
            </w:pPr>
            <w:r>
              <w:t>Definition</w:t>
            </w:r>
          </w:p>
        </w:tc>
      </w:tr>
      <w:tr w:rsidR="00115D45" w14:paraId="4C62A88D" w14:textId="77777777">
        <w:tc>
          <w:tcPr>
            <w:tcW w:w="0" w:type="auto"/>
          </w:tcPr>
          <w:p w14:paraId="4C62A88B" w14:textId="77777777" w:rsidR="00115D45" w:rsidRDefault="00000000">
            <w:pPr>
              <w:pStyle w:val="Compact"/>
            </w:pPr>
            <w:r>
              <w:rPr>
                <w:rStyle w:val="VerbatimChar"/>
              </w:rPr>
              <w:t>market_cap</w:t>
            </w:r>
          </w:p>
        </w:tc>
        <w:tc>
          <w:tcPr>
            <w:tcW w:w="0" w:type="auto"/>
          </w:tcPr>
          <w:p w14:paraId="4C62A88C" w14:textId="77777777" w:rsidR="00115D45" w:rsidRDefault="00000000">
            <w:pPr>
              <w:pStyle w:val="Compact"/>
            </w:pPr>
            <w:r>
              <w:t>Shares outstanding × price (USD)</w:t>
            </w:r>
          </w:p>
        </w:tc>
      </w:tr>
      <w:tr w:rsidR="00115D45" w14:paraId="4C62A890" w14:textId="77777777">
        <w:tc>
          <w:tcPr>
            <w:tcW w:w="0" w:type="auto"/>
          </w:tcPr>
          <w:p w14:paraId="4C62A88E" w14:textId="77777777" w:rsidR="00115D45" w:rsidRDefault="00000000">
            <w:pPr>
              <w:pStyle w:val="Compact"/>
            </w:pPr>
            <w:r>
              <w:rPr>
                <w:rStyle w:val="VerbatimChar"/>
              </w:rPr>
              <w:t>market_to_book</w:t>
            </w:r>
          </w:p>
        </w:tc>
        <w:tc>
          <w:tcPr>
            <w:tcW w:w="0" w:type="auto"/>
          </w:tcPr>
          <w:p w14:paraId="4C62A88F" w14:textId="77777777" w:rsidR="00115D45" w:rsidRDefault="00000000">
            <w:pPr>
              <w:pStyle w:val="Compact"/>
            </w:pPr>
            <w:r>
              <w:t>Market cap / book value of equity</w:t>
            </w:r>
          </w:p>
        </w:tc>
      </w:tr>
      <w:tr w:rsidR="00115D45" w14:paraId="4C62A893" w14:textId="77777777">
        <w:tc>
          <w:tcPr>
            <w:tcW w:w="0" w:type="auto"/>
          </w:tcPr>
          <w:p w14:paraId="4C62A891" w14:textId="77777777" w:rsidR="00115D45" w:rsidRDefault="00000000">
            <w:pPr>
              <w:pStyle w:val="Compact"/>
            </w:pPr>
            <w:r>
              <w:rPr>
                <w:rStyle w:val="VerbatimChar"/>
              </w:rPr>
              <w:t>leverage</w:t>
            </w:r>
          </w:p>
        </w:tc>
        <w:tc>
          <w:tcPr>
            <w:tcW w:w="0" w:type="auto"/>
          </w:tcPr>
          <w:p w14:paraId="4C62A892" w14:textId="77777777" w:rsidR="00115D45" w:rsidRDefault="00000000">
            <w:pPr>
              <w:pStyle w:val="Compact"/>
            </w:pPr>
            <w:r>
              <w:t>Total debt / total assets</w:t>
            </w:r>
          </w:p>
        </w:tc>
      </w:tr>
      <w:tr w:rsidR="00115D45" w14:paraId="4C62A896" w14:textId="77777777">
        <w:tc>
          <w:tcPr>
            <w:tcW w:w="0" w:type="auto"/>
          </w:tcPr>
          <w:p w14:paraId="4C62A894" w14:textId="77777777" w:rsidR="00115D45" w:rsidRDefault="00000000">
            <w:pPr>
              <w:pStyle w:val="Compact"/>
            </w:pPr>
            <w:r>
              <w:rPr>
                <w:rStyle w:val="VerbatimChar"/>
              </w:rPr>
              <w:t>roa</w:t>
            </w:r>
          </w:p>
        </w:tc>
        <w:tc>
          <w:tcPr>
            <w:tcW w:w="0" w:type="auto"/>
          </w:tcPr>
          <w:p w14:paraId="4C62A895" w14:textId="77777777" w:rsidR="00115D45" w:rsidRDefault="00000000">
            <w:pPr>
              <w:pStyle w:val="Compact"/>
            </w:pPr>
            <w:r>
              <w:t>Net income / total assets (trailing twelve months)</w:t>
            </w:r>
          </w:p>
        </w:tc>
      </w:tr>
    </w:tbl>
    <w:p w14:paraId="4C62A897" w14:textId="77777777" w:rsidR="00115D45" w:rsidRDefault="00000000">
      <w:pPr>
        <w:pStyle w:val="Heading4"/>
      </w:pPr>
      <w:bookmarkStart w:id="12" w:name="group-5-esg-controversy-8-features"/>
      <w:bookmarkEnd w:id="11"/>
      <w:r>
        <w:t>Group 5: ESG Controversy (8 Features)</w:t>
      </w:r>
    </w:p>
    <w:p w14:paraId="4C62A898" w14:textId="77777777" w:rsidR="00115D45" w:rsidRDefault="00000000">
      <w:pPr>
        <w:pStyle w:val="FirstParagraph"/>
      </w:pPr>
      <w:r>
        <w:t xml:space="preserve">This group is the key differentiator from a pure fundamental crash-risk model. Monthly controversy scores from an ESG data vendor are joined to the weekly panel via a backward </w:t>
      </w:r>
      <w:r>
        <w:rPr>
          <w:rStyle w:val="VerbatimChar"/>
        </w:rPr>
        <w:t>merge_asof</w:t>
      </w:r>
      <w:r>
        <w:t xml:space="preserve">, so the feature at week </w:t>
      </w:r>
      <m:oMath>
        <m:r>
          <w:rPr>
            <w:rFonts w:ascii="Cambria Math" w:hAnsi="Cambria Math"/>
          </w:rPr>
          <m:t>t</m:t>
        </m:r>
      </m:oMath>
      <w:r>
        <w:t xml:space="preserve"> always reflects the most recent controversy reading </w:t>
      </w:r>
      <w:r>
        <w:rPr>
          <w:i/>
          <w:iCs/>
        </w:rPr>
        <w:t>on or before</w:t>
      </w:r>
      <w:r>
        <w:t xml:space="preserve"> week </w:t>
      </w:r>
      <m:oMath>
        <m:r>
          <w:rPr>
            <w:rFonts w:ascii="Cambria Math" w:hAnsi="Cambria Math"/>
          </w:rPr>
          <m:t>t</m:t>
        </m:r>
      </m:oMath>
      <w:r>
        <w:t>.</w:t>
      </w:r>
    </w:p>
    <w:tbl>
      <w:tblPr>
        <w:tblStyle w:val="Table"/>
        <w:tblW w:w="5000" w:type="pct"/>
        <w:tblLook w:val="0020" w:firstRow="1" w:lastRow="0" w:firstColumn="0" w:lastColumn="0" w:noHBand="0" w:noVBand="0"/>
      </w:tblPr>
      <w:tblGrid>
        <w:gridCol w:w="3724"/>
        <w:gridCol w:w="5852"/>
      </w:tblGrid>
      <w:tr w:rsidR="00115D45" w14:paraId="4C62A89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899" w14:textId="77777777" w:rsidR="00115D45" w:rsidRDefault="00000000">
            <w:pPr>
              <w:pStyle w:val="Compact"/>
            </w:pPr>
            <w:r>
              <w:t>Feature</w:t>
            </w:r>
          </w:p>
        </w:tc>
        <w:tc>
          <w:tcPr>
            <w:tcW w:w="0" w:type="auto"/>
          </w:tcPr>
          <w:p w14:paraId="4C62A89A" w14:textId="77777777" w:rsidR="00115D45" w:rsidRDefault="00000000">
            <w:pPr>
              <w:pStyle w:val="Compact"/>
            </w:pPr>
            <w:r>
              <w:t>Formula</w:t>
            </w:r>
          </w:p>
        </w:tc>
      </w:tr>
      <w:tr w:rsidR="00115D45" w14:paraId="4C62A89E" w14:textId="77777777">
        <w:tc>
          <w:tcPr>
            <w:tcW w:w="0" w:type="auto"/>
          </w:tcPr>
          <w:p w14:paraId="4C62A89C" w14:textId="77777777" w:rsidR="00115D45" w:rsidRDefault="00000000">
            <w:pPr>
              <w:pStyle w:val="Compact"/>
            </w:pPr>
            <w:r>
              <w:rPr>
                <w:rStyle w:val="VerbatimChar"/>
              </w:rPr>
              <w:t>controversy_score</w:t>
            </w:r>
          </w:p>
        </w:tc>
        <w:tc>
          <w:tcPr>
            <w:tcW w:w="0" w:type="auto"/>
          </w:tcPr>
          <w:p w14:paraId="4C62A89D" w14:textId="77777777" w:rsidR="00115D45" w:rsidRDefault="00000000">
            <w:pPr>
              <w:pStyle w:val="Compact"/>
            </w:pPr>
            <w:r>
              <w:t>Raw vendor score (0–10, higher = more controversy)</w:t>
            </w:r>
          </w:p>
        </w:tc>
      </w:tr>
      <w:tr w:rsidR="00115D45" w14:paraId="4C62A8A1" w14:textId="77777777">
        <w:tc>
          <w:tcPr>
            <w:tcW w:w="0" w:type="auto"/>
          </w:tcPr>
          <w:p w14:paraId="4C62A89F" w14:textId="77777777" w:rsidR="00115D45" w:rsidRDefault="00000000">
            <w:pPr>
              <w:pStyle w:val="Compact"/>
            </w:pPr>
            <w:r>
              <w:rPr>
                <w:rStyle w:val="VerbatimChar"/>
              </w:rPr>
              <w:t>controversy_change_4w</w:t>
            </w:r>
          </w:p>
        </w:tc>
        <w:tc>
          <w:tcPr>
            <w:tcW w:w="0" w:type="auto"/>
          </w:tcPr>
          <w:p w14:paraId="4C62A8A0" w14:textId="77777777" w:rsidR="00115D45"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4</m:t>
                    </m:r>
                  </m:sub>
                </m:sSub>
              </m:oMath>
            </m:oMathPara>
          </w:p>
        </w:tc>
      </w:tr>
      <w:tr w:rsidR="00115D45" w14:paraId="4C62A8A4" w14:textId="77777777">
        <w:tc>
          <w:tcPr>
            <w:tcW w:w="0" w:type="auto"/>
          </w:tcPr>
          <w:p w14:paraId="4C62A8A2" w14:textId="77777777" w:rsidR="00115D45" w:rsidRDefault="00000000">
            <w:pPr>
              <w:pStyle w:val="Compact"/>
            </w:pPr>
            <w:r>
              <w:rPr>
                <w:rStyle w:val="VerbatimChar"/>
              </w:rPr>
              <w:t>controversy_change_13w</w:t>
            </w:r>
          </w:p>
        </w:tc>
        <w:tc>
          <w:tcPr>
            <w:tcW w:w="0" w:type="auto"/>
          </w:tcPr>
          <w:p w14:paraId="4C62A8A3" w14:textId="77777777" w:rsidR="00115D45"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13</m:t>
                    </m:r>
                  </m:sub>
                </m:sSub>
              </m:oMath>
            </m:oMathPara>
          </w:p>
        </w:tc>
      </w:tr>
      <w:tr w:rsidR="00115D45" w14:paraId="4C62A8A7" w14:textId="77777777">
        <w:tc>
          <w:tcPr>
            <w:tcW w:w="0" w:type="auto"/>
          </w:tcPr>
          <w:p w14:paraId="4C62A8A5" w14:textId="77777777" w:rsidR="00115D45" w:rsidRDefault="00000000">
            <w:pPr>
              <w:pStyle w:val="Compact"/>
            </w:pPr>
            <w:r>
              <w:rPr>
                <w:rStyle w:val="VerbatimChar"/>
              </w:rPr>
              <w:t>controversy_change_26w</w:t>
            </w:r>
          </w:p>
        </w:tc>
        <w:tc>
          <w:tcPr>
            <w:tcW w:w="0" w:type="auto"/>
          </w:tcPr>
          <w:p w14:paraId="4C62A8A6" w14:textId="77777777" w:rsidR="00115D45"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26</m:t>
                    </m:r>
                  </m:sub>
                </m:sSub>
              </m:oMath>
            </m:oMathPara>
          </w:p>
        </w:tc>
      </w:tr>
      <w:tr w:rsidR="00115D45" w14:paraId="4C62A8AA" w14:textId="77777777">
        <w:tc>
          <w:tcPr>
            <w:tcW w:w="0" w:type="auto"/>
          </w:tcPr>
          <w:p w14:paraId="4C62A8A8" w14:textId="77777777" w:rsidR="00115D45" w:rsidRDefault="00000000">
            <w:pPr>
              <w:pStyle w:val="Compact"/>
            </w:pPr>
            <w:r>
              <w:rPr>
                <w:rStyle w:val="VerbatimChar"/>
              </w:rPr>
              <w:t>controversy_rolling_mean_13w</w:t>
            </w:r>
          </w:p>
        </w:tc>
        <w:tc>
          <w:tcPr>
            <w:tcW w:w="0" w:type="auto"/>
          </w:tcPr>
          <w:p w14:paraId="4C62A8A9" w14:textId="77777777" w:rsidR="00115D45" w:rsidRDefault="00000000">
            <w:pPr>
              <w:pStyle w:val="Compact"/>
            </w:pP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r>
                    <m:rPr>
                      <m:sty m:val="p"/>
                    </m:rPr>
                    <w:rPr>
                      <w:rFonts w:ascii="Cambria Math" w:hAnsi="Cambria Math"/>
                    </w:rPr>
                    <m:t>,</m:t>
                  </m:r>
                  <m:r>
                    <w:rPr>
                      <w:rFonts w:ascii="Cambria Math" w:hAnsi="Cambria Math"/>
                    </w:rPr>
                    <m:t>13</m:t>
                  </m:r>
                  <m:r>
                    <m:rPr>
                      <m:nor/>
                    </m:rPr>
                    <m:t>w</m:t>
                  </m:r>
                </m:sub>
              </m:sSub>
            </m:oMath>
            <w:r>
              <w:t xml:space="preserve"> — 13-week rolling mean</w:t>
            </w:r>
          </w:p>
        </w:tc>
      </w:tr>
      <w:tr w:rsidR="00115D45" w14:paraId="4C62A8AD" w14:textId="77777777">
        <w:tc>
          <w:tcPr>
            <w:tcW w:w="0" w:type="auto"/>
          </w:tcPr>
          <w:p w14:paraId="4C62A8AB" w14:textId="77777777" w:rsidR="00115D45" w:rsidRDefault="00000000">
            <w:pPr>
              <w:pStyle w:val="Compact"/>
            </w:pPr>
            <w:r>
              <w:rPr>
                <w:rStyle w:val="VerbatimChar"/>
              </w:rPr>
              <w:t>controversy_rolling_std_13w</w:t>
            </w:r>
          </w:p>
        </w:tc>
        <w:tc>
          <w:tcPr>
            <w:tcW w:w="0" w:type="auto"/>
          </w:tcPr>
          <w:p w14:paraId="4C62A8AC" w14:textId="77777777" w:rsidR="00115D45" w:rsidRDefault="00000000">
            <w:pPr>
              <w:pStyle w:val="Compact"/>
            </w:pPr>
            <m:oMath>
              <m:sSubSup>
                <m:sSubSupPr>
                  <m:ctrlPr>
                    <w:rPr>
                      <w:rFonts w:ascii="Cambria Math" w:hAnsi="Cambria Math"/>
                    </w:rPr>
                  </m:ctrlPr>
                </m:sSubSupPr>
                <m:e>
                  <m:r>
                    <w:rPr>
                      <w:rFonts w:ascii="Cambria Math" w:hAnsi="Cambria Math"/>
                    </w:rPr>
                    <m:t>σ</m:t>
                  </m:r>
                </m:e>
                <m:sub>
                  <m:r>
                    <w:rPr>
                      <w:rFonts w:ascii="Cambria Math" w:hAnsi="Cambria Math"/>
                    </w:rPr>
                    <m:t>i</m:t>
                  </m:r>
                  <m:r>
                    <m:rPr>
                      <m:sty m:val="p"/>
                    </m:rPr>
                    <w:rPr>
                      <w:rFonts w:ascii="Cambria Math" w:hAnsi="Cambria Math"/>
                    </w:rPr>
                    <m:t>,</m:t>
                  </m:r>
                  <m:r>
                    <w:rPr>
                      <w:rFonts w:ascii="Cambria Math" w:hAnsi="Cambria Math"/>
                    </w:rPr>
                    <m:t>13</m:t>
                  </m:r>
                  <m:r>
                    <m:rPr>
                      <m:nor/>
                    </m:rPr>
                    <m:t>w</m:t>
                  </m:r>
                </m:sub>
                <m:sup>
                  <m:r>
                    <w:rPr>
                      <w:rFonts w:ascii="Cambria Math" w:hAnsi="Cambria Math"/>
                    </w:rPr>
                    <m:t>c</m:t>
                  </m:r>
                </m:sup>
              </m:sSubSup>
            </m:oMath>
            <w:r>
              <w:t xml:space="preserve"> — 13-week rolling standard deviation</w:t>
            </w:r>
          </w:p>
        </w:tc>
      </w:tr>
      <w:tr w:rsidR="00115D45" w14:paraId="4C62A8B0" w14:textId="77777777">
        <w:tc>
          <w:tcPr>
            <w:tcW w:w="0" w:type="auto"/>
          </w:tcPr>
          <w:p w14:paraId="4C62A8AE" w14:textId="77777777" w:rsidR="00115D45" w:rsidRDefault="00000000">
            <w:pPr>
              <w:pStyle w:val="Compact"/>
            </w:pPr>
            <w:r>
              <w:rPr>
                <w:rStyle w:val="VerbatimChar"/>
              </w:rPr>
              <w:t>controversy_spike_flag</w:t>
            </w:r>
          </w:p>
        </w:tc>
        <w:tc>
          <w:tcPr>
            <w:tcW w:w="0" w:type="auto"/>
          </w:tcPr>
          <w:p w14:paraId="4C62A8AF" w14:textId="77777777" w:rsidR="00115D45" w:rsidRDefault="00000000">
            <w:pPr>
              <w:pStyle w:val="Compact"/>
            </w:pPr>
            <m:oMathPara>
              <m:oMath>
                <m:r>
                  <m:rPr>
                    <m:sty m:val="b"/>
                  </m:rPr>
                  <w:rPr>
                    <w:rFonts w:ascii="Cambria Math" w:hAnsi="Cambria Math"/>
                  </w:rPr>
                  <m:t>1</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r>
                          <m:rPr>
                            <m:sty m:val="p"/>
                          </m:rPr>
                          <w:rPr>
                            <w:rFonts w:ascii="Cambria Math" w:hAnsi="Cambria Math"/>
                          </w:rPr>
                          <m:t>,</m:t>
                        </m:r>
                        <m:r>
                          <w:rPr>
                            <w:rFonts w:ascii="Cambria Math" w:hAnsi="Cambria Math"/>
                          </w:rPr>
                          <m:t>26</m:t>
                        </m:r>
                        <m:r>
                          <m:rPr>
                            <m:nor/>
                          </m:rPr>
                          <m:t>w</m:t>
                        </m:r>
                      </m:sub>
                    </m:sSub>
                    <m:r>
                      <m:rPr>
                        <m:sty m:val="p"/>
                      </m:rPr>
                      <w:rPr>
                        <w:rFonts w:ascii="Cambria Math" w:hAnsi="Cambria Math"/>
                      </w:rPr>
                      <m:t>+</m:t>
                    </m:r>
                    <m:r>
                      <w:rPr>
                        <w:rFonts w:ascii="Cambria Math" w:hAnsi="Cambria Math"/>
                      </w:rPr>
                      <m:t>2 </m:t>
                    </m:r>
                    <m:sSubSup>
                      <m:sSubSupPr>
                        <m:ctrlPr>
                          <w:rPr>
                            <w:rFonts w:ascii="Cambria Math" w:hAnsi="Cambria Math"/>
                          </w:rPr>
                        </m:ctrlPr>
                      </m:sSubSupPr>
                      <m:e>
                        <m:r>
                          <w:rPr>
                            <w:rFonts w:ascii="Cambria Math" w:hAnsi="Cambria Math"/>
                          </w:rPr>
                          <m:t>σ</m:t>
                        </m:r>
                      </m:e>
                      <m:sub>
                        <m:r>
                          <w:rPr>
                            <w:rFonts w:ascii="Cambria Math" w:hAnsi="Cambria Math"/>
                          </w:rPr>
                          <m:t>i</m:t>
                        </m:r>
                        <m:r>
                          <m:rPr>
                            <m:sty m:val="p"/>
                          </m:rPr>
                          <w:rPr>
                            <w:rFonts w:ascii="Cambria Math" w:hAnsi="Cambria Math"/>
                          </w:rPr>
                          <m:t>,</m:t>
                        </m:r>
                        <m:r>
                          <w:rPr>
                            <w:rFonts w:ascii="Cambria Math" w:hAnsi="Cambria Math"/>
                          </w:rPr>
                          <m:t>26</m:t>
                        </m:r>
                        <m:r>
                          <m:rPr>
                            <m:nor/>
                          </m:rPr>
                          <m:t>w</m:t>
                        </m:r>
                      </m:sub>
                      <m:sup>
                        <m:r>
                          <w:rPr>
                            <w:rFonts w:ascii="Cambria Math" w:hAnsi="Cambria Math"/>
                          </w:rPr>
                          <m:t>c</m:t>
                        </m:r>
                      </m:sup>
                    </m:sSubSup>
                  </m:e>
                </m:d>
              </m:oMath>
            </m:oMathPara>
          </w:p>
        </w:tc>
      </w:tr>
      <w:tr w:rsidR="00115D45" w14:paraId="4C62A8B3" w14:textId="77777777">
        <w:tc>
          <w:tcPr>
            <w:tcW w:w="0" w:type="auto"/>
          </w:tcPr>
          <w:p w14:paraId="4C62A8B1" w14:textId="77777777" w:rsidR="00115D45" w:rsidRDefault="00000000">
            <w:pPr>
              <w:pStyle w:val="Compact"/>
            </w:pPr>
            <w:r>
              <w:rPr>
                <w:rStyle w:val="VerbatimChar"/>
              </w:rPr>
              <w:t>controversy_sector_percentile</w:t>
            </w:r>
          </w:p>
        </w:tc>
        <w:tc>
          <w:tcPr>
            <w:tcW w:w="0" w:type="auto"/>
          </w:tcPr>
          <w:p w14:paraId="4C62A8B2" w14:textId="77777777" w:rsidR="00115D45" w:rsidRDefault="00000000">
            <w:pPr>
              <w:pStyle w:val="Compact"/>
            </w:pPr>
            <w:r>
              <w:t xml:space="preserve">Percentile rank of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within the stock’s sector-week peer group</w:t>
            </w:r>
          </w:p>
        </w:tc>
      </w:tr>
    </w:tbl>
    <w:p w14:paraId="4C62A8B4" w14:textId="77777777" w:rsidR="00115D45" w:rsidRDefault="00000000">
      <w:pPr>
        <w:pStyle w:val="BodyText"/>
      </w:pPr>
      <w:r>
        <w:t xml:space="preserve">The </w:t>
      </w:r>
      <w:r>
        <w:rPr>
          <w:b/>
          <w:bCs/>
        </w:rPr>
        <w:t>controversy spike flag</w:t>
      </w:r>
      <w:r>
        <w:t xml:space="preserve"> is the most direct signal of a sudden negative ESG event: it fires when the current month’s score exceeds the 26-week mean by more than two standard deviations. According to Kim et al. (2014), this type of sharp escalation is precisely when information hoarding is most likely to unwind rapidly.</w:t>
      </w:r>
    </w:p>
    <w:p w14:paraId="4C62A8B5" w14:textId="77777777" w:rsidR="00115D45" w:rsidRDefault="00000000">
      <w:pPr>
        <w:pStyle w:val="Heading3"/>
      </w:pPr>
      <w:bookmarkStart w:id="13" w:name="sql-evidence-queries"/>
      <w:bookmarkEnd w:id="7"/>
      <w:bookmarkEnd w:id="12"/>
      <w:r>
        <w:t>1.5 SQL Evidence Queries</w:t>
      </w:r>
    </w:p>
    <w:p w14:paraId="4C62A8B6" w14:textId="77777777" w:rsidR="00115D45" w:rsidRDefault="00000000">
      <w:pPr>
        <w:pStyle w:val="FirstParagraph"/>
      </w:pPr>
      <w:r>
        <w:t>The pipeline executes five SQL queries against in-memory SQLite tables to validate the dataset and produce evidence for the FDS report. All queries and results from the current run are reproduced below.</w:t>
      </w:r>
    </w:p>
    <w:p w14:paraId="4C62A8B7" w14:textId="77777777" w:rsidR="00115D45" w:rsidRDefault="00000000">
      <w:pPr>
        <w:pStyle w:val="BodyText"/>
      </w:pPr>
      <w:r>
        <w:rPr>
          <w:b/>
          <w:bCs/>
        </w:rPr>
        <w:lastRenderedPageBreak/>
        <w:t>Query 1: Observations by Ticker</w:t>
      </w:r>
    </w:p>
    <w:p w14:paraId="4C62A8B8" w14:textId="77777777" w:rsidR="00115D45" w:rsidRDefault="00000000">
      <w:pPr>
        <w:pStyle w:val="SourceCode"/>
      </w:pPr>
      <w:r>
        <w:rPr>
          <w:rStyle w:val="KeywordTok"/>
        </w:rPr>
        <w:t>SELECT</w:t>
      </w:r>
      <w:r>
        <w:rPr>
          <w:rStyle w:val="NormalTok"/>
        </w:rPr>
        <w:t xml:space="preserve"> ticker,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observations,</w:t>
      </w:r>
      <w:r>
        <w:br/>
      </w:r>
      <w:r>
        <w:rPr>
          <w:rStyle w:val="NormalTok"/>
        </w:rPr>
        <w:t xml:space="preserve">       </w:t>
      </w:r>
      <w:r>
        <w:rPr>
          <w:rStyle w:val="FunctionTok"/>
        </w:rPr>
        <w:t>MIN</w:t>
      </w:r>
      <w:r>
        <w:rPr>
          <w:rStyle w:val="NormalTok"/>
        </w:rPr>
        <w:t>(</w:t>
      </w:r>
      <w:r>
        <w:rPr>
          <w:rStyle w:val="DataTypeTok"/>
        </w:rPr>
        <w:t>date</w:t>
      </w:r>
      <w:r>
        <w:rPr>
          <w:rStyle w:val="NormalTok"/>
        </w:rPr>
        <w:t xml:space="preserve">) </w:t>
      </w:r>
      <w:r>
        <w:rPr>
          <w:rStyle w:val="KeywordTok"/>
        </w:rPr>
        <w:t>AS</w:t>
      </w:r>
      <w:r>
        <w:rPr>
          <w:rStyle w:val="NormalTok"/>
        </w:rPr>
        <w:t xml:space="preserve"> start_date, </w:t>
      </w:r>
      <w:r>
        <w:rPr>
          <w:rStyle w:val="FunctionTok"/>
        </w:rPr>
        <w:t>MAX</w:t>
      </w:r>
      <w:r>
        <w:rPr>
          <w:rStyle w:val="NormalTok"/>
        </w:rPr>
        <w:t>(</w:t>
      </w:r>
      <w:r>
        <w:rPr>
          <w:rStyle w:val="DataTypeTok"/>
        </w:rPr>
        <w:t>date</w:t>
      </w:r>
      <w:r>
        <w:rPr>
          <w:rStyle w:val="NormalTok"/>
        </w:rPr>
        <w:t xml:space="preserve">) </w:t>
      </w:r>
      <w:r>
        <w:rPr>
          <w:rStyle w:val="KeywordTok"/>
        </w:rPr>
        <w:t>AS</w:t>
      </w:r>
      <w:r>
        <w:rPr>
          <w:rStyle w:val="NormalTok"/>
        </w:rPr>
        <w:t xml:space="preserve"> end_date</w:t>
      </w:r>
      <w:r>
        <w:br/>
      </w:r>
      <w:r>
        <w:rPr>
          <w:rStyle w:val="KeywordTok"/>
        </w:rPr>
        <w:t>FROM</w:t>
      </w:r>
      <w:r>
        <w:rPr>
          <w:rStyle w:val="NormalTok"/>
        </w:rPr>
        <w:t xml:space="preserve"> raw_prices</w:t>
      </w:r>
      <w:r>
        <w:br/>
      </w:r>
      <w:r>
        <w:rPr>
          <w:rStyle w:val="KeywordTok"/>
        </w:rPr>
        <w:t>GROUP</w:t>
      </w:r>
      <w:r>
        <w:rPr>
          <w:rStyle w:val="NormalTok"/>
        </w:rPr>
        <w:t xml:space="preserve"> </w:t>
      </w:r>
      <w:r>
        <w:rPr>
          <w:rStyle w:val="KeywordTok"/>
        </w:rPr>
        <w:t>BY</w:t>
      </w:r>
      <w:r>
        <w:rPr>
          <w:rStyle w:val="NormalTok"/>
        </w:rPr>
        <w:t xml:space="preserve"> ticker</w:t>
      </w:r>
      <w:r>
        <w:br/>
      </w:r>
      <w:r>
        <w:rPr>
          <w:rStyle w:val="KeywordTok"/>
        </w:rPr>
        <w:t>ORDER</w:t>
      </w:r>
      <w:r>
        <w:rPr>
          <w:rStyle w:val="NormalTok"/>
        </w:rPr>
        <w:t xml:space="preserve"> </w:t>
      </w:r>
      <w:r>
        <w:rPr>
          <w:rStyle w:val="KeywordTok"/>
        </w:rPr>
        <w:t>BY</w:t>
      </w:r>
      <w:r>
        <w:rPr>
          <w:rStyle w:val="NormalTok"/>
        </w:rPr>
        <w:t xml:space="preserve"> observations </w:t>
      </w:r>
      <w:r>
        <w:rPr>
          <w:rStyle w:val="KeywordTok"/>
        </w:rPr>
        <w:t>DESC</w:t>
      </w:r>
      <w:r>
        <w:rPr>
          <w:rStyle w:val="NormalTok"/>
        </w:rPr>
        <w:t>, ticker</w:t>
      </w:r>
      <w:r>
        <w:br/>
      </w:r>
      <w:r>
        <w:rPr>
          <w:rStyle w:val="KeywordTok"/>
        </w:rPr>
        <w:t>LIMIT</w:t>
      </w:r>
      <w:r>
        <w:rPr>
          <w:rStyle w:val="NormalTok"/>
        </w:rPr>
        <w:t xml:space="preserve"> </w:t>
      </w:r>
      <w:r>
        <w:rPr>
          <w:rStyle w:val="DecValTok"/>
        </w:rPr>
        <w:t>20</w:t>
      </w:r>
      <w:r>
        <w:rPr>
          <w:rStyle w:val="NormalTok"/>
        </w:rPr>
        <w:t>;</w:t>
      </w:r>
    </w:p>
    <w:tbl>
      <w:tblPr>
        <w:tblStyle w:val="Table"/>
        <w:tblW w:w="0" w:type="pct"/>
        <w:tblLook w:val="0020" w:firstRow="1" w:lastRow="0" w:firstColumn="0" w:lastColumn="0" w:noHBand="0" w:noVBand="0"/>
      </w:tblPr>
      <w:tblGrid>
        <w:gridCol w:w="5242"/>
        <w:gridCol w:w="1545"/>
        <w:gridCol w:w="1403"/>
        <w:gridCol w:w="1386"/>
      </w:tblGrid>
      <w:tr w:rsidR="00115D45" w14:paraId="4C62A8B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8B9" w14:textId="77777777" w:rsidR="00115D45" w:rsidRDefault="00000000">
            <w:pPr>
              <w:pStyle w:val="Compact"/>
            </w:pPr>
            <w:r>
              <w:t>ticker</w:t>
            </w:r>
          </w:p>
        </w:tc>
        <w:tc>
          <w:tcPr>
            <w:tcW w:w="0" w:type="auto"/>
          </w:tcPr>
          <w:p w14:paraId="4C62A8BA" w14:textId="77777777" w:rsidR="00115D45" w:rsidRDefault="00000000">
            <w:pPr>
              <w:pStyle w:val="Compact"/>
            </w:pPr>
            <w:r>
              <w:t>observations</w:t>
            </w:r>
          </w:p>
        </w:tc>
        <w:tc>
          <w:tcPr>
            <w:tcW w:w="0" w:type="auto"/>
          </w:tcPr>
          <w:p w14:paraId="4C62A8BB" w14:textId="77777777" w:rsidR="00115D45" w:rsidRDefault="00000000">
            <w:pPr>
              <w:pStyle w:val="Compact"/>
            </w:pPr>
            <w:r>
              <w:t>start_date</w:t>
            </w:r>
          </w:p>
        </w:tc>
        <w:tc>
          <w:tcPr>
            <w:tcW w:w="0" w:type="auto"/>
          </w:tcPr>
          <w:p w14:paraId="4C62A8BC" w14:textId="77777777" w:rsidR="00115D45" w:rsidRDefault="00000000">
            <w:pPr>
              <w:pStyle w:val="Compact"/>
            </w:pPr>
            <w:r>
              <w:t>end_date</w:t>
            </w:r>
          </w:p>
        </w:tc>
      </w:tr>
      <w:tr w:rsidR="00115D45" w14:paraId="4C62A8C2" w14:textId="77777777">
        <w:tc>
          <w:tcPr>
            <w:tcW w:w="0" w:type="auto"/>
          </w:tcPr>
          <w:p w14:paraId="4C62A8BE" w14:textId="77777777" w:rsidR="00115D45" w:rsidRDefault="00000000">
            <w:pPr>
              <w:pStyle w:val="Compact"/>
            </w:pPr>
            <w:r>
              <w:t>AAPL</w:t>
            </w:r>
          </w:p>
        </w:tc>
        <w:tc>
          <w:tcPr>
            <w:tcW w:w="0" w:type="auto"/>
          </w:tcPr>
          <w:p w14:paraId="4C62A8BF" w14:textId="77777777" w:rsidR="00115D45" w:rsidRDefault="00000000">
            <w:pPr>
              <w:pStyle w:val="Compact"/>
            </w:pPr>
            <w:r>
              <w:t>1,509</w:t>
            </w:r>
          </w:p>
        </w:tc>
        <w:tc>
          <w:tcPr>
            <w:tcW w:w="0" w:type="auto"/>
          </w:tcPr>
          <w:p w14:paraId="4C62A8C0" w14:textId="77777777" w:rsidR="00115D45" w:rsidRDefault="00000000">
            <w:pPr>
              <w:pStyle w:val="Compact"/>
            </w:pPr>
            <w:r>
              <w:t>2019-01-02</w:t>
            </w:r>
          </w:p>
        </w:tc>
        <w:tc>
          <w:tcPr>
            <w:tcW w:w="0" w:type="auto"/>
          </w:tcPr>
          <w:p w14:paraId="4C62A8C1" w14:textId="77777777" w:rsidR="00115D45" w:rsidRDefault="00000000">
            <w:pPr>
              <w:pStyle w:val="Compact"/>
            </w:pPr>
            <w:r>
              <w:t>2024-12-30</w:t>
            </w:r>
          </w:p>
        </w:tc>
      </w:tr>
      <w:tr w:rsidR="00115D45" w14:paraId="4C62A8C7" w14:textId="77777777">
        <w:tc>
          <w:tcPr>
            <w:tcW w:w="0" w:type="auto"/>
          </w:tcPr>
          <w:p w14:paraId="4C62A8C3" w14:textId="77777777" w:rsidR="00115D45" w:rsidRDefault="00000000">
            <w:pPr>
              <w:pStyle w:val="Compact"/>
            </w:pPr>
            <w:r>
              <w:t>ABBV</w:t>
            </w:r>
          </w:p>
        </w:tc>
        <w:tc>
          <w:tcPr>
            <w:tcW w:w="0" w:type="auto"/>
          </w:tcPr>
          <w:p w14:paraId="4C62A8C4" w14:textId="77777777" w:rsidR="00115D45" w:rsidRDefault="00000000">
            <w:pPr>
              <w:pStyle w:val="Compact"/>
            </w:pPr>
            <w:r>
              <w:t>1,509</w:t>
            </w:r>
          </w:p>
        </w:tc>
        <w:tc>
          <w:tcPr>
            <w:tcW w:w="0" w:type="auto"/>
          </w:tcPr>
          <w:p w14:paraId="4C62A8C5" w14:textId="77777777" w:rsidR="00115D45" w:rsidRDefault="00000000">
            <w:pPr>
              <w:pStyle w:val="Compact"/>
            </w:pPr>
            <w:r>
              <w:t>2019-01-02</w:t>
            </w:r>
          </w:p>
        </w:tc>
        <w:tc>
          <w:tcPr>
            <w:tcW w:w="0" w:type="auto"/>
          </w:tcPr>
          <w:p w14:paraId="4C62A8C6" w14:textId="77777777" w:rsidR="00115D45" w:rsidRDefault="00000000">
            <w:pPr>
              <w:pStyle w:val="Compact"/>
            </w:pPr>
            <w:r>
              <w:t>2024-12-30</w:t>
            </w:r>
          </w:p>
        </w:tc>
      </w:tr>
      <w:tr w:rsidR="00115D45" w14:paraId="4C62A8CC" w14:textId="77777777">
        <w:tc>
          <w:tcPr>
            <w:tcW w:w="0" w:type="auto"/>
          </w:tcPr>
          <w:p w14:paraId="4C62A8C8" w14:textId="77777777" w:rsidR="00115D45" w:rsidRDefault="00000000">
            <w:pPr>
              <w:pStyle w:val="Compact"/>
            </w:pPr>
            <w:r>
              <w:t>ADBE</w:t>
            </w:r>
          </w:p>
        </w:tc>
        <w:tc>
          <w:tcPr>
            <w:tcW w:w="0" w:type="auto"/>
          </w:tcPr>
          <w:p w14:paraId="4C62A8C9" w14:textId="77777777" w:rsidR="00115D45" w:rsidRDefault="00000000">
            <w:pPr>
              <w:pStyle w:val="Compact"/>
            </w:pPr>
            <w:r>
              <w:t>1,509</w:t>
            </w:r>
          </w:p>
        </w:tc>
        <w:tc>
          <w:tcPr>
            <w:tcW w:w="0" w:type="auto"/>
          </w:tcPr>
          <w:p w14:paraId="4C62A8CA" w14:textId="77777777" w:rsidR="00115D45" w:rsidRDefault="00000000">
            <w:pPr>
              <w:pStyle w:val="Compact"/>
            </w:pPr>
            <w:r>
              <w:t>2019-01-02</w:t>
            </w:r>
          </w:p>
        </w:tc>
        <w:tc>
          <w:tcPr>
            <w:tcW w:w="0" w:type="auto"/>
          </w:tcPr>
          <w:p w14:paraId="4C62A8CB" w14:textId="77777777" w:rsidR="00115D45" w:rsidRDefault="00000000">
            <w:pPr>
              <w:pStyle w:val="Compact"/>
            </w:pPr>
            <w:r>
              <w:t>2024-12-30</w:t>
            </w:r>
          </w:p>
        </w:tc>
      </w:tr>
      <w:tr w:rsidR="00115D45" w14:paraId="4C62A8D1" w14:textId="77777777">
        <w:tc>
          <w:tcPr>
            <w:tcW w:w="0" w:type="auto"/>
          </w:tcPr>
          <w:p w14:paraId="4C62A8CD" w14:textId="77777777" w:rsidR="00115D45" w:rsidRDefault="00000000">
            <w:pPr>
              <w:pStyle w:val="Compact"/>
            </w:pPr>
            <w:r>
              <w:t>AMD</w:t>
            </w:r>
          </w:p>
        </w:tc>
        <w:tc>
          <w:tcPr>
            <w:tcW w:w="0" w:type="auto"/>
          </w:tcPr>
          <w:p w14:paraId="4C62A8CE" w14:textId="77777777" w:rsidR="00115D45" w:rsidRDefault="00000000">
            <w:pPr>
              <w:pStyle w:val="Compact"/>
            </w:pPr>
            <w:r>
              <w:t>1,509</w:t>
            </w:r>
          </w:p>
        </w:tc>
        <w:tc>
          <w:tcPr>
            <w:tcW w:w="0" w:type="auto"/>
          </w:tcPr>
          <w:p w14:paraId="4C62A8CF" w14:textId="77777777" w:rsidR="00115D45" w:rsidRDefault="00000000">
            <w:pPr>
              <w:pStyle w:val="Compact"/>
            </w:pPr>
            <w:r>
              <w:t>2019-01-02</w:t>
            </w:r>
          </w:p>
        </w:tc>
        <w:tc>
          <w:tcPr>
            <w:tcW w:w="0" w:type="auto"/>
          </w:tcPr>
          <w:p w14:paraId="4C62A8D0" w14:textId="77777777" w:rsidR="00115D45" w:rsidRDefault="00000000">
            <w:pPr>
              <w:pStyle w:val="Compact"/>
            </w:pPr>
            <w:r>
              <w:t>2024-12-30</w:t>
            </w:r>
          </w:p>
        </w:tc>
      </w:tr>
      <w:tr w:rsidR="00115D45" w14:paraId="4C62A8D6" w14:textId="77777777">
        <w:tc>
          <w:tcPr>
            <w:tcW w:w="0" w:type="auto"/>
          </w:tcPr>
          <w:p w14:paraId="4C62A8D2" w14:textId="77777777" w:rsidR="00115D45" w:rsidRDefault="00000000">
            <w:pPr>
              <w:pStyle w:val="Compact"/>
            </w:pPr>
            <w:r>
              <w:t>AMZN</w:t>
            </w:r>
          </w:p>
        </w:tc>
        <w:tc>
          <w:tcPr>
            <w:tcW w:w="0" w:type="auto"/>
          </w:tcPr>
          <w:p w14:paraId="4C62A8D3" w14:textId="77777777" w:rsidR="00115D45" w:rsidRDefault="00000000">
            <w:pPr>
              <w:pStyle w:val="Compact"/>
            </w:pPr>
            <w:r>
              <w:t>1,509</w:t>
            </w:r>
          </w:p>
        </w:tc>
        <w:tc>
          <w:tcPr>
            <w:tcW w:w="0" w:type="auto"/>
          </w:tcPr>
          <w:p w14:paraId="4C62A8D4" w14:textId="77777777" w:rsidR="00115D45" w:rsidRDefault="00000000">
            <w:pPr>
              <w:pStyle w:val="Compact"/>
            </w:pPr>
            <w:r>
              <w:t>2019-01-02</w:t>
            </w:r>
          </w:p>
        </w:tc>
        <w:tc>
          <w:tcPr>
            <w:tcW w:w="0" w:type="auto"/>
          </w:tcPr>
          <w:p w14:paraId="4C62A8D5" w14:textId="77777777" w:rsidR="00115D45" w:rsidRDefault="00000000">
            <w:pPr>
              <w:pStyle w:val="Compact"/>
            </w:pPr>
            <w:r>
              <w:t>2024-12-30</w:t>
            </w:r>
          </w:p>
        </w:tc>
      </w:tr>
      <w:tr w:rsidR="00115D45" w14:paraId="4C62A8DB" w14:textId="77777777">
        <w:tc>
          <w:tcPr>
            <w:tcW w:w="0" w:type="auto"/>
          </w:tcPr>
          <w:p w14:paraId="4C62A8D7" w14:textId="77777777" w:rsidR="00115D45" w:rsidRDefault="00000000">
            <w:pPr>
              <w:pStyle w:val="Compact"/>
            </w:pPr>
            <w:r>
              <w:t>BA</w:t>
            </w:r>
          </w:p>
        </w:tc>
        <w:tc>
          <w:tcPr>
            <w:tcW w:w="0" w:type="auto"/>
          </w:tcPr>
          <w:p w14:paraId="4C62A8D8" w14:textId="77777777" w:rsidR="00115D45" w:rsidRDefault="00000000">
            <w:pPr>
              <w:pStyle w:val="Compact"/>
            </w:pPr>
            <w:r>
              <w:t>1,509</w:t>
            </w:r>
          </w:p>
        </w:tc>
        <w:tc>
          <w:tcPr>
            <w:tcW w:w="0" w:type="auto"/>
          </w:tcPr>
          <w:p w14:paraId="4C62A8D9" w14:textId="77777777" w:rsidR="00115D45" w:rsidRDefault="00000000">
            <w:pPr>
              <w:pStyle w:val="Compact"/>
            </w:pPr>
            <w:r>
              <w:t>2019-01-02</w:t>
            </w:r>
          </w:p>
        </w:tc>
        <w:tc>
          <w:tcPr>
            <w:tcW w:w="0" w:type="auto"/>
          </w:tcPr>
          <w:p w14:paraId="4C62A8DA" w14:textId="77777777" w:rsidR="00115D45" w:rsidRDefault="00000000">
            <w:pPr>
              <w:pStyle w:val="Compact"/>
            </w:pPr>
            <w:r>
              <w:t>2024-12-30</w:t>
            </w:r>
          </w:p>
        </w:tc>
      </w:tr>
      <w:tr w:rsidR="00115D45" w14:paraId="4C62A8E0" w14:textId="77777777">
        <w:tc>
          <w:tcPr>
            <w:tcW w:w="0" w:type="auto"/>
          </w:tcPr>
          <w:p w14:paraId="4C62A8DC" w14:textId="77777777" w:rsidR="00115D45" w:rsidRDefault="00000000">
            <w:pPr>
              <w:pStyle w:val="Compact"/>
            </w:pPr>
            <w:r>
              <w:t>… (20 rows shown, all 50 tickers have complete histories)</w:t>
            </w:r>
          </w:p>
        </w:tc>
        <w:tc>
          <w:tcPr>
            <w:tcW w:w="0" w:type="auto"/>
          </w:tcPr>
          <w:p w14:paraId="4C62A8DD" w14:textId="77777777" w:rsidR="00115D45" w:rsidRDefault="00115D45"/>
        </w:tc>
        <w:tc>
          <w:tcPr>
            <w:tcW w:w="0" w:type="auto"/>
          </w:tcPr>
          <w:p w14:paraId="4C62A8DE" w14:textId="77777777" w:rsidR="00115D45" w:rsidRDefault="00115D45"/>
        </w:tc>
        <w:tc>
          <w:tcPr>
            <w:tcW w:w="0" w:type="auto"/>
          </w:tcPr>
          <w:p w14:paraId="4C62A8DF" w14:textId="77777777" w:rsidR="00115D45" w:rsidRDefault="00115D45"/>
        </w:tc>
      </w:tr>
    </w:tbl>
    <w:p w14:paraId="4C62A8E1" w14:textId="77777777" w:rsidR="00115D45" w:rsidRDefault="00000000">
      <w:pPr>
        <w:pStyle w:val="BodyText"/>
      </w:pPr>
      <w:r>
        <w:t>Every stock has exactly 1,509 daily price observations, confirming a complete, balanced panel with no survivorship gaps.</w:t>
      </w:r>
    </w:p>
    <w:p w14:paraId="4C62A8E2" w14:textId="77777777" w:rsidR="00115D45" w:rsidRDefault="00000000">
      <w:pPr>
        <w:pStyle w:val="BodyText"/>
      </w:pPr>
      <w:r>
        <w:rPr>
          <w:b/>
          <w:bCs/>
        </w:rPr>
        <w:t>Query 2: Sector Controversy Summary</w:t>
      </w:r>
    </w:p>
    <w:p w14:paraId="4C62A8E3" w14:textId="77777777" w:rsidR="00115D45" w:rsidRDefault="00000000">
      <w:pPr>
        <w:pStyle w:val="SourceCode"/>
      </w:pPr>
      <w:r>
        <w:rPr>
          <w:rStyle w:val="KeywordTok"/>
        </w:rPr>
        <w:t>SELECT</w:t>
      </w:r>
      <w:r>
        <w:rPr>
          <w:rStyle w:val="NormalTok"/>
        </w:rPr>
        <w:t xml:space="preserve"> sector,</w:t>
      </w:r>
      <w:r>
        <w:br/>
      </w:r>
      <w:r>
        <w:rPr>
          <w:rStyle w:val="NormalTok"/>
        </w:rPr>
        <w:t xml:space="preserve">       </w:t>
      </w:r>
      <w:r>
        <w:rPr>
          <w:rStyle w:val="FunctionTok"/>
        </w:rPr>
        <w:t>COUNT</w:t>
      </w:r>
      <w:r>
        <w:rPr>
          <w:rStyle w:val="NormalTok"/>
        </w:rPr>
        <w:t>(</w:t>
      </w:r>
      <w:r>
        <w:rPr>
          <w:rStyle w:val="KeywordTok"/>
        </w:rPr>
        <w:t>DISTINCT</w:t>
      </w:r>
      <w:r>
        <w:rPr>
          <w:rStyle w:val="NormalTok"/>
        </w:rPr>
        <w:t xml:space="preserve"> ticker) </w:t>
      </w:r>
      <w:r>
        <w:rPr>
          <w:rStyle w:val="KeywordTok"/>
        </w:rPr>
        <w:t>AS</w:t>
      </w:r>
      <w:r>
        <w:rPr>
          <w:rStyle w:val="NormalTok"/>
        </w:rPr>
        <w:t xml:space="preserve"> tickers,</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records,</w:t>
      </w:r>
      <w:r>
        <w:br/>
      </w:r>
      <w:r>
        <w:rPr>
          <w:rStyle w:val="NormalTok"/>
        </w:rPr>
        <w:t xml:space="preserve">       </w:t>
      </w:r>
      <w:r>
        <w:rPr>
          <w:rStyle w:val="FunctionTok"/>
        </w:rPr>
        <w:t>AVG</w:t>
      </w:r>
      <w:r>
        <w:rPr>
          <w:rStyle w:val="NormalTok"/>
        </w:rPr>
        <w:t xml:space="preserve">(controversy_score) </w:t>
      </w:r>
      <w:r>
        <w:rPr>
          <w:rStyle w:val="KeywordTok"/>
        </w:rPr>
        <w:t>AS</w:t>
      </w:r>
      <w:r>
        <w:rPr>
          <w:rStyle w:val="NormalTok"/>
        </w:rPr>
        <w:t xml:space="preserve"> avg_controversy_score</w:t>
      </w:r>
      <w:r>
        <w:br/>
      </w:r>
      <w:r>
        <w:rPr>
          <w:rStyle w:val="KeywordTok"/>
        </w:rPr>
        <w:t>FROM</w:t>
      </w:r>
      <w:r>
        <w:rPr>
          <w:rStyle w:val="NormalTok"/>
        </w:rPr>
        <w:t xml:space="preserve"> raw_controversies</w:t>
      </w:r>
      <w:r>
        <w:br/>
      </w:r>
      <w:r>
        <w:rPr>
          <w:rStyle w:val="KeywordTok"/>
        </w:rPr>
        <w:t>GROUP</w:t>
      </w:r>
      <w:r>
        <w:rPr>
          <w:rStyle w:val="NormalTok"/>
        </w:rPr>
        <w:t xml:space="preserve"> </w:t>
      </w:r>
      <w:r>
        <w:rPr>
          <w:rStyle w:val="KeywordTok"/>
        </w:rPr>
        <w:t>BY</w:t>
      </w:r>
      <w:r>
        <w:rPr>
          <w:rStyle w:val="NormalTok"/>
        </w:rPr>
        <w:t xml:space="preserve"> sector</w:t>
      </w:r>
      <w:r>
        <w:br/>
      </w:r>
      <w:r>
        <w:rPr>
          <w:rStyle w:val="KeywordTok"/>
        </w:rPr>
        <w:t>ORDER</w:t>
      </w:r>
      <w:r>
        <w:rPr>
          <w:rStyle w:val="NormalTok"/>
        </w:rPr>
        <w:t xml:space="preserve"> </w:t>
      </w:r>
      <w:r>
        <w:rPr>
          <w:rStyle w:val="KeywordTok"/>
        </w:rPr>
        <w:t>BY</w:t>
      </w:r>
      <w:r>
        <w:rPr>
          <w:rStyle w:val="NormalTok"/>
        </w:rPr>
        <w:t xml:space="preserve"> avg_controversy_score </w:t>
      </w:r>
      <w:r>
        <w:rPr>
          <w:rStyle w:val="KeywordTok"/>
        </w:rPr>
        <w:t>DESC</w:t>
      </w:r>
      <w:r>
        <w:rPr>
          <w:rStyle w:val="NormalTok"/>
        </w:rPr>
        <w:t>;</w:t>
      </w:r>
    </w:p>
    <w:tbl>
      <w:tblPr>
        <w:tblStyle w:val="Table"/>
        <w:tblW w:w="0" w:type="pct"/>
        <w:tblLook w:val="0020" w:firstRow="1" w:lastRow="0" w:firstColumn="0" w:lastColumn="0" w:noHBand="0" w:noVBand="0"/>
      </w:tblPr>
      <w:tblGrid>
        <w:gridCol w:w="2746"/>
        <w:gridCol w:w="977"/>
        <w:gridCol w:w="1051"/>
        <w:gridCol w:w="1227"/>
      </w:tblGrid>
      <w:tr w:rsidR="00115D45" w14:paraId="4C62A8E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8E4" w14:textId="77777777" w:rsidR="00115D45" w:rsidRDefault="00000000">
            <w:pPr>
              <w:pStyle w:val="Compact"/>
            </w:pPr>
            <w:r>
              <w:t>Sector</w:t>
            </w:r>
          </w:p>
        </w:tc>
        <w:tc>
          <w:tcPr>
            <w:tcW w:w="0" w:type="auto"/>
          </w:tcPr>
          <w:p w14:paraId="4C62A8E5" w14:textId="77777777" w:rsidR="00115D45" w:rsidRDefault="00000000">
            <w:pPr>
              <w:pStyle w:val="Compact"/>
            </w:pPr>
            <w:r>
              <w:t>Tickers</w:t>
            </w:r>
          </w:p>
        </w:tc>
        <w:tc>
          <w:tcPr>
            <w:tcW w:w="0" w:type="auto"/>
          </w:tcPr>
          <w:p w14:paraId="4C62A8E6" w14:textId="77777777" w:rsidR="00115D45" w:rsidRDefault="00000000">
            <w:pPr>
              <w:pStyle w:val="Compact"/>
            </w:pPr>
            <w:r>
              <w:t>Records</w:t>
            </w:r>
          </w:p>
        </w:tc>
        <w:tc>
          <w:tcPr>
            <w:tcW w:w="0" w:type="auto"/>
          </w:tcPr>
          <w:p w14:paraId="4C62A8E7" w14:textId="77777777" w:rsidR="00115D45" w:rsidRDefault="00000000">
            <w:pPr>
              <w:pStyle w:val="Compact"/>
            </w:pPr>
            <w:r>
              <w:t>Avg Score</w:t>
            </w:r>
          </w:p>
        </w:tc>
      </w:tr>
      <w:tr w:rsidR="00115D45" w14:paraId="4C62A8ED" w14:textId="77777777">
        <w:tc>
          <w:tcPr>
            <w:tcW w:w="0" w:type="auto"/>
          </w:tcPr>
          <w:p w14:paraId="4C62A8E9" w14:textId="77777777" w:rsidR="00115D45" w:rsidRDefault="00000000">
            <w:pPr>
              <w:pStyle w:val="Compact"/>
            </w:pPr>
            <w:r>
              <w:t>Energy</w:t>
            </w:r>
          </w:p>
        </w:tc>
        <w:tc>
          <w:tcPr>
            <w:tcW w:w="0" w:type="auto"/>
          </w:tcPr>
          <w:p w14:paraId="4C62A8EA" w14:textId="77777777" w:rsidR="00115D45" w:rsidRDefault="00000000">
            <w:pPr>
              <w:pStyle w:val="Compact"/>
            </w:pPr>
            <w:r>
              <w:t>5</w:t>
            </w:r>
          </w:p>
        </w:tc>
        <w:tc>
          <w:tcPr>
            <w:tcW w:w="0" w:type="auto"/>
          </w:tcPr>
          <w:p w14:paraId="4C62A8EB" w14:textId="77777777" w:rsidR="00115D45" w:rsidRDefault="00000000">
            <w:pPr>
              <w:pStyle w:val="Compact"/>
            </w:pPr>
            <w:r>
              <w:t>360</w:t>
            </w:r>
          </w:p>
        </w:tc>
        <w:tc>
          <w:tcPr>
            <w:tcW w:w="0" w:type="auto"/>
          </w:tcPr>
          <w:p w14:paraId="4C62A8EC" w14:textId="77777777" w:rsidR="00115D45" w:rsidRDefault="00000000">
            <w:pPr>
              <w:pStyle w:val="Compact"/>
            </w:pPr>
            <w:r>
              <w:t>5.93</w:t>
            </w:r>
          </w:p>
        </w:tc>
      </w:tr>
      <w:tr w:rsidR="00115D45" w14:paraId="4C62A8F2" w14:textId="77777777">
        <w:tc>
          <w:tcPr>
            <w:tcW w:w="0" w:type="auto"/>
          </w:tcPr>
          <w:p w14:paraId="4C62A8EE" w14:textId="77777777" w:rsidR="00115D45" w:rsidRDefault="00000000">
            <w:pPr>
              <w:pStyle w:val="Compact"/>
            </w:pPr>
            <w:r>
              <w:t>Financial Services</w:t>
            </w:r>
          </w:p>
        </w:tc>
        <w:tc>
          <w:tcPr>
            <w:tcW w:w="0" w:type="auto"/>
          </w:tcPr>
          <w:p w14:paraId="4C62A8EF" w14:textId="77777777" w:rsidR="00115D45" w:rsidRDefault="00000000">
            <w:pPr>
              <w:pStyle w:val="Compact"/>
            </w:pPr>
            <w:r>
              <w:t>7</w:t>
            </w:r>
          </w:p>
        </w:tc>
        <w:tc>
          <w:tcPr>
            <w:tcW w:w="0" w:type="auto"/>
          </w:tcPr>
          <w:p w14:paraId="4C62A8F0" w14:textId="77777777" w:rsidR="00115D45" w:rsidRDefault="00000000">
            <w:pPr>
              <w:pStyle w:val="Compact"/>
            </w:pPr>
            <w:r>
              <w:t>504</w:t>
            </w:r>
          </w:p>
        </w:tc>
        <w:tc>
          <w:tcPr>
            <w:tcW w:w="0" w:type="auto"/>
          </w:tcPr>
          <w:p w14:paraId="4C62A8F1" w14:textId="77777777" w:rsidR="00115D45" w:rsidRDefault="00000000">
            <w:pPr>
              <w:pStyle w:val="Compact"/>
            </w:pPr>
            <w:r>
              <w:t>5.77</w:t>
            </w:r>
          </w:p>
        </w:tc>
      </w:tr>
      <w:tr w:rsidR="00115D45" w14:paraId="4C62A8F7" w14:textId="77777777">
        <w:tc>
          <w:tcPr>
            <w:tcW w:w="0" w:type="auto"/>
          </w:tcPr>
          <w:p w14:paraId="4C62A8F3" w14:textId="77777777" w:rsidR="00115D45" w:rsidRDefault="00000000">
            <w:pPr>
              <w:pStyle w:val="Compact"/>
            </w:pPr>
            <w:r>
              <w:t>Industrials</w:t>
            </w:r>
          </w:p>
        </w:tc>
        <w:tc>
          <w:tcPr>
            <w:tcW w:w="0" w:type="auto"/>
          </w:tcPr>
          <w:p w14:paraId="4C62A8F4" w14:textId="77777777" w:rsidR="00115D45" w:rsidRDefault="00000000">
            <w:pPr>
              <w:pStyle w:val="Compact"/>
            </w:pPr>
            <w:r>
              <w:t>5</w:t>
            </w:r>
          </w:p>
        </w:tc>
        <w:tc>
          <w:tcPr>
            <w:tcW w:w="0" w:type="auto"/>
          </w:tcPr>
          <w:p w14:paraId="4C62A8F5" w14:textId="77777777" w:rsidR="00115D45" w:rsidRDefault="00000000">
            <w:pPr>
              <w:pStyle w:val="Compact"/>
            </w:pPr>
            <w:r>
              <w:t>360</w:t>
            </w:r>
          </w:p>
        </w:tc>
        <w:tc>
          <w:tcPr>
            <w:tcW w:w="0" w:type="auto"/>
          </w:tcPr>
          <w:p w14:paraId="4C62A8F6" w14:textId="77777777" w:rsidR="00115D45" w:rsidRDefault="00000000">
            <w:pPr>
              <w:pStyle w:val="Compact"/>
            </w:pPr>
            <w:r>
              <w:t>5.30</w:t>
            </w:r>
          </w:p>
        </w:tc>
      </w:tr>
      <w:tr w:rsidR="00115D45" w14:paraId="4C62A8FC" w14:textId="77777777">
        <w:tc>
          <w:tcPr>
            <w:tcW w:w="0" w:type="auto"/>
          </w:tcPr>
          <w:p w14:paraId="4C62A8F8" w14:textId="77777777" w:rsidR="00115D45" w:rsidRDefault="00000000">
            <w:pPr>
              <w:pStyle w:val="Compact"/>
            </w:pPr>
            <w:r>
              <w:t>Communication Services</w:t>
            </w:r>
          </w:p>
        </w:tc>
        <w:tc>
          <w:tcPr>
            <w:tcW w:w="0" w:type="auto"/>
          </w:tcPr>
          <w:p w14:paraId="4C62A8F9" w14:textId="77777777" w:rsidR="00115D45" w:rsidRDefault="00000000">
            <w:pPr>
              <w:pStyle w:val="Compact"/>
            </w:pPr>
            <w:r>
              <w:t>4</w:t>
            </w:r>
          </w:p>
        </w:tc>
        <w:tc>
          <w:tcPr>
            <w:tcW w:w="0" w:type="auto"/>
          </w:tcPr>
          <w:p w14:paraId="4C62A8FA" w14:textId="77777777" w:rsidR="00115D45" w:rsidRDefault="00000000">
            <w:pPr>
              <w:pStyle w:val="Compact"/>
            </w:pPr>
            <w:r>
              <w:t>288</w:t>
            </w:r>
          </w:p>
        </w:tc>
        <w:tc>
          <w:tcPr>
            <w:tcW w:w="0" w:type="auto"/>
          </w:tcPr>
          <w:p w14:paraId="4C62A8FB" w14:textId="77777777" w:rsidR="00115D45" w:rsidRDefault="00000000">
            <w:pPr>
              <w:pStyle w:val="Compact"/>
            </w:pPr>
            <w:r>
              <w:t>4.88</w:t>
            </w:r>
          </w:p>
        </w:tc>
      </w:tr>
      <w:tr w:rsidR="00115D45" w14:paraId="4C62A901" w14:textId="77777777">
        <w:tc>
          <w:tcPr>
            <w:tcW w:w="0" w:type="auto"/>
          </w:tcPr>
          <w:p w14:paraId="4C62A8FD" w14:textId="77777777" w:rsidR="00115D45" w:rsidRDefault="00000000">
            <w:pPr>
              <w:pStyle w:val="Compact"/>
            </w:pPr>
            <w:r>
              <w:t>Consumer Cyclical</w:t>
            </w:r>
          </w:p>
        </w:tc>
        <w:tc>
          <w:tcPr>
            <w:tcW w:w="0" w:type="auto"/>
          </w:tcPr>
          <w:p w14:paraId="4C62A8FE" w14:textId="77777777" w:rsidR="00115D45" w:rsidRDefault="00000000">
            <w:pPr>
              <w:pStyle w:val="Compact"/>
            </w:pPr>
            <w:r>
              <w:t>6</w:t>
            </w:r>
          </w:p>
        </w:tc>
        <w:tc>
          <w:tcPr>
            <w:tcW w:w="0" w:type="auto"/>
          </w:tcPr>
          <w:p w14:paraId="4C62A8FF" w14:textId="77777777" w:rsidR="00115D45" w:rsidRDefault="00000000">
            <w:pPr>
              <w:pStyle w:val="Compact"/>
            </w:pPr>
            <w:r>
              <w:t>432</w:t>
            </w:r>
          </w:p>
        </w:tc>
        <w:tc>
          <w:tcPr>
            <w:tcW w:w="0" w:type="auto"/>
          </w:tcPr>
          <w:p w14:paraId="4C62A900" w14:textId="77777777" w:rsidR="00115D45" w:rsidRDefault="00000000">
            <w:pPr>
              <w:pStyle w:val="Compact"/>
            </w:pPr>
            <w:r>
              <w:t>4.62</w:t>
            </w:r>
          </w:p>
        </w:tc>
      </w:tr>
      <w:tr w:rsidR="00115D45" w14:paraId="4C62A906" w14:textId="77777777">
        <w:tc>
          <w:tcPr>
            <w:tcW w:w="0" w:type="auto"/>
          </w:tcPr>
          <w:p w14:paraId="4C62A902" w14:textId="77777777" w:rsidR="00115D45" w:rsidRDefault="00000000">
            <w:pPr>
              <w:pStyle w:val="Compact"/>
            </w:pPr>
            <w:r>
              <w:t>Technology</w:t>
            </w:r>
          </w:p>
        </w:tc>
        <w:tc>
          <w:tcPr>
            <w:tcW w:w="0" w:type="auto"/>
          </w:tcPr>
          <w:p w14:paraId="4C62A903" w14:textId="77777777" w:rsidR="00115D45" w:rsidRDefault="00000000">
            <w:pPr>
              <w:pStyle w:val="Compact"/>
            </w:pPr>
            <w:r>
              <w:t>8</w:t>
            </w:r>
          </w:p>
        </w:tc>
        <w:tc>
          <w:tcPr>
            <w:tcW w:w="0" w:type="auto"/>
          </w:tcPr>
          <w:p w14:paraId="4C62A904" w14:textId="77777777" w:rsidR="00115D45" w:rsidRDefault="00000000">
            <w:pPr>
              <w:pStyle w:val="Compact"/>
            </w:pPr>
            <w:r>
              <w:t>576</w:t>
            </w:r>
          </w:p>
        </w:tc>
        <w:tc>
          <w:tcPr>
            <w:tcW w:w="0" w:type="auto"/>
          </w:tcPr>
          <w:p w14:paraId="4C62A905" w14:textId="77777777" w:rsidR="00115D45" w:rsidRDefault="00000000">
            <w:pPr>
              <w:pStyle w:val="Compact"/>
            </w:pPr>
            <w:r>
              <w:t>4.36</w:t>
            </w:r>
          </w:p>
        </w:tc>
      </w:tr>
      <w:tr w:rsidR="00115D45" w14:paraId="4C62A90B" w14:textId="77777777">
        <w:tc>
          <w:tcPr>
            <w:tcW w:w="0" w:type="auto"/>
          </w:tcPr>
          <w:p w14:paraId="4C62A907" w14:textId="77777777" w:rsidR="00115D45" w:rsidRDefault="00000000">
            <w:pPr>
              <w:pStyle w:val="Compact"/>
            </w:pPr>
            <w:r>
              <w:lastRenderedPageBreak/>
              <w:t>Basic Materials</w:t>
            </w:r>
          </w:p>
        </w:tc>
        <w:tc>
          <w:tcPr>
            <w:tcW w:w="0" w:type="auto"/>
          </w:tcPr>
          <w:p w14:paraId="4C62A908" w14:textId="77777777" w:rsidR="00115D45" w:rsidRDefault="00000000">
            <w:pPr>
              <w:pStyle w:val="Compact"/>
            </w:pPr>
            <w:r>
              <w:t>2</w:t>
            </w:r>
          </w:p>
        </w:tc>
        <w:tc>
          <w:tcPr>
            <w:tcW w:w="0" w:type="auto"/>
          </w:tcPr>
          <w:p w14:paraId="4C62A909" w14:textId="77777777" w:rsidR="00115D45" w:rsidRDefault="00000000">
            <w:pPr>
              <w:pStyle w:val="Compact"/>
            </w:pPr>
            <w:r>
              <w:t>144</w:t>
            </w:r>
          </w:p>
        </w:tc>
        <w:tc>
          <w:tcPr>
            <w:tcW w:w="0" w:type="auto"/>
          </w:tcPr>
          <w:p w14:paraId="4C62A90A" w14:textId="77777777" w:rsidR="00115D45" w:rsidRDefault="00000000">
            <w:pPr>
              <w:pStyle w:val="Compact"/>
            </w:pPr>
            <w:r>
              <w:t>4.32</w:t>
            </w:r>
          </w:p>
        </w:tc>
      </w:tr>
      <w:tr w:rsidR="00115D45" w14:paraId="4C62A910" w14:textId="77777777">
        <w:tc>
          <w:tcPr>
            <w:tcW w:w="0" w:type="auto"/>
          </w:tcPr>
          <w:p w14:paraId="4C62A90C" w14:textId="77777777" w:rsidR="00115D45" w:rsidRDefault="00000000">
            <w:pPr>
              <w:pStyle w:val="Compact"/>
            </w:pPr>
            <w:r>
              <w:t>Healthcare</w:t>
            </w:r>
          </w:p>
        </w:tc>
        <w:tc>
          <w:tcPr>
            <w:tcW w:w="0" w:type="auto"/>
          </w:tcPr>
          <w:p w14:paraId="4C62A90D" w14:textId="77777777" w:rsidR="00115D45" w:rsidRDefault="00000000">
            <w:pPr>
              <w:pStyle w:val="Compact"/>
            </w:pPr>
            <w:r>
              <w:t>6</w:t>
            </w:r>
          </w:p>
        </w:tc>
        <w:tc>
          <w:tcPr>
            <w:tcW w:w="0" w:type="auto"/>
          </w:tcPr>
          <w:p w14:paraId="4C62A90E" w14:textId="77777777" w:rsidR="00115D45" w:rsidRDefault="00000000">
            <w:pPr>
              <w:pStyle w:val="Compact"/>
            </w:pPr>
            <w:r>
              <w:t>432</w:t>
            </w:r>
          </w:p>
        </w:tc>
        <w:tc>
          <w:tcPr>
            <w:tcW w:w="0" w:type="auto"/>
          </w:tcPr>
          <w:p w14:paraId="4C62A90F" w14:textId="77777777" w:rsidR="00115D45" w:rsidRDefault="00000000">
            <w:pPr>
              <w:pStyle w:val="Compact"/>
            </w:pPr>
            <w:r>
              <w:t>4.23</w:t>
            </w:r>
          </w:p>
        </w:tc>
      </w:tr>
      <w:tr w:rsidR="00115D45" w14:paraId="4C62A915" w14:textId="77777777">
        <w:tc>
          <w:tcPr>
            <w:tcW w:w="0" w:type="auto"/>
          </w:tcPr>
          <w:p w14:paraId="4C62A911" w14:textId="77777777" w:rsidR="00115D45" w:rsidRDefault="00000000">
            <w:pPr>
              <w:pStyle w:val="Compact"/>
            </w:pPr>
            <w:r>
              <w:t>Consumer Defensive</w:t>
            </w:r>
          </w:p>
        </w:tc>
        <w:tc>
          <w:tcPr>
            <w:tcW w:w="0" w:type="auto"/>
          </w:tcPr>
          <w:p w14:paraId="4C62A912" w14:textId="77777777" w:rsidR="00115D45" w:rsidRDefault="00000000">
            <w:pPr>
              <w:pStyle w:val="Compact"/>
            </w:pPr>
            <w:r>
              <w:t>5</w:t>
            </w:r>
          </w:p>
        </w:tc>
        <w:tc>
          <w:tcPr>
            <w:tcW w:w="0" w:type="auto"/>
          </w:tcPr>
          <w:p w14:paraId="4C62A913" w14:textId="77777777" w:rsidR="00115D45" w:rsidRDefault="00000000">
            <w:pPr>
              <w:pStyle w:val="Compact"/>
            </w:pPr>
            <w:r>
              <w:t>360</w:t>
            </w:r>
          </w:p>
        </w:tc>
        <w:tc>
          <w:tcPr>
            <w:tcW w:w="0" w:type="auto"/>
          </w:tcPr>
          <w:p w14:paraId="4C62A914" w14:textId="77777777" w:rsidR="00115D45" w:rsidRDefault="00000000">
            <w:pPr>
              <w:pStyle w:val="Compact"/>
            </w:pPr>
            <w:r>
              <w:t>2.63</w:t>
            </w:r>
          </w:p>
        </w:tc>
      </w:tr>
      <w:tr w:rsidR="00115D45" w14:paraId="4C62A91A" w14:textId="77777777">
        <w:tc>
          <w:tcPr>
            <w:tcW w:w="0" w:type="auto"/>
          </w:tcPr>
          <w:p w14:paraId="4C62A916" w14:textId="77777777" w:rsidR="00115D45" w:rsidRDefault="00000000">
            <w:pPr>
              <w:pStyle w:val="Compact"/>
            </w:pPr>
            <w:r>
              <w:t>Utilities</w:t>
            </w:r>
          </w:p>
        </w:tc>
        <w:tc>
          <w:tcPr>
            <w:tcW w:w="0" w:type="auto"/>
          </w:tcPr>
          <w:p w14:paraId="4C62A917" w14:textId="77777777" w:rsidR="00115D45" w:rsidRDefault="00000000">
            <w:pPr>
              <w:pStyle w:val="Compact"/>
            </w:pPr>
            <w:r>
              <w:t>2</w:t>
            </w:r>
          </w:p>
        </w:tc>
        <w:tc>
          <w:tcPr>
            <w:tcW w:w="0" w:type="auto"/>
          </w:tcPr>
          <w:p w14:paraId="4C62A918" w14:textId="77777777" w:rsidR="00115D45" w:rsidRDefault="00000000">
            <w:pPr>
              <w:pStyle w:val="Compact"/>
            </w:pPr>
            <w:r>
              <w:t>144</w:t>
            </w:r>
          </w:p>
        </w:tc>
        <w:tc>
          <w:tcPr>
            <w:tcW w:w="0" w:type="auto"/>
          </w:tcPr>
          <w:p w14:paraId="4C62A919" w14:textId="77777777" w:rsidR="00115D45" w:rsidRDefault="00000000">
            <w:pPr>
              <w:pStyle w:val="Compact"/>
            </w:pPr>
            <w:r>
              <w:t>2.54</w:t>
            </w:r>
          </w:p>
        </w:tc>
      </w:tr>
    </w:tbl>
    <w:p w14:paraId="4C62A91B" w14:textId="77777777" w:rsidR="00115D45" w:rsidRDefault="00000000">
      <w:pPr>
        <w:pStyle w:val="BodyText"/>
      </w:pPr>
      <w:r>
        <w:t>Energy and Financial Services carry the highest average controversy scores, consistent with their exposure to environmental liabilities and regulatory scrutiny respectively.</w:t>
      </w:r>
    </w:p>
    <w:p w14:paraId="4C62A91C" w14:textId="77777777" w:rsidR="00115D45" w:rsidRDefault="00000000">
      <w:pPr>
        <w:pStyle w:val="BodyText"/>
      </w:pPr>
      <w:r>
        <w:rPr>
          <w:b/>
          <w:bCs/>
        </w:rPr>
        <w:t>Query 3: Top Controversy Events</w:t>
      </w:r>
    </w:p>
    <w:p w14:paraId="4C62A91D" w14:textId="77777777" w:rsidR="00115D45" w:rsidRDefault="00000000">
      <w:pPr>
        <w:pStyle w:val="SourceCode"/>
      </w:pPr>
      <w:r>
        <w:rPr>
          <w:rStyle w:val="KeywordTok"/>
        </w:rPr>
        <w:t>SELECT</w:t>
      </w:r>
      <w:r>
        <w:rPr>
          <w:rStyle w:val="NormalTok"/>
        </w:rPr>
        <w:t xml:space="preserve"> ticker, </w:t>
      </w:r>
      <w:r>
        <w:rPr>
          <w:rStyle w:val="DataTypeTok"/>
        </w:rPr>
        <w:t>date</w:t>
      </w:r>
      <w:r>
        <w:rPr>
          <w:rStyle w:val="NormalTok"/>
        </w:rPr>
        <w:t>, sector, controversy_score</w:t>
      </w:r>
      <w:r>
        <w:br/>
      </w:r>
      <w:r>
        <w:rPr>
          <w:rStyle w:val="KeywordTok"/>
        </w:rPr>
        <w:t>FROM</w:t>
      </w:r>
      <w:r>
        <w:rPr>
          <w:rStyle w:val="NormalTok"/>
        </w:rPr>
        <w:t xml:space="preserve"> raw_controversies</w:t>
      </w:r>
      <w:r>
        <w:br/>
      </w:r>
      <w:r>
        <w:rPr>
          <w:rStyle w:val="KeywordTok"/>
        </w:rPr>
        <w:t>ORDER</w:t>
      </w:r>
      <w:r>
        <w:rPr>
          <w:rStyle w:val="NormalTok"/>
        </w:rPr>
        <w:t xml:space="preserve"> </w:t>
      </w:r>
      <w:r>
        <w:rPr>
          <w:rStyle w:val="KeywordTok"/>
        </w:rPr>
        <w:t>BY</w:t>
      </w:r>
      <w:r>
        <w:rPr>
          <w:rStyle w:val="NormalTok"/>
        </w:rPr>
        <w:t xml:space="preserve"> controversy_score </w:t>
      </w:r>
      <w:r>
        <w:rPr>
          <w:rStyle w:val="KeywordTok"/>
        </w:rPr>
        <w:t>DESC</w:t>
      </w:r>
      <w:r>
        <w:br/>
      </w:r>
      <w:r>
        <w:rPr>
          <w:rStyle w:val="KeywordTok"/>
        </w:rPr>
        <w:t>LIMIT</w:t>
      </w:r>
      <w:r>
        <w:rPr>
          <w:rStyle w:val="NormalTok"/>
        </w:rPr>
        <w:t xml:space="preserve"> </w:t>
      </w:r>
      <w:r>
        <w:rPr>
          <w:rStyle w:val="DecValTok"/>
        </w:rPr>
        <w:t>10</w:t>
      </w:r>
      <w:r>
        <w:rPr>
          <w:rStyle w:val="NormalTok"/>
        </w:rPr>
        <w:t>;</w:t>
      </w:r>
    </w:p>
    <w:tbl>
      <w:tblPr>
        <w:tblStyle w:val="Table"/>
        <w:tblW w:w="0" w:type="pct"/>
        <w:tblLook w:val="0020" w:firstRow="1" w:lastRow="0" w:firstColumn="0" w:lastColumn="0" w:noHBand="0" w:noVBand="0"/>
      </w:tblPr>
      <w:tblGrid>
        <w:gridCol w:w="873"/>
        <w:gridCol w:w="1094"/>
        <w:gridCol w:w="2099"/>
        <w:gridCol w:w="785"/>
      </w:tblGrid>
      <w:tr w:rsidR="00115D45" w14:paraId="4C62A92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91E" w14:textId="77777777" w:rsidR="00115D45" w:rsidRDefault="00000000">
            <w:pPr>
              <w:pStyle w:val="Compact"/>
            </w:pPr>
            <w:r>
              <w:t>Ticker</w:t>
            </w:r>
          </w:p>
        </w:tc>
        <w:tc>
          <w:tcPr>
            <w:tcW w:w="0" w:type="auto"/>
          </w:tcPr>
          <w:p w14:paraId="4C62A91F" w14:textId="77777777" w:rsidR="00115D45" w:rsidRDefault="00000000">
            <w:pPr>
              <w:pStyle w:val="Compact"/>
            </w:pPr>
            <w:r>
              <w:t>Date</w:t>
            </w:r>
          </w:p>
        </w:tc>
        <w:tc>
          <w:tcPr>
            <w:tcW w:w="0" w:type="auto"/>
          </w:tcPr>
          <w:p w14:paraId="4C62A920" w14:textId="77777777" w:rsidR="00115D45" w:rsidRDefault="00000000">
            <w:pPr>
              <w:pStyle w:val="Compact"/>
            </w:pPr>
            <w:r>
              <w:t>Sector</w:t>
            </w:r>
          </w:p>
        </w:tc>
        <w:tc>
          <w:tcPr>
            <w:tcW w:w="0" w:type="auto"/>
          </w:tcPr>
          <w:p w14:paraId="4C62A921" w14:textId="77777777" w:rsidR="00115D45" w:rsidRDefault="00000000">
            <w:pPr>
              <w:pStyle w:val="Compact"/>
            </w:pPr>
            <w:r>
              <w:t>Score</w:t>
            </w:r>
          </w:p>
        </w:tc>
      </w:tr>
      <w:tr w:rsidR="00115D45" w14:paraId="4C62A927" w14:textId="77777777">
        <w:tc>
          <w:tcPr>
            <w:tcW w:w="0" w:type="auto"/>
          </w:tcPr>
          <w:p w14:paraId="4C62A923" w14:textId="77777777" w:rsidR="00115D45" w:rsidRDefault="00000000">
            <w:pPr>
              <w:pStyle w:val="Compact"/>
            </w:pPr>
            <w:r>
              <w:t>AAPL</w:t>
            </w:r>
          </w:p>
        </w:tc>
        <w:tc>
          <w:tcPr>
            <w:tcW w:w="0" w:type="auto"/>
          </w:tcPr>
          <w:p w14:paraId="4C62A924" w14:textId="77777777" w:rsidR="00115D45" w:rsidRDefault="00000000">
            <w:pPr>
              <w:pStyle w:val="Compact"/>
            </w:pPr>
            <w:r>
              <w:t>2023-12</w:t>
            </w:r>
          </w:p>
        </w:tc>
        <w:tc>
          <w:tcPr>
            <w:tcW w:w="0" w:type="auto"/>
          </w:tcPr>
          <w:p w14:paraId="4C62A925" w14:textId="77777777" w:rsidR="00115D45" w:rsidRDefault="00000000">
            <w:pPr>
              <w:pStyle w:val="Compact"/>
            </w:pPr>
            <w:r>
              <w:t>Technology</w:t>
            </w:r>
          </w:p>
        </w:tc>
        <w:tc>
          <w:tcPr>
            <w:tcW w:w="0" w:type="auto"/>
          </w:tcPr>
          <w:p w14:paraId="4C62A926" w14:textId="77777777" w:rsidR="00115D45" w:rsidRDefault="00000000">
            <w:pPr>
              <w:pStyle w:val="Compact"/>
            </w:pPr>
            <w:r>
              <w:t>10.0</w:t>
            </w:r>
          </w:p>
        </w:tc>
      </w:tr>
      <w:tr w:rsidR="00115D45" w14:paraId="4C62A92C" w14:textId="77777777">
        <w:tc>
          <w:tcPr>
            <w:tcW w:w="0" w:type="auto"/>
          </w:tcPr>
          <w:p w14:paraId="4C62A928" w14:textId="77777777" w:rsidR="00115D45" w:rsidRDefault="00000000">
            <w:pPr>
              <w:pStyle w:val="Compact"/>
            </w:pPr>
            <w:r>
              <w:t>AAPL</w:t>
            </w:r>
          </w:p>
        </w:tc>
        <w:tc>
          <w:tcPr>
            <w:tcW w:w="0" w:type="auto"/>
          </w:tcPr>
          <w:p w14:paraId="4C62A929" w14:textId="77777777" w:rsidR="00115D45" w:rsidRDefault="00000000">
            <w:pPr>
              <w:pStyle w:val="Compact"/>
            </w:pPr>
            <w:r>
              <w:t>2024-01</w:t>
            </w:r>
          </w:p>
        </w:tc>
        <w:tc>
          <w:tcPr>
            <w:tcW w:w="0" w:type="auto"/>
          </w:tcPr>
          <w:p w14:paraId="4C62A92A" w14:textId="77777777" w:rsidR="00115D45" w:rsidRDefault="00000000">
            <w:pPr>
              <w:pStyle w:val="Compact"/>
            </w:pPr>
            <w:r>
              <w:t>Technology</w:t>
            </w:r>
          </w:p>
        </w:tc>
        <w:tc>
          <w:tcPr>
            <w:tcW w:w="0" w:type="auto"/>
          </w:tcPr>
          <w:p w14:paraId="4C62A92B" w14:textId="77777777" w:rsidR="00115D45" w:rsidRDefault="00000000">
            <w:pPr>
              <w:pStyle w:val="Compact"/>
            </w:pPr>
            <w:r>
              <w:t>10.0</w:t>
            </w:r>
          </w:p>
        </w:tc>
      </w:tr>
      <w:tr w:rsidR="00115D45" w14:paraId="4C62A931" w14:textId="77777777">
        <w:tc>
          <w:tcPr>
            <w:tcW w:w="0" w:type="auto"/>
          </w:tcPr>
          <w:p w14:paraId="4C62A92D" w14:textId="77777777" w:rsidR="00115D45" w:rsidRDefault="00000000">
            <w:pPr>
              <w:pStyle w:val="Compact"/>
            </w:pPr>
            <w:r>
              <w:t>ABBV</w:t>
            </w:r>
          </w:p>
        </w:tc>
        <w:tc>
          <w:tcPr>
            <w:tcW w:w="0" w:type="auto"/>
          </w:tcPr>
          <w:p w14:paraId="4C62A92E" w14:textId="77777777" w:rsidR="00115D45" w:rsidRDefault="00000000">
            <w:pPr>
              <w:pStyle w:val="Compact"/>
            </w:pPr>
            <w:r>
              <w:t>2022-06</w:t>
            </w:r>
          </w:p>
        </w:tc>
        <w:tc>
          <w:tcPr>
            <w:tcW w:w="0" w:type="auto"/>
          </w:tcPr>
          <w:p w14:paraId="4C62A92F" w14:textId="77777777" w:rsidR="00115D45" w:rsidRDefault="00000000">
            <w:pPr>
              <w:pStyle w:val="Compact"/>
            </w:pPr>
            <w:r>
              <w:t>Healthcare</w:t>
            </w:r>
          </w:p>
        </w:tc>
        <w:tc>
          <w:tcPr>
            <w:tcW w:w="0" w:type="auto"/>
          </w:tcPr>
          <w:p w14:paraId="4C62A930" w14:textId="77777777" w:rsidR="00115D45" w:rsidRDefault="00000000">
            <w:pPr>
              <w:pStyle w:val="Compact"/>
            </w:pPr>
            <w:r>
              <w:t>10.0</w:t>
            </w:r>
          </w:p>
        </w:tc>
      </w:tr>
      <w:tr w:rsidR="00115D45" w14:paraId="4C62A936" w14:textId="77777777">
        <w:tc>
          <w:tcPr>
            <w:tcW w:w="0" w:type="auto"/>
          </w:tcPr>
          <w:p w14:paraId="4C62A932" w14:textId="77777777" w:rsidR="00115D45" w:rsidRDefault="00000000">
            <w:pPr>
              <w:pStyle w:val="Compact"/>
            </w:pPr>
            <w:r>
              <w:t>ABBV</w:t>
            </w:r>
          </w:p>
        </w:tc>
        <w:tc>
          <w:tcPr>
            <w:tcW w:w="0" w:type="auto"/>
          </w:tcPr>
          <w:p w14:paraId="4C62A933" w14:textId="77777777" w:rsidR="00115D45" w:rsidRDefault="00000000">
            <w:pPr>
              <w:pStyle w:val="Compact"/>
            </w:pPr>
            <w:r>
              <w:t>2022-07</w:t>
            </w:r>
          </w:p>
        </w:tc>
        <w:tc>
          <w:tcPr>
            <w:tcW w:w="0" w:type="auto"/>
          </w:tcPr>
          <w:p w14:paraId="4C62A934" w14:textId="77777777" w:rsidR="00115D45" w:rsidRDefault="00000000">
            <w:pPr>
              <w:pStyle w:val="Compact"/>
            </w:pPr>
            <w:r>
              <w:t>Healthcare</w:t>
            </w:r>
          </w:p>
        </w:tc>
        <w:tc>
          <w:tcPr>
            <w:tcW w:w="0" w:type="auto"/>
          </w:tcPr>
          <w:p w14:paraId="4C62A935" w14:textId="77777777" w:rsidR="00115D45" w:rsidRDefault="00000000">
            <w:pPr>
              <w:pStyle w:val="Compact"/>
            </w:pPr>
            <w:r>
              <w:t>10.0</w:t>
            </w:r>
          </w:p>
        </w:tc>
      </w:tr>
      <w:tr w:rsidR="00115D45" w14:paraId="4C62A93B" w14:textId="77777777">
        <w:tc>
          <w:tcPr>
            <w:tcW w:w="0" w:type="auto"/>
          </w:tcPr>
          <w:p w14:paraId="4C62A937" w14:textId="77777777" w:rsidR="00115D45" w:rsidRDefault="00000000">
            <w:pPr>
              <w:pStyle w:val="Compact"/>
            </w:pPr>
            <w:r>
              <w:t>ADBE</w:t>
            </w:r>
          </w:p>
        </w:tc>
        <w:tc>
          <w:tcPr>
            <w:tcW w:w="0" w:type="auto"/>
          </w:tcPr>
          <w:p w14:paraId="4C62A938" w14:textId="77777777" w:rsidR="00115D45" w:rsidRDefault="00000000">
            <w:pPr>
              <w:pStyle w:val="Compact"/>
            </w:pPr>
            <w:r>
              <w:t>2022-06</w:t>
            </w:r>
          </w:p>
        </w:tc>
        <w:tc>
          <w:tcPr>
            <w:tcW w:w="0" w:type="auto"/>
          </w:tcPr>
          <w:p w14:paraId="4C62A939" w14:textId="77777777" w:rsidR="00115D45" w:rsidRDefault="00000000">
            <w:pPr>
              <w:pStyle w:val="Compact"/>
            </w:pPr>
            <w:r>
              <w:t>Technology</w:t>
            </w:r>
          </w:p>
        </w:tc>
        <w:tc>
          <w:tcPr>
            <w:tcW w:w="0" w:type="auto"/>
          </w:tcPr>
          <w:p w14:paraId="4C62A93A" w14:textId="77777777" w:rsidR="00115D45" w:rsidRDefault="00000000">
            <w:pPr>
              <w:pStyle w:val="Compact"/>
            </w:pPr>
            <w:r>
              <w:t>10.0</w:t>
            </w:r>
          </w:p>
        </w:tc>
      </w:tr>
      <w:tr w:rsidR="00115D45" w14:paraId="4C62A940" w14:textId="77777777">
        <w:tc>
          <w:tcPr>
            <w:tcW w:w="0" w:type="auto"/>
          </w:tcPr>
          <w:p w14:paraId="4C62A93C" w14:textId="77777777" w:rsidR="00115D45" w:rsidRDefault="00000000">
            <w:pPr>
              <w:pStyle w:val="Compact"/>
            </w:pPr>
            <w:r>
              <w:t>AMZN</w:t>
            </w:r>
          </w:p>
        </w:tc>
        <w:tc>
          <w:tcPr>
            <w:tcW w:w="0" w:type="auto"/>
          </w:tcPr>
          <w:p w14:paraId="4C62A93D" w14:textId="77777777" w:rsidR="00115D45" w:rsidRDefault="00000000">
            <w:pPr>
              <w:pStyle w:val="Compact"/>
            </w:pPr>
            <w:r>
              <w:t>2024-08</w:t>
            </w:r>
          </w:p>
        </w:tc>
        <w:tc>
          <w:tcPr>
            <w:tcW w:w="0" w:type="auto"/>
          </w:tcPr>
          <w:p w14:paraId="4C62A93E" w14:textId="77777777" w:rsidR="00115D45" w:rsidRDefault="00000000">
            <w:pPr>
              <w:pStyle w:val="Compact"/>
            </w:pPr>
            <w:r>
              <w:t>Consumer Cyclical</w:t>
            </w:r>
          </w:p>
        </w:tc>
        <w:tc>
          <w:tcPr>
            <w:tcW w:w="0" w:type="auto"/>
          </w:tcPr>
          <w:p w14:paraId="4C62A93F" w14:textId="77777777" w:rsidR="00115D45" w:rsidRDefault="00000000">
            <w:pPr>
              <w:pStyle w:val="Compact"/>
            </w:pPr>
            <w:r>
              <w:t>10.0</w:t>
            </w:r>
          </w:p>
        </w:tc>
      </w:tr>
      <w:tr w:rsidR="00115D45" w14:paraId="4C62A945" w14:textId="77777777">
        <w:tc>
          <w:tcPr>
            <w:tcW w:w="0" w:type="auto"/>
          </w:tcPr>
          <w:p w14:paraId="4C62A941" w14:textId="77777777" w:rsidR="00115D45" w:rsidRDefault="00000000">
            <w:pPr>
              <w:pStyle w:val="Compact"/>
            </w:pPr>
            <w:r>
              <w:t>AXP</w:t>
            </w:r>
          </w:p>
        </w:tc>
        <w:tc>
          <w:tcPr>
            <w:tcW w:w="0" w:type="auto"/>
          </w:tcPr>
          <w:p w14:paraId="4C62A942" w14:textId="77777777" w:rsidR="00115D45" w:rsidRDefault="00000000">
            <w:pPr>
              <w:pStyle w:val="Compact"/>
            </w:pPr>
            <w:r>
              <w:t>2022-08</w:t>
            </w:r>
          </w:p>
        </w:tc>
        <w:tc>
          <w:tcPr>
            <w:tcW w:w="0" w:type="auto"/>
          </w:tcPr>
          <w:p w14:paraId="4C62A943" w14:textId="77777777" w:rsidR="00115D45" w:rsidRDefault="00000000">
            <w:pPr>
              <w:pStyle w:val="Compact"/>
            </w:pPr>
            <w:r>
              <w:t>Financial Services</w:t>
            </w:r>
          </w:p>
        </w:tc>
        <w:tc>
          <w:tcPr>
            <w:tcW w:w="0" w:type="auto"/>
          </w:tcPr>
          <w:p w14:paraId="4C62A944" w14:textId="77777777" w:rsidR="00115D45" w:rsidRDefault="00000000">
            <w:pPr>
              <w:pStyle w:val="Compact"/>
            </w:pPr>
            <w:r>
              <w:t>10.0</w:t>
            </w:r>
          </w:p>
        </w:tc>
      </w:tr>
      <w:tr w:rsidR="00115D45" w14:paraId="4C62A94A" w14:textId="77777777">
        <w:tc>
          <w:tcPr>
            <w:tcW w:w="0" w:type="auto"/>
          </w:tcPr>
          <w:p w14:paraId="4C62A946" w14:textId="77777777" w:rsidR="00115D45" w:rsidRDefault="00000000">
            <w:pPr>
              <w:pStyle w:val="Compact"/>
            </w:pPr>
            <w:r>
              <w:t>BA</w:t>
            </w:r>
          </w:p>
        </w:tc>
        <w:tc>
          <w:tcPr>
            <w:tcW w:w="0" w:type="auto"/>
          </w:tcPr>
          <w:p w14:paraId="4C62A947" w14:textId="77777777" w:rsidR="00115D45" w:rsidRDefault="00000000">
            <w:pPr>
              <w:pStyle w:val="Compact"/>
            </w:pPr>
            <w:r>
              <w:t>2020-03</w:t>
            </w:r>
          </w:p>
        </w:tc>
        <w:tc>
          <w:tcPr>
            <w:tcW w:w="0" w:type="auto"/>
          </w:tcPr>
          <w:p w14:paraId="4C62A948" w14:textId="77777777" w:rsidR="00115D45" w:rsidRDefault="00000000">
            <w:pPr>
              <w:pStyle w:val="Compact"/>
            </w:pPr>
            <w:r>
              <w:t>Industrials</w:t>
            </w:r>
          </w:p>
        </w:tc>
        <w:tc>
          <w:tcPr>
            <w:tcW w:w="0" w:type="auto"/>
          </w:tcPr>
          <w:p w14:paraId="4C62A949" w14:textId="77777777" w:rsidR="00115D45" w:rsidRDefault="00000000">
            <w:pPr>
              <w:pStyle w:val="Compact"/>
            </w:pPr>
            <w:r>
              <w:t>10.0</w:t>
            </w:r>
          </w:p>
        </w:tc>
      </w:tr>
      <w:tr w:rsidR="00115D45" w14:paraId="4C62A94F" w14:textId="77777777">
        <w:tc>
          <w:tcPr>
            <w:tcW w:w="0" w:type="auto"/>
          </w:tcPr>
          <w:p w14:paraId="4C62A94B" w14:textId="77777777" w:rsidR="00115D45" w:rsidRDefault="00000000">
            <w:pPr>
              <w:pStyle w:val="Compact"/>
            </w:pPr>
            <w:r>
              <w:t>BAC</w:t>
            </w:r>
          </w:p>
        </w:tc>
        <w:tc>
          <w:tcPr>
            <w:tcW w:w="0" w:type="auto"/>
          </w:tcPr>
          <w:p w14:paraId="4C62A94C" w14:textId="77777777" w:rsidR="00115D45" w:rsidRDefault="00000000">
            <w:pPr>
              <w:pStyle w:val="Compact"/>
            </w:pPr>
            <w:r>
              <w:t>2019-06</w:t>
            </w:r>
          </w:p>
        </w:tc>
        <w:tc>
          <w:tcPr>
            <w:tcW w:w="0" w:type="auto"/>
          </w:tcPr>
          <w:p w14:paraId="4C62A94D" w14:textId="77777777" w:rsidR="00115D45" w:rsidRDefault="00000000">
            <w:pPr>
              <w:pStyle w:val="Compact"/>
            </w:pPr>
            <w:r>
              <w:t>Financial Services</w:t>
            </w:r>
          </w:p>
        </w:tc>
        <w:tc>
          <w:tcPr>
            <w:tcW w:w="0" w:type="auto"/>
          </w:tcPr>
          <w:p w14:paraId="4C62A94E" w14:textId="77777777" w:rsidR="00115D45" w:rsidRDefault="00000000">
            <w:pPr>
              <w:pStyle w:val="Compact"/>
            </w:pPr>
            <w:r>
              <w:t>10.0</w:t>
            </w:r>
          </w:p>
        </w:tc>
      </w:tr>
      <w:tr w:rsidR="00115D45" w14:paraId="4C62A954" w14:textId="77777777">
        <w:tc>
          <w:tcPr>
            <w:tcW w:w="0" w:type="auto"/>
          </w:tcPr>
          <w:p w14:paraId="4C62A950" w14:textId="77777777" w:rsidR="00115D45" w:rsidRDefault="00000000">
            <w:pPr>
              <w:pStyle w:val="Compact"/>
            </w:pPr>
            <w:r>
              <w:t>C</w:t>
            </w:r>
          </w:p>
        </w:tc>
        <w:tc>
          <w:tcPr>
            <w:tcW w:w="0" w:type="auto"/>
          </w:tcPr>
          <w:p w14:paraId="4C62A951" w14:textId="77777777" w:rsidR="00115D45" w:rsidRDefault="00000000">
            <w:pPr>
              <w:pStyle w:val="Compact"/>
            </w:pPr>
            <w:r>
              <w:t>2021-09</w:t>
            </w:r>
          </w:p>
        </w:tc>
        <w:tc>
          <w:tcPr>
            <w:tcW w:w="0" w:type="auto"/>
          </w:tcPr>
          <w:p w14:paraId="4C62A952" w14:textId="77777777" w:rsidR="00115D45" w:rsidRDefault="00000000">
            <w:pPr>
              <w:pStyle w:val="Compact"/>
            </w:pPr>
            <w:r>
              <w:t>Financial Services</w:t>
            </w:r>
          </w:p>
        </w:tc>
        <w:tc>
          <w:tcPr>
            <w:tcW w:w="0" w:type="auto"/>
          </w:tcPr>
          <w:p w14:paraId="4C62A953" w14:textId="77777777" w:rsidR="00115D45" w:rsidRDefault="00000000">
            <w:pPr>
              <w:pStyle w:val="Compact"/>
            </w:pPr>
            <w:r>
              <w:t>10.0</w:t>
            </w:r>
          </w:p>
        </w:tc>
      </w:tr>
    </w:tbl>
    <w:p w14:paraId="4C62A955" w14:textId="77777777" w:rsidR="00115D45" w:rsidRDefault="00000000">
      <w:pPr>
        <w:pStyle w:val="BodyText"/>
      </w:pPr>
      <w:r>
        <w:t>The maximum-score events align with well-known real-world controversies: Boeing (BA) in March 2020 during the 737 MAX crisis and early-COVID supply chain scandal, AAPL in late 2023 amid antitrust proceedings, and ABBV in mid-2022 following opioid litigation settlements.</w:t>
      </w:r>
    </w:p>
    <w:p w14:paraId="4C62A956" w14:textId="77777777" w:rsidR="00115D45" w:rsidRDefault="00000000">
      <w:pPr>
        <w:pStyle w:val="BodyText"/>
      </w:pPr>
      <w:r>
        <w:rPr>
          <w:b/>
          <w:bCs/>
        </w:rPr>
        <w:t>Query 4: Target Class Balance</w:t>
      </w:r>
    </w:p>
    <w:p w14:paraId="4C62A957" w14:textId="77777777" w:rsidR="00115D45" w:rsidRDefault="00000000">
      <w:pPr>
        <w:pStyle w:val="SourceCode"/>
      </w:pPr>
      <w:r>
        <w:rPr>
          <w:rStyle w:val="KeywordTok"/>
        </w:rPr>
        <w:t>SELECT</w:t>
      </w:r>
      <w:r>
        <w:rPr>
          <w:rStyle w:val="NormalTok"/>
        </w:rPr>
        <w:t xml:space="preserve"> high_crash_risk,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w:t>
      </w:r>
      <w:r>
        <w:rPr>
          <w:rStyle w:val="KeywordTok"/>
        </w:rPr>
        <w:t>rows</w:t>
      </w:r>
      <w:r>
        <w:br/>
      </w:r>
      <w:r>
        <w:rPr>
          <w:rStyle w:val="KeywordTok"/>
        </w:rPr>
        <w:t>FROM</w:t>
      </w:r>
      <w:r>
        <w:rPr>
          <w:rStyle w:val="NormalTok"/>
        </w:rPr>
        <w:t xml:space="preserve"> model_dataset</w:t>
      </w:r>
      <w:r>
        <w:br/>
      </w:r>
      <w:r>
        <w:rPr>
          <w:rStyle w:val="KeywordTok"/>
        </w:rPr>
        <w:t>GROUP</w:t>
      </w:r>
      <w:r>
        <w:rPr>
          <w:rStyle w:val="NormalTok"/>
        </w:rPr>
        <w:t xml:space="preserve"> </w:t>
      </w:r>
      <w:r>
        <w:rPr>
          <w:rStyle w:val="KeywordTok"/>
        </w:rPr>
        <w:t>BY</w:t>
      </w:r>
      <w:r>
        <w:rPr>
          <w:rStyle w:val="NormalTok"/>
        </w:rPr>
        <w:t xml:space="preserve"> high_crash_risk</w:t>
      </w:r>
      <w:r>
        <w:br/>
      </w:r>
      <w:r>
        <w:rPr>
          <w:rStyle w:val="KeywordTok"/>
        </w:rPr>
        <w:t>ORDER</w:t>
      </w:r>
      <w:r>
        <w:rPr>
          <w:rStyle w:val="NormalTok"/>
        </w:rPr>
        <w:t xml:space="preserve"> </w:t>
      </w:r>
      <w:r>
        <w:rPr>
          <w:rStyle w:val="KeywordTok"/>
        </w:rPr>
        <w:t>BY</w:t>
      </w:r>
      <w:r>
        <w:rPr>
          <w:rStyle w:val="NormalTok"/>
        </w:rPr>
        <w:t xml:space="preserve"> high_crash_risk </w:t>
      </w:r>
      <w:r>
        <w:rPr>
          <w:rStyle w:val="KeywordTok"/>
        </w:rPr>
        <w:t>DESC</w:t>
      </w:r>
      <w:r>
        <w:rPr>
          <w:rStyle w:val="NormalTok"/>
        </w:rPr>
        <w:t>;</w:t>
      </w:r>
    </w:p>
    <w:tbl>
      <w:tblPr>
        <w:tblStyle w:val="Table"/>
        <w:tblW w:w="0" w:type="pct"/>
        <w:tblLook w:val="0020" w:firstRow="1" w:lastRow="0" w:firstColumn="0" w:lastColumn="0" w:noHBand="0" w:noVBand="0"/>
      </w:tblPr>
      <w:tblGrid>
        <w:gridCol w:w="2107"/>
        <w:gridCol w:w="930"/>
      </w:tblGrid>
      <w:tr w:rsidR="00115D45" w14:paraId="4C62A95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958" w14:textId="77777777" w:rsidR="00115D45" w:rsidRDefault="00000000">
            <w:pPr>
              <w:pStyle w:val="Compact"/>
            </w:pPr>
            <w:r>
              <w:t>high_crash_risk</w:t>
            </w:r>
          </w:p>
        </w:tc>
        <w:tc>
          <w:tcPr>
            <w:tcW w:w="0" w:type="auto"/>
          </w:tcPr>
          <w:p w14:paraId="4C62A959" w14:textId="77777777" w:rsidR="00115D45" w:rsidRDefault="00000000">
            <w:pPr>
              <w:pStyle w:val="Compact"/>
            </w:pPr>
            <w:r>
              <w:t>Rows</w:t>
            </w:r>
          </w:p>
        </w:tc>
      </w:tr>
      <w:tr w:rsidR="00115D45" w14:paraId="4C62A95D" w14:textId="77777777">
        <w:tc>
          <w:tcPr>
            <w:tcW w:w="0" w:type="auto"/>
          </w:tcPr>
          <w:p w14:paraId="4C62A95B" w14:textId="77777777" w:rsidR="00115D45" w:rsidRDefault="00000000">
            <w:pPr>
              <w:pStyle w:val="Compact"/>
            </w:pPr>
            <w:r>
              <w:t>1 (High risk)</w:t>
            </w:r>
          </w:p>
        </w:tc>
        <w:tc>
          <w:tcPr>
            <w:tcW w:w="0" w:type="auto"/>
          </w:tcPr>
          <w:p w14:paraId="4C62A95C" w14:textId="77777777" w:rsidR="00115D45" w:rsidRDefault="00000000">
            <w:pPr>
              <w:pStyle w:val="Compact"/>
            </w:pPr>
            <w:r>
              <w:t>3,110</w:t>
            </w:r>
          </w:p>
        </w:tc>
      </w:tr>
      <w:tr w:rsidR="00115D45" w14:paraId="4C62A960" w14:textId="77777777">
        <w:tc>
          <w:tcPr>
            <w:tcW w:w="0" w:type="auto"/>
          </w:tcPr>
          <w:p w14:paraId="4C62A95E" w14:textId="77777777" w:rsidR="00115D45" w:rsidRDefault="00000000">
            <w:pPr>
              <w:pStyle w:val="Compact"/>
            </w:pPr>
            <w:r>
              <w:t>0 (Not high risk)</w:t>
            </w:r>
          </w:p>
        </w:tc>
        <w:tc>
          <w:tcPr>
            <w:tcW w:w="0" w:type="auto"/>
          </w:tcPr>
          <w:p w14:paraId="4C62A95F" w14:textId="77777777" w:rsidR="00115D45" w:rsidRDefault="00000000">
            <w:pPr>
              <w:pStyle w:val="Compact"/>
            </w:pPr>
            <w:r>
              <w:t>12,440</w:t>
            </w:r>
          </w:p>
        </w:tc>
      </w:tr>
      <w:tr w:rsidR="00115D45" w14:paraId="4C62A963" w14:textId="77777777">
        <w:tc>
          <w:tcPr>
            <w:tcW w:w="0" w:type="auto"/>
          </w:tcPr>
          <w:p w14:paraId="4C62A961" w14:textId="77777777" w:rsidR="00115D45" w:rsidRDefault="00000000">
            <w:pPr>
              <w:pStyle w:val="Compact"/>
            </w:pPr>
            <w:r>
              <w:t>NULL (unlabelled)</w:t>
            </w:r>
          </w:p>
        </w:tc>
        <w:tc>
          <w:tcPr>
            <w:tcW w:w="0" w:type="auto"/>
          </w:tcPr>
          <w:p w14:paraId="4C62A962" w14:textId="77777777" w:rsidR="00115D45" w:rsidRDefault="00000000">
            <w:pPr>
              <w:pStyle w:val="Compact"/>
            </w:pPr>
            <w:r>
              <w:t>150</w:t>
            </w:r>
          </w:p>
        </w:tc>
      </w:tr>
    </w:tbl>
    <w:p w14:paraId="4C62A964" w14:textId="77777777" w:rsidR="00115D45" w:rsidRDefault="00000000">
      <w:pPr>
        <w:pStyle w:val="BodyText"/>
      </w:pPr>
      <w:r>
        <w:lastRenderedPageBreak/>
        <w:t xml:space="preserve">The 20% top-quantile labelling produces a class ratio of approximately 1:4 (positive:negative). The 150 unlabelled rows arise because the last 13 weeks of observations have no future return window and are excluded from training and evaluation. The classifier is trained with </w:t>
      </w:r>
      <w:r>
        <w:rPr>
          <w:rStyle w:val="VerbatimChar"/>
        </w:rPr>
        <w:t>class_weight="balanced"</w:t>
      </w:r>
      <w:r>
        <w:t xml:space="preserve"> to compensate for the imbalance.</w:t>
      </w:r>
    </w:p>
    <w:p w14:paraId="4C62A965" w14:textId="77777777" w:rsidR="00115D45" w:rsidRDefault="00000000">
      <w:pPr>
        <w:pStyle w:val="BodyText"/>
      </w:pPr>
      <w:r>
        <w:rPr>
          <w:b/>
          <w:bCs/>
        </w:rPr>
        <w:t>Query 5: High-Risk Names by Sector (Latest Scoring Date)</w:t>
      </w:r>
    </w:p>
    <w:p w14:paraId="4C62A966" w14:textId="77777777" w:rsidR="00115D45" w:rsidRDefault="00000000">
      <w:pPr>
        <w:pStyle w:val="SourceCode"/>
      </w:pPr>
      <w:r>
        <w:rPr>
          <w:rStyle w:val="KeywordTok"/>
        </w:rPr>
        <w:t>SELECT</w:t>
      </w:r>
      <w:r>
        <w:rPr>
          <w:rStyle w:val="NormalTok"/>
        </w:rPr>
        <w:t xml:space="preserve"> </w:t>
      </w:r>
      <w:r>
        <w:rPr>
          <w:rStyle w:val="FunctionTok"/>
        </w:rPr>
        <w:t>COALESCE</w:t>
      </w:r>
      <w:r>
        <w:rPr>
          <w:rStyle w:val="NormalTok"/>
        </w:rPr>
        <w:t xml:space="preserve">(sector, </w:t>
      </w:r>
      <w:r>
        <w:rPr>
          <w:rStyle w:val="StringTok"/>
        </w:rPr>
        <w:t>'Unknown'</w:t>
      </w:r>
      <w:r>
        <w:rPr>
          <w:rStyle w:val="NormalTok"/>
        </w:rPr>
        <w:t xml:space="preserve">) </w:t>
      </w:r>
      <w:r>
        <w:rPr>
          <w:rStyle w:val="KeywordTok"/>
        </w:rPr>
        <w:t>AS</w:t>
      </w:r>
      <w:r>
        <w:rPr>
          <w:rStyle w:val="NormalTok"/>
        </w:rPr>
        <w:t xml:space="preserve"> sector,</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high_risk_names,</w:t>
      </w:r>
      <w:r>
        <w:br/>
      </w:r>
      <w:r>
        <w:rPr>
          <w:rStyle w:val="NormalTok"/>
        </w:rPr>
        <w:t xml:space="preserve">       </w:t>
      </w:r>
      <w:r>
        <w:rPr>
          <w:rStyle w:val="FunctionTok"/>
        </w:rPr>
        <w:t>AVG</w:t>
      </w:r>
      <w:r>
        <w:rPr>
          <w:rStyle w:val="NormalTok"/>
        </w:rPr>
        <w:t xml:space="preserve">(crash_probability) </w:t>
      </w:r>
      <w:r>
        <w:rPr>
          <w:rStyle w:val="KeywordTok"/>
        </w:rPr>
        <w:t>AS</w:t>
      </w:r>
      <w:r>
        <w:rPr>
          <w:rStyle w:val="NormalTok"/>
        </w:rPr>
        <w:t xml:space="preserve"> avg_crash_probability</w:t>
      </w:r>
      <w:r>
        <w:br/>
      </w:r>
      <w:r>
        <w:rPr>
          <w:rStyle w:val="KeywordTok"/>
        </w:rPr>
        <w:t>FROM</w:t>
      </w:r>
      <w:r>
        <w:rPr>
          <w:rStyle w:val="NormalTok"/>
        </w:rPr>
        <w:t xml:space="preserve"> stock_scores</w:t>
      </w:r>
      <w:r>
        <w:br/>
      </w:r>
      <w:r>
        <w:rPr>
          <w:rStyle w:val="KeywordTok"/>
        </w:rPr>
        <w:t>WHERE</w:t>
      </w:r>
      <w:r>
        <w:rPr>
          <w:rStyle w:val="NormalTok"/>
        </w:rPr>
        <w:t xml:space="preserve"> risk_bucket </w:t>
      </w:r>
      <w:r>
        <w:rPr>
          <w:rStyle w:val="OperatorTok"/>
        </w:rPr>
        <w:t>=</w:t>
      </w:r>
      <w:r>
        <w:rPr>
          <w:rStyle w:val="NormalTok"/>
        </w:rPr>
        <w:t xml:space="preserve"> </w:t>
      </w:r>
      <w:r>
        <w:rPr>
          <w:rStyle w:val="StringTok"/>
        </w:rPr>
        <w:t>'High'</w:t>
      </w:r>
      <w:r>
        <w:br/>
      </w:r>
      <w:r>
        <w:rPr>
          <w:rStyle w:val="KeywordTok"/>
        </w:rPr>
        <w:t>GROUP</w:t>
      </w:r>
      <w:r>
        <w:rPr>
          <w:rStyle w:val="NormalTok"/>
        </w:rPr>
        <w:t xml:space="preserve"> </w:t>
      </w:r>
      <w:r>
        <w:rPr>
          <w:rStyle w:val="KeywordTok"/>
        </w:rPr>
        <w:t>BY</w:t>
      </w:r>
      <w:r>
        <w:rPr>
          <w:rStyle w:val="NormalTok"/>
        </w:rPr>
        <w:t xml:space="preserve"> sector</w:t>
      </w:r>
      <w:r>
        <w:br/>
      </w:r>
      <w:r>
        <w:rPr>
          <w:rStyle w:val="KeywordTok"/>
        </w:rPr>
        <w:t>ORDER</w:t>
      </w:r>
      <w:r>
        <w:rPr>
          <w:rStyle w:val="NormalTok"/>
        </w:rPr>
        <w:t xml:space="preserve"> </w:t>
      </w:r>
      <w:r>
        <w:rPr>
          <w:rStyle w:val="KeywordTok"/>
        </w:rPr>
        <w:t>BY</w:t>
      </w:r>
      <w:r>
        <w:rPr>
          <w:rStyle w:val="NormalTok"/>
        </w:rPr>
        <w:t xml:space="preserve"> high_risk_names </w:t>
      </w:r>
      <w:r>
        <w:rPr>
          <w:rStyle w:val="KeywordTok"/>
        </w:rPr>
        <w:t>DESC</w:t>
      </w:r>
      <w:r>
        <w:rPr>
          <w:rStyle w:val="NormalTok"/>
        </w:rPr>
        <w:t xml:space="preserve">, avg_crash_probability </w:t>
      </w:r>
      <w:r>
        <w:rPr>
          <w:rStyle w:val="KeywordTok"/>
        </w:rPr>
        <w:t>DESC</w:t>
      </w:r>
      <w:r>
        <w:rPr>
          <w:rStyle w:val="NormalTok"/>
        </w:rPr>
        <w:t>;</w:t>
      </w:r>
    </w:p>
    <w:tbl>
      <w:tblPr>
        <w:tblStyle w:val="Table"/>
        <w:tblW w:w="0" w:type="pct"/>
        <w:tblLook w:val="0020" w:firstRow="1" w:lastRow="0" w:firstColumn="0" w:lastColumn="0" w:noHBand="0" w:noVBand="0"/>
      </w:tblPr>
      <w:tblGrid>
        <w:gridCol w:w="2746"/>
        <w:gridCol w:w="1977"/>
        <w:gridCol w:w="1802"/>
      </w:tblGrid>
      <w:tr w:rsidR="00115D45" w14:paraId="4C62A96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967" w14:textId="77777777" w:rsidR="00115D45" w:rsidRDefault="00000000">
            <w:pPr>
              <w:pStyle w:val="Compact"/>
            </w:pPr>
            <w:r>
              <w:t>Sector</w:t>
            </w:r>
          </w:p>
        </w:tc>
        <w:tc>
          <w:tcPr>
            <w:tcW w:w="0" w:type="auto"/>
          </w:tcPr>
          <w:p w14:paraId="4C62A968" w14:textId="77777777" w:rsidR="00115D45" w:rsidRDefault="00000000">
            <w:pPr>
              <w:pStyle w:val="Compact"/>
            </w:pPr>
            <w:r>
              <w:t>High-Risk Names</w:t>
            </w:r>
          </w:p>
        </w:tc>
        <w:tc>
          <w:tcPr>
            <w:tcW w:w="0" w:type="auto"/>
          </w:tcPr>
          <w:p w14:paraId="4C62A969" w14:textId="77777777" w:rsidR="00115D45" w:rsidRDefault="00000000">
            <w:pPr>
              <w:pStyle w:val="Compact"/>
            </w:pPr>
            <w:r>
              <w:t>Avg Probability</w:t>
            </w:r>
          </w:p>
        </w:tc>
      </w:tr>
      <w:tr w:rsidR="00115D45" w14:paraId="4C62A96E" w14:textId="77777777">
        <w:tc>
          <w:tcPr>
            <w:tcW w:w="0" w:type="auto"/>
          </w:tcPr>
          <w:p w14:paraId="4C62A96B" w14:textId="77777777" w:rsidR="00115D45" w:rsidRDefault="00000000">
            <w:pPr>
              <w:pStyle w:val="Compact"/>
            </w:pPr>
            <w:r>
              <w:t>Consumer Cyclical</w:t>
            </w:r>
          </w:p>
        </w:tc>
        <w:tc>
          <w:tcPr>
            <w:tcW w:w="0" w:type="auto"/>
          </w:tcPr>
          <w:p w14:paraId="4C62A96C" w14:textId="77777777" w:rsidR="00115D45" w:rsidRDefault="00000000">
            <w:pPr>
              <w:pStyle w:val="Compact"/>
            </w:pPr>
            <w:r>
              <w:t>3</w:t>
            </w:r>
          </w:p>
        </w:tc>
        <w:tc>
          <w:tcPr>
            <w:tcW w:w="0" w:type="auto"/>
          </w:tcPr>
          <w:p w14:paraId="4C62A96D" w14:textId="77777777" w:rsidR="00115D45" w:rsidRDefault="00000000">
            <w:pPr>
              <w:pStyle w:val="Compact"/>
            </w:pPr>
            <w:r>
              <w:t>0.582</w:t>
            </w:r>
          </w:p>
        </w:tc>
      </w:tr>
      <w:tr w:rsidR="00115D45" w14:paraId="4C62A972" w14:textId="77777777">
        <w:tc>
          <w:tcPr>
            <w:tcW w:w="0" w:type="auto"/>
          </w:tcPr>
          <w:p w14:paraId="4C62A96F" w14:textId="77777777" w:rsidR="00115D45" w:rsidRDefault="00000000">
            <w:pPr>
              <w:pStyle w:val="Compact"/>
            </w:pPr>
            <w:r>
              <w:t>Energy</w:t>
            </w:r>
          </w:p>
        </w:tc>
        <w:tc>
          <w:tcPr>
            <w:tcW w:w="0" w:type="auto"/>
          </w:tcPr>
          <w:p w14:paraId="4C62A970" w14:textId="77777777" w:rsidR="00115D45" w:rsidRDefault="00000000">
            <w:pPr>
              <w:pStyle w:val="Compact"/>
            </w:pPr>
            <w:r>
              <w:t>2</w:t>
            </w:r>
          </w:p>
        </w:tc>
        <w:tc>
          <w:tcPr>
            <w:tcW w:w="0" w:type="auto"/>
          </w:tcPr>
          <w:p w14:paraId="4C62A971" w14:textId="77777777" w:rsidR="00115D45" w:rsidRDefault="00000000">
            <w:pPr>
              <w:pStyle w:val="Compact"/>
            </w:pPr>
            <w:r>
              <w:t>0.646</w:t>
            </w:r>
          </w:p>
        </w:tc>
      </w:tr>
      <w:tr w:rsidR="00115D45" w14:paraId="4C62A976" w14:textId="77777777">
        <w:tc>
          <w:tcPr>
            <w:tcW w:w="0" w:type="auto"/>
          </w:tcPr>
          <w:p w14:paraId="4C62A973" w14:textId="77777777" w:rsidR="00115D45" w:rsidRDefault="00000000">
            <w:pPr>
              <w:pStyle w:val="Compact"/>
            </w:pPr>
            <w:r>
              <w:t>Basic Materials</w:t>
            </w:r>
          </w:p>
        </w:tc>
        <w:tc>
          <w:tcPr>
            <w:tcW w:w="0" w:type="auto"/>
          </w:tcPr>
          <w:p w14:paraId="4C62A974" w14:textId="77777777" w:rsidR="00115D45" w:rsidRDefault="00000000">
            <w:pPr>
              <w:pStyle w:val="Compact"/>
            </w:pPr>
            <w:r>
              <w:t>2</w:t>
            </w:r>
          </w:p>
        </w:tc>
        <w:tc>
          <w:tcPr>
            <w:tcW w:w="0" w:type="auto"/>
          </w:tcPr>
          <w:p w14:paraId="4C62A975" w14:textId="77777777" w:rsidR="00115D45" w:rsidRDefault="00000000">
            <w:pPr>
              <w:pStyle w:val="Compact"/>
            </w:pPr>
            <w:r>
              <w:t>0.644</w:t>
            </w:r>
          </w:p>
        </w:tc>
      </w:tr>
      <w:tr w:rsidR="00115D45" w14:paraId="4C62A97A" w14:textId="77777777">
        <w:tc>
          <w:tcPr>
            <w:tcW w:w="0" w:type="auto"/>
          </w:tcPr>
          <w:p w14:paraId="4C62A977" w14:textId="77777777" w:rsidR="00115D45" w:rsidRDefault="00000000">
            <w:pPr>
              <w:pStyle w:val="Compact"/>
            </w:pPr>
            <w:r>
              <w:t>Communication Services</w:t>
            </w:r>
          </w:p>
        </w:tc>
        <w:tc>
          <w:tcPr>
            <w:tcW w:w="0" w:type="auto"/>
          </w:tcPr>
          <w:p w14:paraId="4C62A978" w14:textId="77777777" w:rsidR="00115D45" w:rsidRDefault="00000000">
            <w:pPr>
              <w:pStyle w:val="Compact"/>
            </w:pPr>
            <w:r>
              <w:t>1</w:t>
            </w:r>
          </w:p>
        </w:tc>
        <w:tc>
          <w:tcPr>
            <w:tcW w:w="0" w:type="auto"/>
          </w:tcPr>
          <w:p w14:paraId="4C62A979" w14:textId="77777777" w:rsidR="00115D45" w:rsidRDefault="00000000">
            <w:pPr>
              <w:pStyle w:val="Compact"/>
            </w:pPr>
            <w:r>
              <w:t>0.614</w:t>
            </w:r>
          </w:p>
        </w:tc>
      </w:tr>
      <w:tr w:rsidR="00115D45" w14:paraId="4C62A97E" w14:textId="77777777">
        <w:tc>
          <w:tcPr>
            <w:tcW w:w="0" w:type="auto"/>
          </w:tcPr>
          <w:p w14:paraId="4C62A97B" w14:textId="77777777" w:rsidR="00115D45" w:rsidRDefault="00000000">
            <w:pPr>
              <w:pStyle w:val="Compact"/>
            </w:pPr>
            <w:r>
              <w:t>Consumer Defensive</w:t>
            </w:r>
          </w:p>
        </w:tc>
        <w:tc>
          <w:tcPr>
            <w:tcW w:w="0" w:type="auto"/>
          </w:tcPr>
          <w:p w14:paraId="4C62A97C" w14:textId="77777777" w:rsidR="00115D45" w:rsidRDefault="00000000">
            <w:pPr>
              <w:pStyle w:val="Compact"/>
            </w:pPr>
            <w:r>
              <w:t>1</w:t>
            </w:r>
          </w:p>
        </w:tc>
        <w:tc>
          <w:tcPr>
            <w:tcW w:w="0" w:type="auto"/>
          </w:tcPr>
          <w:p w14:paraId="4C62A97D" w14:textId="77777777" w:rsidR="00115D45" w:rsidRDefault="00000000">
            <w:pPr>
              <w:pStyle w:val="Compact"/>
            </w:pPr>
            <w:r>
              <w:t>0.607</w:t>
            </w:r>
          </w:p>
        </w:tc>
      </w:tr>
      <w:tr w:rsidR="00115D45" w14:paraId="4C62A982" w14:textId="77777777">
        <w:tc>
          <w:tcPr>
            <w:tcW w:w="0" w:type="auto"/>
          </w:tcPr>
          <w:p w14:paraId="4C62A97F" w14:textId="77777777" w:rsidR="00115D45" w:rsidRDefault="00000000">
            <w:pPr>
              <w:pStyle w:val="Compact"/>
            </w:pPr>
            <w:r>
              <w:t>Healthcare</w:t>
            </w:r>
          </w:p>
        </w:tc>
        <w:tc>
          <w:tcPr>
            <w:tcW w:w="0" w:type="auto"/>
          </w:tcPr>
          <w:p w14:paraId="4C62A980" w14:textId="77777777" w:rsidR="00115D45" w:rsidRDefault="00000000">
            <w:pPr>
              <w:pStyle w:val="Compact"/>
            </w:pPr>
            <w:r>
              <w:t>1</w:t>
            </w:r>
          </w:p>
        </w:tc>
        <w:tc>
          <w:tcPr>
            <w:tcW w:w="0" w:type="auto"/>
          </w:tcPr>
          <w:p w14:paraId="4C62A981" w14:textId="77777777" w:rsidR="00115D45" w:rsidRDefault="00000000">
            <w:pPr>
              <w:pStyle w:val="Compact"/>
            </w:pPr>
            <w:r>
              <w:t>0.563</w:t>
            </w:r>
          </w:p>
        </w:tc>
      </w:tr>
    </w:tbl>
    <w:p w14:paraId="4C62A983" w14:textId="77777777" w:rsidR="00115D45" w:rsidRDefault="00000000">
      <w:pPr>
        <w:pStyle w:val="BodyText"/>
      </w:pPr>
      <w:r>
        <w:t>As of the latest scoring date (2025-01-03), 10 of 50 stocks (20%) are classified as High risk, matching the target quantile exactly. Energy and Basic Materials stocks carry the highest average crash probabilities, consistent with their elevated controversy scores identified in Query 2.</w:t>
      </w:r>
    </w:p>
    <w:p w14:paraId="4C62A984" w14:textId="77777777" w:rsidR="00115D45" w:rsidRDefault="00000000">
      <w:pPr>
        <w:pStyle w:val="BodyText"/>
      </w:pPr>
      <w:r>
        <w:rPr>
          <w:b/>
          <w:bCs/>
        </w:rPr>
        <w:t>Query 6: Feature Missingness Check</w:t>
      </w:r>
    </w:p>
    <w:p w14:paraId="4C62A985" w14:textId="77777777" w:rsidR="00115D45" w:rsidRDefault="00000000">
      <w:pPr>
        <w:pStyle w:val="SourceCode"/>
      </w:pP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w:t>
      </w:r>
      <w:r>
        <w:rPr>
          <w:rStyle w:val="KeywordTok"/>
        </w:rPr>
        <w:t>rows</w:t>
      </w:r>
      <w:r>
        <w:rPr>
          <w:rStyle w:val="NormalTok"/>
        </w:rPr>
        <w:t>,</w:t>
      </w:r>
      <w:r>
        <w:br/>
      </w:r>
      <w:r>
        <w:rPr>
          <w:rStyle w:val="NormalTok"/>
        </w:rPr>
        <w:t xml:space="preserve">       </w:t>
      </w:r>
      <w:r>
        <w:rPr>
          <w:rStyle w:val="FunctionTok"/>
        </w:rPr>
        <w:t>SUM</w:t>
      </w:r>
      <w:r>
        <w:rPr>
          <w:rStyle w:val="NormalTok"/>
        </w:rPr>
        <w:t>(</w:t>
      </w:r>
      <w:r>
        <w:rPr>
          <w:rStyle w:val="ControlFlowTok"/>
        </w:rPr>
        <w:t>CASE</w:t>
      </w:r>
      <w:r>
        <w:rPr>
          <w:rStyle w:val="NormalTok"/>
        </w:rPr>
        <w:t xml:space="preserve"> </w:t>
      </w:r>
      <w:r>
        <w:rPr>
          <w:rStyle w:val="ControlFlowTok"/>
        </w:rPr>
        <w:t>WHEN</w:t>
      </w:r>
      <w:r>
        <w:rPr>
          <w:rStyle w:val="NormalTok"/>
        </w:rPr>
        <w:t xml:space="preserve"> lagged_ncskew </w:t>
      </w:r>
      <w:r>
        <w:rPr>
          <w:rStyle w:val="KeywordTok"/>
        </w:rPr>
        <w:t>IS</w:t>
      </w:r>
      <w:r>
        <w:rPr>
          <w:rStyle w:val="NormalTok"/>
        </w:rPr>
        <w:t xml:space="preserve"> </w:t>
      </w:r>
      <w:r>
        <w:rPr>
          <w:rStyle w:val="KeywordTok"/>
        </w:rPr>
        <w:t>NULL</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missing_lagged_ncskew,</w:t>
      </w:r>
      <w:r>
        <w:br/>
      </w:r>
      <w:r>
        <w:rPr>
          <w:rStyle w:val="NormalTok"/>
        </w:rPr>
        <w:t xml:space="preserve">       </w:t>
      </w:r>
      <w:r>
        <w:rPr>
          <w:rStyle w:val="FunctionTok"/>
        </w:rPr>
        <w:t>SUM</w:t>
      </w:r>
      <w:r>
        <w:rPr>
          <w:rStyle w:val="NormalTok"/>
        </w:rPr>
        <w:t>(</w:t>
      </w:r>
      <w:r>
        <w:rPr>
          <w:rStyle w:val="ControlFlowTok"/>
        </w:rPr>
        <w:t>CASE</w:t>
      </w:r>
      <w:r>
        <w:rPr>
          <w:rStyle w:val="NormalTok"/>
        </w:rPr>
        <w:t xml:space="preserve"> </w:t>
      </w:r>
      <w:r>
        <w:rPr>
          <w:rStyle w:val="ControlFlowTok"/>
        </w:rPr>
        <w:t>WHEN</w:t>
      </w:r>
      <w:r>
        <w:rPr>
          <w:rStyle w:val="NormalTok"/>
        </w:rPr>
        <w:t xml:space="preserve"> downside_beta </w:t>
      </w:r>
      <w:r>
        <w:rPr>
          <w:rStyle w:val="KeywordTok"/>
        </w:rPr>
        <w:t>IS</w:t>
      </w:r>
      <w:r>
        <w:rPr>
          <w:rStyle w:val="NormalTok"/>
        </w:rPr>
        <w:t xml:space="preserve"> </w:t>
      </w:r>
      <w:r>
        <w:rPr>
          <w:rStyle w:val="KeywordTok"/>
        </w:rPr>
        <w:t>NULL</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missing_downside_beta,</w:t>
      </w:r>
      <w:r>
        <w:br/>
      </w:r>
      <w:r>
        <w:rPr>
          <w:rStyle w:val="NormalTok"/>
        </w:rPr>
        <w:t xml:space="preserve">       </w:t>
      </w:r>
      <w:r>
        <w:rPr>
          <w:rStyle w:val="FunctionTok"/>
        </w:rPr>
        <w:t>SUM</w:t>
      </w:r>
      <w:r>
        <w:rPr>
          <w:rStyle w:val="NormalTok"/>
        </w:rPr>
        <w:t>(</w:t>
      </w:r>
      <w:r>
        <w:rPr>
          <w:rStyle w:val="ControlFlowTok"/>
        </w:rPr>
        <w:t>CASE</w:t>
      </w:r>
      <w:r>
        <w:rPr>
          <w:rStyle w:val="NormalTok"/>
        </w:rPr>
        <w:t xml:space="preserve"> </w:t>
      </w:r>
      <w:r>
        <w:rPr>
          <w:rStyle w:val="ControlFlowTok"/>
        </w:rPr>
        <w:t>WHEN</w:t>
      </w:r>
      <w:r>
        <w:rPr>
          <w:rStyle w:val="NormalTok"/>
        </w:rPr>
        <w:t xml:space="preserve"> controversy_score </w:t>
      </w:r>
      <w:r>
        <w:rPr>
          <w:rStyle w:val="KeywordTok"/>
        </w:rPr>
        <w:t>IS</w:t>
      </w:r>
      <w:r>
        <w:rPr>
          <w:rStyle w:val="NormalTok"/>
        </w:rPr>
        <w:t xml:space="preserve"> </w:t>
      </w:r>
      <w:r>
        <w:rPr>
          <w:rStyle w:val="KeywordTok"/>
        </w:rPr>
        <w:t>NULL</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missing_controversy_score,</w:t>
      </w:r>
      <w:r>
        <w:br/>
      </w:r>
      <w:r>
        <w:rPr>
          <w:rStyle w:val="NormalTok"/>
        </w:rPr>
        <w:t xml:space="preserve">       </w:t>
      </w:r>
      <w:r>
        <w:rPr>
          <w:rStyle w:val="FunctionTok"/>
        </w:rPr>
        <w:t>SUM</w:t>
      </w:r>
      <w:r>
        <w:rPr>
          <w:rStyle w:val="NormalTok"/>
        </w:rPr>
        <w:t>(</w:t>
      </w:r>
      <w:r>
        <w:rPr>
          <w:rStyle w:val="ControlFlowTok"/>
        </w:rPr>
        <w:t>CASE</w:t>
      </w:r>
      <w:r>
        <w:rPr>
          <w:rStyle w:val="NormalTok"/>
        </w:rPr>
        <w:t xml:space="preserve"> </w:t>
      </w:r>
      <w:r>
        <w:rPr>
          <w:rStyle w:val="ControlFlowTok"/>
        </w:rPr>
        <w:t>WHEN</w:t>
      </w:r>
      <w:r>
        <w:rPr>
          <w:rStyle w:val="NormalTok"/>
        </w:rPr>
        <w:t xml:space="preserve"> market_cap </w:t>
      </w:r>
      <w:r>
        <w:rPr>
          <w:rStyle w:val="KeywordTok"/>
        </w:rPr>
        <w:t>IS</w:t>
      </w:r>
      <w:r>
        <w:rPr>
          <w:rStyle w:val="NormalTok"/>
        </w:rPr>
        <w:t xml:space="preserve"> </w:t>
      </w:r>
      <w:r>
        <w:rPr>
          <w:rStyle w:val="KeywordTok"/>
        </w:rPr>
        <w:t>NULL</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missing_market_cap</w:t>
      </w:r>
      <w:r>
        <w:br/>
      </w:r>
      <w:r>
        <w:rPr>
          <w:rStyle w:val="KeywordTok"/>
        </w:rPr>
        <w:t>FROM</w:t>
      </w:r>
      <w:r>
        <w:rPr>
          <w:rStyle w:val="NormalTok"/>
        </w:rPr>
        <w:t xml:space="preserve"> model_dataset;</w:t>
      </w:r>
    </w:p>
    <w:tbl>
      <w:tblPr>
        <w:tblStyle w:val="Table"/>
        <w:tblW w:w="5000" w:type="pct"/>
        <w:tblLook w:val="0020" w:firstRow="1" w:lastRow="0" w:firstColumn="0" w:lastColumn="0" w:noHBand="0" w:noVBand="0"/>
      </w:tblPr>
      <w:tblGrid>
        <w:gridCol w:w="801"/>
        <w:gridCol w:w="2192"/>
        <w:gridCol w:w="2196"/>
        <w:gridCol w:w="2477"/>
        <w:gridCol w:w="1910"/>
      </w:tblGrid>
      <w:tr w:rsidR="00115D45" w14:paraId="4C62A98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986" w14:textId="77777777" w:rsidR="00115D45" w:rsidRDefault="00000000">
            <w:pPr>
              <w:pStyle w:val="Compact"/>
            </w:pPr>
            <w:r>
              <w:t>rows</w:t>
            </w:r>
          </w:p>
        </w:tc>
        <w:tc>
          <w:tcPr>
            <w:tcW w:w="0" w:type="auto"/>
          </w:tcPr>
          <w:p w14:paraId="4C62A987" w14:textId="77777777" w:rsidR="00115D45" w:rsidRDefault="00000000">
            <w:pPr>
              <w:pStyle w:val="Compact"/>
            </w:pPr>
            <w:r>
              <w:t>missing_lagged_ncskew</w:t>
            </w:r>
          </w:p>
        </w:tc>
        <w:tc>
          <w:tcPr>
            <w:tcW w:w="0" w:type="auto"/>
          </w:tcPr>
          <w:p w14:paraId="4C62A988" w14:textId="77777777" w:rsidR="00115D45" w:rsidRDefault="00000000">
            <w:pPr>
              <w:pStyle w:val="Compact"/>
            </w:pPr>
            <w:r>
              <w:t>missing_downside_beta</w:t>
            </w:r>
          </w:p>
        </w:tc>
        <w:tc>
          <w:tcPr>
            <w:tcW w:w="0" w:type="auto"/>
          </w:tcPr>
          <w:p w14:paraId="4C62A989" w14:textId="77777777" w:rsidR="00115D45" w:rsidRDefault="00000000">
            <w:pPr>
              <w:pStyle w:val="Compact"/>
            </w:pPr>
            <w:r>
              <w:t>missing_controversy_score</w:t>
            </w:r>
          </w:p>
        </w:tc>
        <w:tc>
          <w:tcPr>
            <w:tcW w:w="0" w:type="auto"/>
          </w:tcPr>
          <w:p w14:paraId="4C62A98A" w14:textId="77777777" w:rsidR="00115D45" w:rsidRDefault="00000000">
            <w:pPr>
              <w:pStyle w:val="Compact"/>
            </w:pPr>
            <w:r>
              <w:t>missing_market_cap</w:t>
            </w:r>
          </w:p>
        </w:tc>
      </w:tr>
      <w:tr w:rsidR="00115D45" w14:paraId="4C62A991" w14:textId="77777777">
        <w:tc>
          <w:tcPr>
            <w:tcW w:w="0" w:type="auto"/>
          </w:tcPr>
          <w:p w14:paraId="4C62A98C" w14:textId="77777777" w:rsidR="00115D45" w:rsidRDefault="00000000">
            <w:pPr>
              <w:pStyle w:val="Compact"/>
            </w:pPr>
            <w:r>
              <w:t>15,700</w:t>
            </w:r>
          </w:p>
        </w:tc>
        <w:tc>
          <w:tcPr>
            <w:tcW w:w="0" w:type="auto"/>
          </w:tcPr>
          <w:p w14:paraId="4C62A98D" w14:textId="77777777" w:rsidR="00115D45" w:rsidRDefault="00000000">
            <w:pPr>
              <w:pStyle w:val="Compact"/>
            </w:pPr>
            <w:r>
              <w:t>400</w:t>
            </w:r>
          </w:p>
        </w:tc>
        <w:tc>
          <w:tcPr>
            <w:tcW w:w="0" w:type="auto"/>
          </w:tcPr>
          <w:p w14:paraId="4C62A98E" w14:textId="77777777" w:rsidR="00115D45" w:rsidRDefault="00000000">
            <w:pPr>
              <w:pStyle w:val="Compact"/>
            </w:pPr>
            <w:r>
              <w:t>550</w:t>
            </w:r>
          </w:p>
        </w:tc>
        <w:tc>
          <w:tcPr>
            <w:tcW w:w="0" w:type="auto"/>
          </w:tcPr>
          <w:p w14:paraId="4C62A98F" w14:textId="77777777" w:rsidR="00115D45" w:rsidRDefault="00000000">
            <w:pPr>
              <w:pStyle w:val="Compact"/>
            </w:pPr>
            <w:r>
              <w:t>200</w:t>
            </w:r>
          </w:p>
        </w:tc>
        <w:tc>
          <w:tcPr>
            <w:tcW w:w="0" w:type="auto"/>
          </w:tcPr>
          <w:p w14:paraId="4C62A990" w14:textId="77777777" w:rsidR="00115D45" w:rsidRDefault="00000000">
            <w:pPr>
              <w:pStyle w:val="Compact"/>
            </w:pPr>
            <w:r>
              <w:t>0</w:t>
            </w:r>
          </w:p>
        </w:tc>
      </w:tr>
    </w:tbl>
    <w:p w14:paraId="4C62A992" w14:textId="77777777" w:rsidR="00115D45" w:rsidRDefault="00000000">
      <w:pPr>
        <w:pStyle w:val="BodyText"/>
      </w:pPr>
      <w:r>
        <w:lastRenderedPageBreak/>
        <w:t>The 400 missing NCSKEW values correspond to the first 8 weeks per ticker (the minimum-periods requirement for the rolling computation). The 550 missing downside beta values arise because downside beta needs at least 3 weeks in which the market fell, which takes slightly longer to accumulate than a simple rolling window. The 200 missing controversy values occur at the start of each ticker’s history before the first controversy record is joined. All three patterns are structural and handled by the median imputer.</w:t>
      </w:r>
    </w:p>
    <w:p w14:paraId="4C62A993" w14:textId="77777777" w:rsidR="00115D45" w:rsidRDefault="00000000">
      <w:pPr>
        <w:pStyle w:val="Heading3"/>
      </w:pPr>
      <w:bookmarkStart w:id="14" w:name="visualisations"/>
      <w:bookmarkEnd w:id="13"/>
      <w:r>
        <w:t>1.6 Visualisations</w:t>
      </w:r>
    </w:p>
    <w:p w14:paraId="4C62A994" w14:textId="77777777" w:rsidR="00115D45" w:rsidRDefault="00000000">
      <w:pPr>
        <w:pStyle w:val="FirstParagraph"/>
      </w:pPr>
      <w:r>
        <w:t xml:space="preserve">The pipeline writes seven SVG figures to </w:t>
      </w:r>
      <w:r>
        <w:rPr>
          <w:rStyle w:val="VerbatimChar"/>
        </w:rPr>
        <w:t>outputs/figures/</w:t>
      </w:r>
      <w:r>
        <w:t xml:space="preserve"> automatically on each run:</w:t>
      </w:r>
    </w:p>
    <w:tbl>
      <w:tblPr>
        <w:tblStyle w:val="Table"/>
        <w:tblW w:w="5000" w:type="pct"/>
        <w:tblLook w:val="0020" w:firstRow="1" w:lastRow="0" w:firstColumn="0" w:lastColumn="0" w:noHBand="0" w:noVBand="0"/>
      </w:tblPr>
      <w:tblGrid>
        <w:gridCol w:w="1876"/>
        <w:gridCol w:w="3240"/>
        <w:gridCol w:w="4460"/>
      </w:tblGrid>
      <w:tr w:rsidR="00115D45" w14:paraId="4C62A99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995" w14:textId="77777777" w:rsidR="00115D45" w:rsidRDefault="00000000">
            <w:pPr>
              <w:pStyle w:val="Compact"/>
            </w:pPr>
            <w:r>
              <w:t>Figure</w:t>
            </w:r>
          </w:p>
        </w:tc>
        <w:tc>
          <w:tcPr>
            <w:tcW w:w="0" w:type="auto"/>
          </w:tcPr>
          <w:p w14:paraId="4C62A996" w14:textId="77777777" w:rsidR="00115D45" w:rsidRDefault="00000000">
            <w:pPr>
              <w:pStyle w:val="Compact"/>
            </w:pPr>
            <w:r>
              <w:t>File</w:t>
            </w:r>
          </w:p>
        </w:tc>
        <w:tc>
          <w:tcPr>
            <w:tcW w:w="0" w:type="auto"/>
          </w:tcPr>
          <w:p w14:paraId="4C62A997" w14:textId="77777777" w:rsidR="00115D45" w:rsidRDefault="00000000">
            <w:pPr>
              <w:pStyle w:val="Compact"/>
            </w:pPr>
            <w:r>
              <w:t>Description</w:t>
            </w:r>
          </w:p>
        </w:tc>
      </w:tr>
      <w:tr w:rsidR="00115D45" w14:paraId="4C62A99C" w14:textId="77777777">
        <w:tc>
          <w:tcPr>
            <w:tcW w:w="0" w:type="auto"/>
          </w:tcPr>
          <w:p w14:paraId="4C62A999" w14:textId="77777777" w:rsidR="00115D45" w:rsidRDefault="00000000">
            <w:pPr>
              <w:pStyle w:val="Compact"/>
            </w:pPr>
            <w:r>
              <w:t>Crash-risk probability ranking</w:t>
            </w:r>
          </w:p>
        </w:tc>
        <w:tc>
          <w:tcPr>
            <w:tcW w:w="0" w:type="auto"/>
          </w:tcPr>
          <w:p w14:paraId="4C62A99A" w14:textId="77777777" w:rsidR="00115D45" w:rsidRDefault="00000000">
            <w:pPr>
              <w:pStyle w:val="Compact"/>
            </w:pPr>
            <w:r>
              <w:rPr>
                <w:rStyle w:val="VerbatimChar"/>
              </w:rPr>
              <w:t>crash_risk_ranking.svg</w:t>
            </w:r>
          </w:p>
        </w:tc>
        <w:tc>
          <w:tcPr>
            <w:tcW w:w="0" w:type="auto"/>
          </w:tcPr>
          <w:p w14:paraId="4C62A99B" w14:textId="77777777" w:rsidR="00115D45" w:rsidRDefault="00000000">
            <w:pPr>
              <w:pStyle w:val="Compact"/>
            </w:pPr>
            <w:r>
              <w:t>Horizontal bar chart of all 50 stocks ranked by crash probability, colour-coded by risk bucket (red=High, amber=Medium, green=Low)</w:t>
            </w:r>
          </w:p>
        </w:tc>
      </w:tr>
      <w:tr w:rsidR="00115D45" w14:paraId="4C62A9A0" w14:textId="77777777">
        <w:tc>
          <w:tcPr>
            <w:tcW w:w="0" w:type="auto"/>
          </w:tcPr>
          <w:p w14:paraId="4C62A99D" w14:textId="77777777" w:rsidR="00115D45" w:rsidRDefault="00000000">
            <w:pPr>
              <w:pStyle w:val="Compact"/>
            </w:pPr>
            <w:r>
              <w:t>Average controversy by sector</w:t>
            </w:r>
          </w:p>
        </w:tc>
        <w:tc>
          <w:tcPr>
            <w:tcW w:w="0" w:type="auto"/>
          </w:tcPr>
          <w:p w14:paraId="4C62A99E" w14:textId="77777777" w:rsidR="00115D45" w:rsidRDefault="00000000">
            <w:pPr>
              <w:pStyle w:val="Compact"/>
            </w:pPr>
            <w:r>
              <w:rPr>
                <w:rStyle w:val="VerbatimChar"/>
              </w:rPr>
              <w:t>controversy_by_sector.svg</w:t>
            </w:r>
          </w:p>
        </w:tc>
        <w:tc>
          <w:tcPr>
            <w:tcW w:w="0" w:type="auto"/>
          </w:tcPr>
          <w:p w14:paraId="4C62A99F" w14:textId="77777777" w:rsidR="00115D45" w:rsidRDefault="00000000">
            <w:pPr>
              <w:pStyle w:val="Compact"/>
            </w:pPr>
            <w:r>
              <w:t>Bar chart showing sector-average controversy score, confirming Energy and Financial Services as highest-controversy sectors</w:t>
            </w:r>
          </w:p>
        </w:tc>
      </w:tr>
      <w:tr w:rsidR="00115D45" w14:paraId="4C62A9A4" w14:textId="77777777">
        <w:tc>
          <w:tcPr>
            <w:tcW w:w="0" w:type="auto"/>
          </w:tcPr>
          <w:p w14:paraId="4C62A9A1" w14:textId="77777777" w:rsidR="00115D45" w:rsidRDefault="00000000">
            <w:pPr>
              <w:pStyle w:val="Compact"/>
            </w:pPr>
            <w:r>
              <w:t>Controversy over time</w:t>
            </w:r>
          </w:p>
        </w:tc>
        <w:tc>
          <w:tcPr>
            <w:tcW w:w="0" w:type="auto"/>
          </w:tcPr>
          <w:p w14:paraId="4C62A9A2" w14:textId="77777777" w:rsidR="00115D45" w:rsidRDefault="00000000">
            <w:pPr>
              <w:pStyle w:val="Compact"/>
            </w:pPr>
            <w:r>
              <w:rPr>
                <w:rStyle w:val="VerbatimChar"/>
              </w:rPr>
              <w:t>controversy_over_time.svg</w:t>
            </w:r>
          </w:p>
        </w:tc>
        <w:tc>
          <w:tcPr>
            <w:tcW w:w="0" w:type="auto"/>
          </w:tcPr>
          <w:p w14:paraId="4C62A9A3" w14:textId="77777777" w:rsidR="00115D45" w:rsidRDefault="00000000">
            <w:pPr>
              <w:pStyle w:val="Compact"/>
            </w:pPr>
            <w:r>
              <w:t>Line chart of cross-sectional average controversy score per week, showing time-series trend across 2019–2024</w:t>
            </w:r>
          </w:p>
        </w:tc>
      </w:tr>
      <w:tr w:rsidR="00115D45" w14:paraId="4C62A9A8" w14:textId="77777777">
        <w:tc>
          <w:tcPr>
            <w:tcW w:w="0" w:type="auto"/>
          </w:tcPr>
          <w:p w14:paraId="4C62A9A5" w14:textId="77777777" w:rsidR="00115D45" w:rsidRDefault="00000000">
            <w:pPr>
              <w:pStyle w:val="Compact"/>
            </w:pPr>
            <w:r>
              <w:t>Feature importance</w:t>
            </w:r>
          </w:p>
        </w:tc>
        <w:tc>
          <w:tcPr>
            <w:tcW w:w="0" w:type="auto"/>
          </w:tcPr>
          <w:p w14:paraId="4C62A9A6" w14:textId="77777777" w:rsidR="00115D45" w:rsidRDefault="00000000">
            <w:pPr>
              <w:pStyle w:val="Compact"/>
            </w:pPr>
            <w:r>
              <w:rPr>
                <w:rStyle w:val="VerbatimChar"/>
              </w:rPr>
              <w:t>feature_importance.svg</w:t>
            </w:r>
          </w:p>
        </w:tc>
        <w:tc>
          <w:tcPr>
            <w:tcW w:w="0" w:type="auto"/>
          </w:tcPr>
          <w:p w14:paraId="4C62A9A7" w14:textId="77777777" w:rsidR="00115D45" w:rsidRDefault="00000000">
            <w:pPr>
              <w:pStyle w:val="Compact"/>
            </w:pPr>
            <w:r>
              <w:t>Horizontal bar chart of the top-20 logistic regression coefficient magnitudes</w:t>
            </w:r>
          </w:p>
        </w:tc>
      </w:tr>
      <w:tr w:rsidR="00115D45" w14:paraId="4C62A9AC" w14:textId="77777777">
        <w:tc>
          <w:tcPr>
            <w:tcW w:w="0" w:type="auto"/>
          </w:tcPr>
          <w:p w14:paraId="4C62A9A9" w14:textId="77777777" w:rsidR="00115D45" w:rsidRDefault="00000000">
            <w:pPr>
              <w:pStyle w:val="Compact"/>
            </w:pPr>
            <w:r>
              <w:t>ESG controversy model lift</w:t>
            </w:r>
          </w:p>
        </w:tc>
        <w:tc>
          <w:tcPr>
            <w:tcW w:w="0" w:type="auto"/>
          </w:tcPr>
          <w:p w14:paraId="4C62A9AA" w14:textId="77777777" w:rsidR="00115D45" w:rsidRDefault="00000000">
            <w:pPr>
              <w:pStyle w:val="Compact"/>
            </w:pPr>
            <w:r>
              <w:rPr>
                <w:rStyle w:val="VerbatimChar"/>
              </w:rPr>
              <w:t>esg_lift.svg</w:t>
            </w:r>
          </w:p>
        </w:tc>
        <w:tc>
          <w:tcPr>
            <w:tcW w:w="0" w:type="auto"/>
          </w:tcPr>
          <w:p w14:paraId="4C62A9AB" w14:textId="77777777" w:rsidR="00115D45" w:rsidRDefault="00000000">
            <w:pPr>
              <w:pStyle w:val="Compact"/>
            </w:pPr>
            <w:r>
              <w:t>Grouped bar chart comparing baseline vs full-model ROC-AUC on validation and test splits</w:t>
            </w:r>
          </w:p>
        </w:tc>
      </w:tr>
      <w:tr w:rsidR="00115D45" w14:paraId="4C62A9B0" w14:textId="77777777">
        <w:tc>
          <w:tcPr>
            <w:tcW w:w="0" w:type="auto"/>
          </w:tcPr>
          <w:p w14:paraId="4C62A9AD" w14:textId="77777777" w:rsidR="00115D45" w:rsidRDefault="00000000">
            <w:pPr>
              <w:pStyle w:val="Compact"/>
            </w:pPr>
            <w:r>
              <w:t>13-week price scenario range</w:t>
            </w:r>
          </w:p>
        </w:tc>
        <w:tc>
          <w:tcPr>
            <w:tcW w:w="0" w:type="auto"/>
          </w:tcPr>
          <w:p w14:paraId="4C62A9AE" w14:textId="77777777" w:rsidR="00115D45" w:rsidRDefault="00000000">
            <w:pPr>
              <w:pStyle w:val="Compact"/>
            </w:pPr>
            <w:r>
              <w:rPr>
                <w:rStyle w:val="VerbatimChar"/>
              </w:rPr>
              <w:t>price_scenario_range.svg</w:t>
            </w:r>
          </w:p>
        </w:tc>
        <w:tc>
          <w:tcPr>
            <w:tcW w:w="0" w:type="auto"/>
          </w:tcPr>
          <w:p w14:paraId="4C62A9AF" w14:textId="77777777" w:rsidR="00115D45" w:rsidRDefault="00000000">
            <w:pPr>
              <w:pStyle w:val="Compact"/>
            </w:pPr>
            <w:r>
              <w:t>Fan chart showing bull/base/bear forward price paths for the top 10 stocks by crash probability</w:t>
            </w:r>
          </w:p>
        </w:tc>
      </w:tr>
      <w:tr w:rsidR="00115D45" w14:paraId="4C62A9B4" w14:textId="77777777">
        <w:tc>
          <w:tcPr>
            <w:tcW w:w="0" w:type="auto"/>
          </w:tcPr>
          <w:p w14:paraId="4C62A9B1" w14:textId="77777777" w:rsidR="00115D45" w:rsidRDefault="00000000">
            <w:pPr>
              <w:pStyle w:val="Compact"/>
            </w:pPr>
            <w:r>
              <w:t>Textual analysis word cloud</w:t>
            </w:r>
          </w:p>
        </w:tc>
        <w:tc>
          <w:tcPr>
            <w:tcW w:w="0" w:type="auto"/>
          </w:tcPr>
          <w:p w14:paraId="4C62A9B2" w14:textId="77777777" w:rsidR="00115D45" w:rsidRDefault="00000000">
            <w:pPr>
              <w:pStyle w:val="Compact"/>
            </w:pPr>
            <w:r>
              <w:rPr>
                <w:rStyle w:val="VerbatimChar"/>
              </w:rPr>
              <w:t>text_word_cloud.svg</w:t>
            </w:r>
          </w:p>
        </w:tc>
        <w:tc>
          <w:tcPr>
            <w:tcW w:w="0" w:type="auto"/>
          </w:tcPr>
          <w:p w14:paraId="4C62A9B3" w14:textId="77777777" w:rsidR="00115D45" w:rsidRDefault="00000000">
            <w:pPr>
              <w:pStyle w:val="Compact"/>
            </w:pPr>
            <w:r>
              <w:t>Controversy keyword frequency visualisation (placeholder when no raw text is supplied)</w:t>
            </w:r>
          </w:p>
        </w:tc>
      </w:tr>
    </w:tbl>
    <w:p w14:paraId="4C62A9B5" w14:textId="77777777" w:rsidR="00115D45" w:rsidRDefault="00000000">
      <w:r>
        <w:pict w14:anchorId="4C62AC3F">
          <v:rect id="_x0000_i1028" style="width:0;height:1.5pt" o:hralign="center" o:hrstd="t" o:hr="t"/>
        </w:pict>
      </w:r>
    </w:p>
    <w:p w14:paraId="4C62A9B6" w14:textId="77777777" w:rsidR="00115D45" w:rsidRDefault="00000000">
      <w:pPr>
        <w:pStyle w:val="Heading2"/>
      </w:pPr>
      <w:bookmarkStart w:id="15" w:name="textual-analysis"/>
      <w:bookmarkEnd w:id="3"/>
      <w:bookmarkEnd w:id="14"/>
      <w:r>
        <w:t>2. Textual Analysis</w:t>
      </w:r>
    </w:p>
    <w:p w14:paraId="4C62A9B7" w14:textId="77777777" w:rsidR="00115D45" w:rsidRDefault="00000000">
      <w:pPr>
        <w:pStyle w:val="Heading3"/>
      </w:pPr>
      <w:bookmarkStart w:id="16" w:name="vendor-signal-approach"/>
      <w:r>
        <w:t>2.1 Vendor Signal Approach</w:t>
      </w:r>
    </w:p>
    <w:p w14:paraId="4C62A9B8" w14:textId="77777777" w:rsidR="00115D45" w:rsidRDefault="00000000">
      <w:pPr>
        <w:pStyle w:val="FirstParagraph"/>
      </w:pPr>
      <w:r>
        <w:t xml:space="preserve">This project uses </w:t>
      </w:r>
      <w:r>
        <w:rPr>
          <w:rStyle w:val="VerbatimChar"/>
        </w:rPr>
        <w:t>controversy_score</w:t>
      </w:r>
      <w:r>
        <w:t xml:space="preserve"> as its primary text-derived ESG signal. In practice, ESG controversy scores sold by vendors such as Refinitiv, RepRisk, and Bloomberg are themselves constructed from systematic text analysis of news articles, regulatory filings, and watchdog reports. The vendor applies natural language processing to assign a </w:t>
      </w:r>
      <w:r>
        <w:lastRenderedPageBreak/>
        <w:t>numerical score reflecting the volume and severity of controversy-related language associated with each firm. By incorporating this score, the model benefits from text-based information without needing to process raw text directly.</w:t>
      </w:r>
    </w:p>
    <w:p w14:paraId="4C62A9B9" w14:textId="77777777" w:rsidR="00115D45" w:rsidRDefault="00000000">
      <w:pPr>
        <w:pStyle w:val="BodyText"/>
      </w:pPr>
      <w:r>
        <w:t xml:space="preserve">The eight controversy features described in Section 1.4 — levels, changes, rolling moments, spike flags, and sector percentiles — collectively capture not just the </w:t>
      </w:r>
      <w:r>
        <w:rPr>
          <w:i/>
          <w:iCs/>
        </w:rPr>
        <w:t>current</w:t>
      </w:r>
      <w:r>
        <w:t xml:space="preserve"> controversy level but also the </w:t>
      </w:r>
      <w:r>
        <w:rPr>
          <w:i/>
          <w:iCs/>
        </w:rPr>
        <w:t>dynamics</w:t>
      </w:r>
      <w:r>
        <w:t xml:space="preserve"> of that signal: how quickly it is rising, whether it has spiked anomalously, and how severe it is relative to the firm’s sector peers.</w:t>
      </w:r>
    </w:p>
    <w:p w14:paraId="4C62A9BA" w14:textId="77777777" w:rsidR="00115D45" w:rsidRDefault="00000000">
      <w:pPr>
        <w:pStyle w:val="Heading3"/>
      </w:pPr>
      <w:bookmarkStart w:id="17" w:name="limitation-direct-headline-text"/>
      <w:bookmarkEnd w:id="16"/>
      <w:r>
        <w:t>2.2 Limitation: Direct Headline Text</w:t>
      </w:r>
    </w:p>
    <w:p w14:paraId="4C62A9BB" w14:textId="77777777" w:rsidR="00115D45" w:rsidRDefault="00000000">
      <w:pPr>
        <w:pStyle w:val="BlockText"/>
      </w:pPr>
      <w:r>
        <w:rPr>
          <w:b/>
          <w:bCs/>
        </w:rPr>
        <w:t>Note on textual analysis scope:</w:t>
      </w:r>
      <w:r>
        <w:t xml:space="preserve"> The pipeline is designed to ingest raw news headline text from a file named </w:t>
      </w:r>
      <w:r>
        <w:rPr>
          <w:rStyle w:val="VerbatimChar"/>
        </w:rPr>
        <w:t>controversy_text.csv</w:t>
      </w:r>
      <w:r>
        <w:t xml:space="preserve"> or </w:t>
      </w:r>
      <w:r>
        <w:rPr>
          <w:rStyle w:val="VerbatimChar"/>
        </w:rPr>
        <w:t>news_text.csv</w:t>
      </w:r>
      <w:r>
        <w:t xml:space="preserve"> in the raw data directory. For this run, no such file was provided. The </w:t>
      </w:r>
      <w:r>
        <w:rPr>
          <w:rStyle w:val="VerbatimChar"/>
        </w:rPr>
        <w:t>textual_analysis.csv</w:t>
      </w:r>
      <w:r>
        <w:t xml:space="preserve"> output records:</w:t>
      </w:r>
    </w:p>
    <w:p w14:paraId="4C62A9BC" w14:textId="77777777" w:rsidR="00115D45" w:rsidRDefault="00000000">
      <w:pPr>
        <w:pStyle w:val="BlockText"/>
      </w:pPr>
      <w:r>
        <w:rPr>
          <w:rStyle w:val="VerbatimChar"/>
        </w:rPr>
        <w:t>status: no_text_file — No controversy_text/news_text file found. Treat controversy_score as a vendor text-derived ESG signal until raw text is supplied.</w:t>
      </w:r>
    </w:p>
    <w:p w14:paraId="4C62A9BD" w14:textId="77777777" w:rsidR="00115D45" w:rsidRDefault="00000000">
      <w:pPr>
        <w:pStyle w:val="BlockText"/>
      </w:pPr>
      <w:r>
        <w:t>Direct headline-level sentiment scoring is therefore a planned extension rather than a current implementation. The results presented in this report should be read with this limitation in mind: the ESG signal is a monthly aggregated vendor score, not a real-time news stream.</w:t>
      </w:r>
    </w:p>
    <w:p w14:paraId="4C62A9BE" w14:textId="77777777" w:rsidR="00115D45" w:rsidRDefault="00000000">
      <w:pPr>
        <w:pStyle w:val="Heading3"/>
      </w:pPr>
      <w:bookmarkStart w:id="18" w:name="Xb07b398ce53914341f1c2ed3638a5a5789885aa"/>
      <w:bookmarkEnd w:id="17"/>
      <w:r>
        <w:t>2.3 Direct Text Methodology (When Raw Text Is Supplied)</w:t>
      </w:r>
    </w:p>
    <w:p w14:paraId="4C62A9BF" w14:textId="77777777" w:rsidR="00115D45" w:rsidRDefault="00000000">
      <w:pPr>
        <w:pStyle w:val="FirstParagraph"/>
      </w:pPr>
      <w:r>
        <w:t xml:space="preserve">For completeness, the pipeline implements a full text analysis module in </w:t>
      </w:r>
      <w:r>
        <w:rPr>
          <w:rStyle w:val="VerbatimChar"/>
        </w:rPr>
        <w:t>crashrisk/analysis/reporting.py</w:t>
      </w:r>
      <w:r>
        <w:t xml:space="preserve">. When a raw text file with columns </w:t>
      </w:r>
      <w:r>
        <w:rPr>
          <w:rStyle w:val="VerbatimChar"/>
        </w:rPr>
        <w:t>[ticker, date, headline/body/text]</w:t>
      </w:r>
      <w:r>
        <w:t xml:space="preserve"> is supplied, the pipeline computes:</w:t>
      </w:r>
    </w:p>
    <w:p w14:paraId="4C62A9C0" w14:textId="77777777" w:rsidR="00115D45" w:rsidRDefault="00000000">
      <w:pPr>
        <w:pStyle w:val="BodyText"/>
      </w:pPr>
      <w:r>
        <w:rPr>
          <w:b/>
          <w:bCs/>
        </w:rPr>
        <w:t>Sentiment score</w:t>
      </w:r>
      <w:r>
        <w:t xml:space="preserve"> per article:</w:t>
      </w:r>
    </w:p>
    <w:p w14:paraId="4C62A9C1" w14:textId="77777777" w:rsidR="00115D45" w:rsidRDefault="00000000">
      <w:pPr>
        <w:pStyle w:val="BodyText"/>
      </w:pPr>
      <m:oMathPara>
        <m:oMathParaPr>
          <m:jc m:val="center"/>
        </m:oMathParaPr>
        <m:oMath>
          <m:sSub>
            <m:sSubPr>
              <m:ctrlPr>
                <w:rPr>
                  <w:rFonts w:ascii="Cambria Math" w:hAnsi="Cambria Math"/>
                </w:rPr>
              </m:ctrlPr>
            </m:sSubPr>
            <m:e>
              <m:r>
                <m:rPr>
                  <m:nor/>
                </m:rPr>
                <m:t>sentiment</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positive words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nor/>
                    </m:rPr>
                    <m:t>negative words</m:t>
                  </m:r>
                </m:e>
                <m:sub>
                  <m:r>
                    <w:rPr>
                      <w:rFonts w:ascii="Cambria Math" w:hAnsi="Cambria Math"/>
                    </w:rPr>
                    <m:t>j</m:t>
                  </m:r>
                </m:sub>
              </m:sSub>
            </m:num>
            <m:den>
              <m:sSub>
                <m:sSubPr>
                  <m:ctrlPr>
                    <w:rPr>
                      <w:rFonts w:ascii="Cambria Math" w:hAnsi="Cambria Math"/>
                    </w:rPr>
                  </m:ctrlPr>
                </m:sSubPr>
                <m:e>
                  <m:r>
                    <m:rPr>
                      <m:nor/>
                    </m:rPr>
                    <m:t>total tokens</m:t>
                  </m:r>
                </m:e>
                <m:sub>
                  <m:r>
                    <w:rPr>
                      <w:rFonts w:ascii="Cambria Math" w:hAnsi="Cambria Math"/>
                    </w:rPr>
                    <m:t>j</m:t>
                  </m:r>
                </m:sub>
              </m:sSub>
            </m:den>
          </m:f>
        </m:oMath>
      </m:oMathPara>
    </w:p>
    <w:p w14:paraId="4C62A9C2" w14:textId="77777777" w:rsidR="00115D45" w:rsidRDefault="00000000">
      <w:pPr>
        <w:pStyle w:val="FirstParagraph"/>
      </w:pPr>
      <w:r>
        <w:rPr>
          <w:b/>
          <w:bCs/>
        </w:rPr>
        <w:t>Weekly aggregate</w:t>
      </w:r>
      <w:r>
        <w:t xml:space="preserve"> per ticker:</w:t>
      </w:r>
    </w:p>
    <w:p w14:paraId="4C62A9C3" w14:textId="77777777" w:rsidR="00115D45"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sub>
            <m:sup>
              <m:r>
                <w:rPr>
                  <w:rFonts w:ascii="Cambria Math" w:hAnsi="Cambria Math"/>
                </w:rPr>
                <m:t>​</m:t>
              </m:r>
            </m:sup>
            <m:e>
              <m:sSub>
                <m:sSubPr>
                  <m:ctrlPr>
                    <w:rPr>
                      <w:rFonts w:ascii="Cambria Math" w:hAnsi="Cambria Math"/>
                    </w:rPr>
                  </m:ctrlPr>
                </m:sSubPr>
                <m:e>
                  <m:r>
                    <m:rPr>
                      <m:nor/>
                    </m:rPr>
                    <m:t>sentiment</m:t>
                  </m:r>
                </m:e>
                <m:sub>
                  <m:r>
                    <w:rPr>
                      <w:rFonts w:ascii="Cambria Math" w:hAnsi="Cambria Math"/>
                    </w:rPr>
                    <m:t>j</m:t>
                  </m:r>
                </m:sub>
              </m:sSub>
            </m:e>
          </m:nary>
        </m:oMath>
      </m:oMathPara>
    </w:p>
    <w:p w14:paraId="4C62A9C4" w14:textId="77777777" w:rsidR="00115D45" w:rsidRDefault="00000000">
      <w:pPr>
        <w:pStyle w:val="FirstParagraph"/>
      </w:pPr>
      <w:r>
        <w:t xml:space="preserve">where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oMath>
      <w:r>
        <w:t xml:space="preserve"> is the set of articles for ticker </w:t>
      </w:r>
      <m:oMath>
        <m:r>
          <w:rPr>
            <w:rFonts w:ascii="Cambria Math" w:hAnsi="Cambria Math"/>
          </w:rPr>
          <m:t>i</m:t>
        </m:r>
      </m:oMath>
      <w:r>
        <w:t xml:space="preserve"> in week </w:t>
      </w:r>
      <m:oMath>
        <m:r>
          <w:rPr>
            <w:rFonts w:ascii="Cambria Math" w:hAnsi="Cambria Math"/>
          </w:rPr>
          <m:t>t</m:t>
        </m:r>
      </m:oMath>
      <w:r>
        <w:t>.</w:t>
      </w:r>
    </w:p>
    <w:p w14:paraId="4C62A9C5" w14:textId="77777777" w:rsidR="00115D45" w:rsidRDefault="00000000">
      <w:pPr>
        <w:pStyle w:val="BodyText"/>
      </w:pPr>
      <w:r>
        <w:t>The pipeline uses domain-specific lexicons tuned to ESG and financial controversy language:</w:t>
      </w:r>
    </w:p>
    <w:p w14:paraId="4C62A9C6" w14:textId="77777777" w:rsidR="00115D45" w:rsidRDefault="00000000">
      <w:pPr>
        <w:pStyle w:val="Compact"/>
        <w:numPr>
          <w:ilvl w:val="0"/>
          <w:numId w:val="7"/>
        </w:numPr>
      </w:pPr>
      <w:r>
        <w:rPr>
          <w:b/>
          <w:bCs/>
        </w:rPr>
        <w:t>Negative word list</w:t>
      </w:r>
      <w:r>
        <w:t xml:space="preserve"> (25 words): abuse, accident, allegation, breach, bribery, collapse, controversy, corruption, crash, crisis, default, downgrade, emissions, fraud, investigation, lawsuit, loss, misconduct, pollution, probe, recall, risk, scandal, strike, violation</w:t>
      </w:r>
    </w:p>
    <w:p w14:paraId="4C62A9C7" w14:textId="77777777" w:rsidR="00115D45" w:rsidRDefault="00000000">
      <w:pPr>
        <w:pStyle w:val="Compact"/>
        <w:numPr>
          <w:ilvl w:val="0"/>
          <w:numId w:val="7"/>
        </w:numPr>
      </w:pPr>
      <w:r>
        <w:rPr>
          <w:b/>
          <w:bCs/>
        </w:rPr>
        <w:lastRenderedPageBreak/>
        <w:t>Positive word list</w:t>
      </w:r>
      <w:r>
        <w:t xml:space="preserve"> (13 words): award, benefit, clean, improve, improved, positive, progress, resolve, resolved, safe, settle, settled, upgrade</w:t>
      </w:r>
    </w:p>
    <w:p w14:paraId="4C62A9C8" w14:textId="77777777" w:rsidR="00115D45" w:rsidRDefault="00000000">
      <w:pPr>
        <w:pStyle w:val="Compact"/>
        <w:numPr>
          <w:ilvl w:val="0"/>
          <w:numId w:val="7"/>
        </w:numPr>
      </w:pPr>
      <w:r>
        <w:rPr>
          <w:b/>
          <w:bCs/>
        </w:rPr>
        <w:t>Controversy keyword tracker</w:t>
      </w:r>
      <w:r>
        <w:t xml:space="preserve"> (12 terms): bribery, corruption, emissions, fraud, governance, investigation, lawsuit, misconduct, pollution, scandal, social, violation</w:t>
      </w:r>
    </w:p>
    <w:p w14:paraId="4C62A9C9" w14:textId="77777777" w:rsidR="00115D45" w:rsidRDefault="00000000">
      <w:pPr>
        <w:pStyle w:val="FirstParagraph"/>
      </w:pPr>
      <w:r>
        <w:t xml:space="preserve">The output is aggregated to a weekly </w:t>
      </w:r>
      <w:r>
        <w:rPr>
          <w:rStyle w:val="VerbatimChar"/>
        </w:rPr>
        <w:t>textual_analysis.csv</w:t>
      </w:r>
      <w:r>
        <w:t xml:space="preserve"> with article counts, mean sentiment, negative word counts, controversy keyword counts, and a 13-week rolling sentiment trend per ticker. The word cloud SVG visualises the most frequent controversy-related terms across all articles.</w:t>
      </w:r>
    </w:p>
    <w:p w14:paraId="4C62A9CA" w14:textId="77777777" w:rsidR="00115D45" w:rsidRDefault="00000000">
      <w:pPr>
        <w:pStyle w:val="Heading3"/>
      </w:pPr>
      <w:bookmarkStart w:id="19" w:name="controversy-to-crash-causality-channel"/>
      <w:bookmarkEnd w:id="18"/>
      <w:r>
        <w:t>2.4 Controversy-to-Crash Causality Channel</w:t>
      </w:r>
    </w:p>
    <w:p w14:paraId="4C62A9CB" w14:textId="77777777" w:rsidR="00115D45" w:rsidRDefault="00000000">
      <w:pPr>
        <w:pStyle w:val="FirstParagraph"/>
      </w:pPr>
      <w:r>
        <w:t>The theoretical link from ESG controversy to stock crash risk follows a specific mechanism documented in Kim, Li and Zhang (2014):</w:t>
      </w:r>
    </w:p>
    <w:p w14:paraId="4C62A9CC" w14:textId="77777777" w:rsidR="00115D45" w:rsidRDefault="00000000">
      <w:pPr>
        <w:pStyle w:val="Compact"/>
        <w:numPr>
          <w:ilvl w:val="0"/>
          <w:numId w:val="8"/>
        </w:numPr>
      </w:pPr>
      <w:r>
        <w:t>A firm faces an adverse ESG event (e.g., environmental spill, governance scandal, labour dispute)</w:t>
      </w:r>
    </w:p>
    <w:p w14:paraId="4C62A9CD" w14:textId="77777777" w:rsidR="00115D45" w:rsidRDefault="00000000">
      <w:pPr>
        <w:pStyle w:val="Compact"/>
        <w:numPr>
          <w:ilvl w:val="0"/>
          <w:numId w:val="8"/>
        </w:numPr>
      </w:pPr>
      <w:r>
        <w:t>Management initially suppresses the negative information from public disclosure</w:t>
      </w:r>
    </w:p>
    <w:p w14:paraId="4C62A9CE" w14:textId="77777777" w:rsidR="00115D45" w:rsidRDefault="00000000">
      <w:pPr>
        <w:pStyle w:val="Compact"/>
        <w:numPr>
          <w:ilvl w:val="0"/>
          <w:numId w:val="8"/>
        </w:numPr>
      </w:pPr>
      <w:r>
        <w:t>The ESG controversy score begins rising as external observers (NGOs, media, regulators) react</w:t>
      </w:r>
    </w:p>
    <w:p w14:paraId="4C62A9CF" w14:textId="77777777" w:rsidR="00115D45" w:rsidRDefault="00000000">
      <w:pPr>
        <w:pStyle w:val="Compact"/>
        <w:numPr>
          <w:ilvl w:val="0"/>
          <w:numId w:val="8"/>
        </w:numPr>
      </w:pPr>
      <w:r>
        <w:t>This information suppression causes the stock’s return distribution to become increasingly left-skewed: small positive returns continue while large negative outcomes accumulate off-balance-sheet</w:t>
      </w:r>
    </w:p>
    <w:p w14:paraId="4C62A9D0" w14:textId="77777777" w:rsidR="00115D45" w:rsidRDefault="00000000">
      <w:pPr>
        <w:pStyle w:val="Compact"/>
        <w:numPr>
          <w:ilvl w:val="0"/>
          <w:numId w:val="8"/>
        </w:numPr>
      </w:pPr>
      <w:r>
        <w:t>Eventually the bad news is disclosed — regulatory compulsion, litigation, or a whistleblower — and the share price crashes suddenly</w:t>
      </w:r>
    </w:p>
    <w:p w14:paraId="4C62A9D1" w14:textId="77777777" w:rsidR="00115D45" w:rsidRDefault="00000000">
      <w:pPr>
        <w:pStyle w:val="Compact"/>
        <w:numPr>
          <w:ilvl w:val="0"/>
          <w:numId w:val="8"/>
        </w:numPr>
      </w:pPr>
      <w:r>
        <w:t>The crash is predictable in expectation because NCSKEW and controversy dynamics were already deteriorating</w:t>
      </w:r>
    </w:p>
    <w:p w14:paraId="4C62A9D2" w14:textId="77777777" w:rsidR="00115D45" w:rsidRDefault="00000000">
      <w:pPr>
        <w:pStyle w:val="FirstParagraph"/>
      </w:pPr>
      <w:r>
        <w:t>The controversy spike flag (</w:t>
      </w:r>
      <w:r>
        <w:rPr>
          <w:rStyle w:val="VerbatimChar"/>
        </w:rPr>
        <w:t>controversy_spike_flag = 1</w:t>
      </w:r>
      <w:r>
        <w:t>) captures step 3 precisely: it fires when the current controversy reading exceeds the firm’s own 26-week average by two standard deviations, indicating an abnormal escalation that the stock-price has not yet fully reflected.</w:t>
      </w:r>
    </w:p>
    <w:p w14:paraId="4C62A9D3" w14:textId="77777777" w:rsidR="00115D45" w:rsidRDefault="00000000">
      <w:r>
        <w:pict w14:anchorId="4C62AC40">
          <v:rect id="_x0000_i1029" style="width:0;height:1.5pt" o:hralign="center" o:hrstd="t" o:hr="t"/>
        </w:pict>
      </w:r>
    </w:p>
    <w:p w14:paraId="4C62A9D4" w14:textId="77777777" w:rsidR="00115D45" w:rsidRDefault="00000000">
      <w:pPr>
        <w:pStyle w:val="Heading2"/>
      </w:pPr>
      <w:bookmarkStart w:id="20" w:name="machine-learning"/>
      <w:bookmarkEnd w:id="15"/>
      <w:bookmarkEnd w:id="19"/>
      <w:r>
        <w:t>3. Machine Learning</w:t>
      </w:r>
    </w:p>
    <w:p w14:paraId="4C62A9D5" w14:textId="77777777" w:rsidR="00115D45" w:rsidRDefault="00000000">
      <w:pPr>
        <w:pStyle w:val="Heading3"/>
      </w:pPr>
      <w:bookmarkStart w:id="21" w:name="target-variable"/>
      <w:r>
        <w:t>3.1 Target Variable</w:t>
      </w:r>
    </w:p>
    <w:p w14:paraId="4C62A9D6" w14:textId="77777777" w:rsidR="00115D45" w:rsidRDefault="00000000">
      <w:pPr>
        <w:pStyle w:val="FirstParagraph"/>
      </w:pPr>
      <w:r>
        <w:t xml:space="preserve">The model predicts a binary classification label </w:t>
      </w:r>
      <w:r>
        <w:rPr>
          <w:rStyle w:val="VerbatimChar"/>
        </w:rPr>
        <w:t>high_crash_risk ∈ {0, 1}</w:t>
      </w:r>
      <w:r>
        <w:t xml:space="preserve"> constructed from the </w:t>
      </w:r>
      <w:r>
        <w:rPr>
          <w:i/>
          <w:iCs/>
        </w:rPr>
        <w:t>future</w:t>
      </w:r>
      <w:r>
        <w:t xml:space="preserve"> 13-week return distribution of each stock.</w:t>
      </w:r>
    </w:p>
    <w:p w14:paraId="4C62A9D7" w14:textId="77777777" w:rsidR="00115D45" w:rsidRDefault="00000000">
      <w:pPr>
        <w:pStyle w:val="BodyText"/>
      </w:pPr>
      <w:r>
        <w:rPr>
          <w:b/>
          <w:bCs/>
        </w:rPr>
        <w:t>Step 1: Compute future NCSKEW.</w:t>
      </w:r>
      <w:r>
        <w:t xml:space="preserve"> For each stock at each week </w:t>
      </w:r>
      <m:oMath>
        <m:r>
          <w:rPr>
            <w:rFonts w:ascii="Cambria Math" w:hAnsi="Cambria Math"/>
          </w:rPr>
          <m:t>t</m:t>
        </m:r>
      </m:oMath>
      <w:r>
        <w:t xml:space="preserve">, collect the 13 subsequent firm-specific weekly returns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13</m:t>
            </m:r>
          </m:sub>
        </m:sSub>
        <m:r>
          <m:rPr>
            <m:sty m:val="p"/>
          </m:rPr>
          <w:rPr>
            <w:rFonts w:ascii="Cambria Math" w:hAnsi="Cambria Math"/>
          </w:rPr>
          <m:t>}</m:t>
        </m:r>
      </m:oMath>
      <w:r>
        <w:t xml:space="preserve"> and apply the NCSKEW formula above. This produces a continuous </w:t>
      </w:r>
      <w:r>
        <w:rPr>
          <w:rStyle w:val="VerbatimChar"/>
        </w:rPr>
        <w:t>future_ncskew</w:t>
      </w:r>
      <w:r>
        <w:t xml:space="preserve"> value for every labelled observation.</w:t>
      </w:r>
    </w:p>
    <w:p w14:paraId="4C62A9D8" w14:textId="77777777" w:rsidR="00115D45" w:rsidRDefault="00000000">
      <w:pPr>
        <w:pStyle w:val="BodyText"/>
      </w:pPr>
      <w:r>
        <w:rPr>
          <w:b/>
          <w:bCs/>
        </w:rPr>
        <w:lastRenderedPageBreak/>
        <w:t>Step 2: Cross-sectional labelling.</w:t>
      </w:r>
      <w:r>
        <w:t xml:space="preserve"> Within each week </w:t>
      </w:r>
      <m:oMath>
        <m:r>
          <w:rPr>
            <w:rFonts w:ascii="Cambria Math" w:hAnsi="Cambria Math"/>
          </w:rPr>
          <m:t>t</m:t>
        </m:r>
      </m:oMath>
      <w:r>
        <w:t xml:space="preserve">, rank all stocks by their </w:t>
      </w:r>
      <w:r>
        <w:rPr>
          <w:rStyle w:val="VerbatimChar"/>
        </w:rPr>
        <w:t>future_ncskew</w:t>
      </w:r>
      <w:r>
        <w:t xml:space="preserve"> value. Label the top 20% (most negative skewness) as </w:t>
      </w:r>
      <w:r>
        <w:rPr>
          <w:rStyle w:val="VerbatimChar"/>
        </w:rPr>
        <w:t>high_crash_risk = 1</w:t>
      </w:r>
      <w:r>
        <w:t>; the remaining 80% are labelled 0.</w:t>
      </w:r>
    </w:p>
    <w:p w14:paraId="4C62A9D9" w14:textId="77777777" w:rsidR="00115D45" w:rsidRDefault="00000000">
      <w:pPr>
        <w:pStyle w:val="BodyText"/>
      </w:pPr>
      <m:oMathPara>
        <m:oMathParaPr>
          <m:jc m:val="center"/>
        </m:oMathParaPr>
        <m:oMath>
          <m:sSub>
            <m:sSubPr>
              <m:ctrlPr>
                <w:rPr>
                  <w:rFonts w:ascii="Cambria Math" w:hAnsi="Cambria Math"/>
                </w:rPr>
              </m:ctrlPr>
            </m:sSubPr>
            <m:e>
              <m:r>
                <m:rPr>
                  <m:nor/>
                </m:rPr>
                <m:t>high_crash_risk</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m:rPr>
              <m:sty m:val="b"/>
            </m:rPr>
            <w:rPr>
              <w:rFonts w:ascii="Cambria Math" w:hAnsi="Cambria Math"/>
            </w:rPr>
            <m:t>1</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nor/>
                    </m:rPr>
                    <m:t>future_ncskew</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0.80</m:t>
                  </m:r>
                </m:sub>
              </m:sSub>
              <m:r>
                <m:rPr>
                  <m:sty m:val="p"/>
                </m:rPr>
                <w:rPr>
                  <w:rFonts w:ascii="Cambria Math" w:hAnsi="Cambria Math"/>
                </w:rPr>
                <m:t>(</m:t>
              </m:r>
              <m:sSub>
                <m:sSubPr>
                  <m:ctrlPr>
                    <w:rPr>
                      <w:rFonts w:ascii="Cambria Math" w:hAnsi="Cambria Math"/>
                    </w:rPr>
                  </m:ctrlPr>
                </m:sSubPr>
                <m:e>
                  <m:r>
                    <m:rPr>
                      <m:nor/>
                    </m:rPr>
                    <m:t>future_ncskew</m:t>
                  </m:r>
                </m:e>
                <m:sub>
                  <m:r>
                    <m:rPr>
                      <m:sty m:val="p"/>
                    </m:rPr>
                    <w:rPr>
                      <w:rFonts w:ascii="Cambria Math" w:hAnsi="Cambria Math"/>
                    </w:rPr>
                    <m:t>⋅,</m:t>
                  </m:r>
                  <m:r>
                    <w:rPr>
                      <w:rFonts w:ascii="Cambria Math" w:hAnsi="Cambria Math"/>
                    </w:rPr>
                    <m:t>t</m:t>
                  </m:r>
                </m:sub>
              </m:sSub>
              <m:r>
                <m:rPr>
                  <m:sty m:val="p"/>
                </m:rPr>
                <w:rPr>
                  <w:rFonts w:ascii="Cambria Math" w:hAnsi="Cambria Math"/>
                </w:rPr>
                <m:t>)</m:t>
              </m:r>
            </m:e>
          </m:d>
        </m:oMath>
      </m:oMathPara>
    </w:p>
    <w:p w14:paraId="4C62A9DA" w14:textId="77777777" w:rsidR="00115D45" w:rsidRDefault="00000000">
      <w:pPr>
        <w:pStyle w:val="FirstParagraph"/>
      </w:pPr>
      <w:r>
        <w:t xml:space="preserve">This cross-sectional labelling approach has two important properties. First, it always labels exactly 20% of stocks as high-risk regardless of the market regime, making the label a </w:t>
      </w:r>
      <w:r>
        <w:rPr>
          <w:i/>
          <w:iCs/>
        </w:rPr>
        <w:t>relative</w:t>
      </w:r>
      <w:r>
        <w:t xml:space="preserve"> measure of tail risk rather than an absolute threshold. Second, it ensures the label is computed from </w:t>
      </w:r>
      <w:r>
        <w:rPr>
          <w:i/>
          <w:iCs/>
        </w:rPr>
        <w:t>future</w:t>
      </w:r>
      <w:r>
        <w:t xml:space="preserve"> data only, with no leakage from the features.</w:t>
      </w:r>
    </w:p>
    <w:p w14:paraId="4C62A9DB" w14:textId="77777777" w:rsidR="00115D45" w:rsidRDefault="00000000">
      <w:pPr>
        <w:pStyle w:val="BodyText"/>
      </w:pPr>
      <w:r>
        <w:t xml:space="preserve">The </w:t>
      </w:r>
      <w:r>
        <w:rPr>
          <w:b/>
          <w:bCs/>
        </w:rPr>
        <w:t>future_duvol</w:t>
      </w:r>
      <w:r>
        <w:t xml:space="preserve"> metric is computed in parallel and stored in the model dataset for reference, but the primary target used in all training and evaluation is NCSKEW-based, consistent with Chen et al.’s (2001) preferred measure.</w:t>
      </w:r>
    </w:p>
    <w:p w14:paraId="4C62A9DC" w14:textId="77777777" w:rsidR="00115D45" w:rsidRDefault="00000000">
      <w:pPr>
        <w:pStyle w:val="Heading3"/>
      </w:pPr>
      <w:bookmarkStart w:id="22" w:name="chronological-data-splits"/>
      <w:bookmarkEnd w:id="21"/>
      <w:r>
        <w:t>3.2 Chronological Data Splits</w:t>
      </w:r>
    </w:p>
    <w:p w14:paraId="4C62A9DD" w14:textId="77777777" w:rsidR="00115D45" w:rsidRDefault="00000000">
      <w:pPr>
        <w:pStyle w:val="FirstParagraph"/>
      </w:pPr>
      <w:r>
        <w:t>All splits are strictly chronological — no random shuffling. The pipeline (</w:t>
      </w:r>
      <w:r>
        <w:rPr>
          <w:rStyle w:val="VerbatimChar"/>
        </w:rPr>
        <w:t>crashrisk/models/splits.py</w:t>
      </w:r>
      <w:r>
        <w:t>) sorts all unique dates in the dataset and partitions them:</w:t>
      </w:r>
    </w:p>
    <w:tbl>
      <w:tblPr>
        <w:tblStyle w:val="Table"/>
        <w:tblW w:w="0" w:type="pct"/>
        <w:tblLook w:val="0020" w:firstRow="1" w:lastRow="0" w:firstColumn="0" w:lastColumn="0" w:noHBand="0" w:noVBand="0"/>
      </w:tblPr>
      <w:tblGrid>
        <w:gridCol w:w="1270"/>
        <w:gridCol w:w="1077"/>
        <w:gridCol w:w="2924"/>
        <w:gridCol w:w="797"/>
      </w:tblGrid>
      <w:tr w:rsidR="00115D45" w14:paraId="4C62A9E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9DE" w14:textId="77777777" w:rsidR="00115D45" w:rsidRDefault="00000000">
            <w:pPr>
              <w:pStyle w:val="Compact"/>
            </w:pPr>
            <w:r>
              <w:t>Split</w:t>
            </w:r>
          </w:p>
        </w:tc>
        <w:tc>
          <w:tcPr>
            <w:tcW w:w="0" w:type="auto"/>
          </w:tcPr>
          <w:p w14:paraId="4C62A9DF" w14:textId="77777777" w:rsidR="00115D45" w:rsidRDefault="00000000">
            <w:pPr>
              <w:pStyle w:val="Compact"/>
            </w:pPr>
            <w:r>
              <w:t>Fraction</w:t>
            </w:r>
          </w:p>
        </w:tc>
        <w:tc>
          <w:tcPr>
            <w:tcW w:w="0" w:type="auto"/>
          </w:tcPr>
          <w:p w14:paraId="4C62A9E0" w14:textId="77777777" w:rsidR="00115D45" w:rsidRDefault="00000000">
            <w:pPr>
              <w:pStyle w:val="Compact"/>
            </w:pPr>
            <w:r>
              <w:t>Date Range (approximate)</w:t>
            </w:r>
          </w:p>
        </w:tc>
        <w:tc>
          <w:tcPr>
            <w:tcW w:w="0" w:type="auto"/>
          </w:tcPr>
          <w:p w14:paraId="4C62A9E1" w14:textId="77777777" w:rsidR="00115D45" w:rsidRDefault="00000000">
            <w:pPr>
              <w:pStyle w:val="Compact"/>
            </w:pPr>
            <w:r>
              <w:t>Rows</w:t>
            </w:r>
          </w:p>
        </w:tc>
      </w:tr>
      <w:tr w:rsidR="00115D45" w14:paraId="4C62A9E7" w14:textId="77777777">
        <w:tc>
          <w:tcPr>
            <w:tcW w:w="0" w:type="auto"/>
          </w:tcPr>
          <w:p w14:paraId="4C62A9E3" w14:textId="77777777" w:rsidR="00115D45" w:rsidRDefault="00000000">
            <w:pPr>
              <w:pStyle w:val="Compact"/>
            </w:pPr>
            <w:r>
              <w:t>Train</w:t>
            </w:r>
          </w:p>
        </w:tc>
        <w:tc>
          <w:tcPr>
            <w:tcW w:w="0" w:type="auto"/>
          </w:tcPr>
          <w:p w14:paraId="4C62A9E4" w14:textId="77777777" w:rsidR="00115D45" w:rsidRDefault="00000000">
            <w:pPr>
              <w:pStyle w:val="Compact"/>
            </w:pPr>
            <w:r>
              <w:t>60%</w:t>
            </w:r>
          </w:p>
        </w:tc>
        <w:tc>
          <w:tcPr>
            <w:tcW w:w="0" w:type="auto"/>
          </w:tcPr>
          <w:p w14:paraId="4C62A9E5" w14:textId="77777777" w:rsidR="00115D45" w:rsidRDefault="00000000">
            <w:pPr>
              <w:pStyle w:val="Compact"/>
            </w:pPr>
            <w:r>
              <w:t>2019-01 → 2022-02</w:t>
            </w:r>
          </w:p>
        </w:tc>
        <w:tc>
          <w:tcPr>
            <w:tcW w:w="0" w:type="auto"/>
          </w:tcPr>
          <w:p w14:paraId="4C62A9E6" w14:textId="77777777" w:rsidR="00115D45" w:rsidRDefault="00000000">
            <w:pPr>
              <w:pStyle w:val="Compact"/>
            </w:pPr>
            <w:r>
              <w:t>9,420</w:t>
            </w:r>
          </w:p>
        </w:tc>
      </w:tr>
      <w:tr w:rsidR="00115D45" w14:paraId="4C62A9EC" w14:textId="77777777">
        <w:tc>
          <w:tcPr>
            <w:tcW w:w="0" w:type="auto"/>
          </w:tcPr>
          <w:p w14:paraId="4C62A9E8" w14:textId="77777777" w:rsidR="00115D45" w:rsidRDefault="00000000">
            <w:pPr>
              <w:pStyle w:val="Compact"/>
            </w:pPr>
            <w:r>
              <w:t>Validation</w:t>
            </w:r>
          </w:p>
        </w:tc>
        <w:tc>
          <w:tcPr>
            <w:tcW w:w="0" w:type="auto"/>
          </w:tcPr>
          <w:p w14:paraId="4C62A9E9" w14:textId="77777777" w:rsidR="00115D45" w:rsidRDefault="00000000">
            <w:pPr>
              <w:pStyle w:val="Compact"/>
            </w:pPr>
            <w:r>
              <w:t>20%</w:t>
            </w:r>
          </w:p>
        </w:tc>
        <w:tc>
          <w:tcPr>
            <w:tcW w:w="0" w:type="auto"/>
          </w:tcPr>
          <w:p w14:paraId="4C62A9EA" w14:textId="77777777" w:rsidR="00115D45" w:rsidRDefault="00000000">
            <w:pPr>
              <w:pStyle w:val="Compact"/>
            </w:pPr>
            <w:r>
              <w:t>2022-02 → 2023-06</w:t>
            </w:r>
          </w:p>
        </w:tc>
        <w:tc>
          <w:tcPr>
            <w:tcW w:w="0" w:type="auto"/>
          </w:tcPr>
          <w:p w14:paraId="4C62A9EB" w14:textId="77777777" w:rsidR="00115D45" w:rsidRDefault="00000000">
            <w:pPr>
              <w:pStyle w:val="Compact"/>
            </w:pPr>
            <w:r>
              <w:t>3,100</w:t>
            </w:r>
          </w:p>
        </w:tc>
      </w:tr>
      <w:tr w:rsidR="00115D45" w14:paraId="4C62A9F1" w14:textId="77777777">
        <w:tc>
          <w:tcPr>
            <w:tcW w:w="0" w:type="auto"/>
          </w:tcPr>
          <w:p w14:paraId="4C62A9ED" w14:textId="77777777" w:rsidR="00115D45" w:rsidRDefault="00000000">
            <w:pPr>
              <w:pStyle w:val="Compact"/>
            </w:pPr>
            <w:r>
              <w:t>Test</w:t>
            </w:r>
          </w:p>
        </w:tc>
        <w:tc>
          <w:tcPr>
            <w:tcW w:w="0" w:type="auto"/>
          </w:tcPr>
          <w:p w14:paraId="4C62A9EE" w14:textId="77777777" w:rsidR="00115D45" w:rsidRDefault="00000000">
            <w:pPr>
              <w:pStyle w:val="Compact"/>
            </w:pPr>
            <w:r>
              <w:t>20%</w:t>
            </w:r>
          </w:p>
        </w:tc>
        <w:tc>
          <w:tcPr>
            <w:tcW w:w="0" w:type="auto"/>
          </w:tcPr>
          <w:p w14:paraId="4C62A9EF" w14:textId="77777777" w:rsidR="00115D45" w:rsidRDefault="00000000">
            <w:pPr>
              <w:pStyle w:val="Compact"/>
            </w:pPr>
            <w:r>
              <w:t>2023-06 → 2024-12</w:t>
            </w:r>
          </w:p>
        </w:tc>
        <w:tc>
          <w:tcPr>
            <w:tcW w:w="0" w:type="auto"/>
          </w:tcPr>
          <w:p w14:paraId="4C62A9F0" w14:textId="77777777" w:rsidR="00115D45" w:rsidRDefault="00000000">
            <w:pPr>
              <w:pStyle w:val="Compact"/>
            </w:pPr>
            <w:r>
              <w:t>3,150</w:t>
            </w:r>
          </w:p>
        </w:tc>
      </w:tr>
    </w:tbl>
    <w:p w14:paraId="4C62A9F2" w14:textId="77777777" w:rsidR="00115D45" w:rsidRDefault="00000000">
      <w:pPr>
        <w:pStyle w:val="BodyText"/>
      </w:pPr>
      <w:r>
        <w:rPr>
          <w:b/>
          <w:bCs/>
        </w:rPr>
        <w:t>Why no random splits?</w:t>
      </w:r>
      <w:r>
        <w:t xml:space="preserve"> Cross-sectional financial data has two forms of temporal leakage that random shuffling cannot handle:</w:t>
      </w:r>
    </w:p>
    <w:p w14:paraId="4C62A9F3" w14:textId="77777777" w:rsidR="00115D45" w:rsidRDefault="00000000">
      <w:pPr>
        <w:pStyle w:val="Compact"/>
        <w:numPr>
          <w:ilvl w:val="0"/>
          <w:numId w:val="9"/>
        </w:numPr>
      </w:pPr>
      <w:r>
        <w:rPr>
          <w:i/>
          <w:iCs/>
        </w:rPr>
        <w:t>Feature leakage</w:t>
      </w:r>
      <w:r>
        <w:t xml:space="preserve">: NCSKEW, rolling beta, and controversy features at time </w:t>
      </w:r>
      <m:oMath>
        <m:r>
          <w:rPr>
            <w:rFonts w:ascii="Cambria Math" w:hAnsi="Cambria Math"/>
          </w:rPr>
          <m:t>t</m:t>
        </m:r>
      </m:oMath>
      <w:r>
        <w:t xml:space="preserve"> depend on returns at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26</m:t>
        </m:r>
      </m:oMath>
      <w:r>
        <w:t>. A random split would place these correlated observations in both train and test sets, inflating apparent test performance.</w:t>
      </w:r>
    </w:p>
    <w:p w14:paraId="4C62A9F4" w14:textId="77777777" w:rsidR="00115D45" w:rsidRDefault="00000000">
      <w:pPr>
        <w:pStyle w:val="Compact"/>
        <w:numPr>
          <w:ilvl w:val="0"/>
          <w:numId w:val="9"/>
        </w:numPr>
      </w:pPr>
      <w:r>
        <w:rPr>
          <w:i/>
          <w:iCs/>
        </w:rPr>
        <w:t>Target leakage</w:t>
      </w:r>
      <w:r>
        <w:t xml:space="preserve">: The crash-risk label at time </w:t>
      </w:r>
      <m:oMath>
        <m:r>
          <w:rPr>
            <w:rFonts w:ascii="Cambria Math" w:hAnsi="Cambria Math"/>
          </w:rPr>
          <m:t>t</m:t>
        </m:r>
      </m:oMath>
      <w:r>
        <w:t xml:space="preserve"> is computed from returns at </w:t>
      </w:r>
      <m:oMath>
        <m:r>
          <w:rPr>
            <w:rFonts w:ascii="Cambria Math" w:hAnsi="Cambria Math"/>
          </w:rPr>
          <m:t>t</m:t>
        </m:r>
        <m:r>
          <m:rPr>
            <m:sty m:val="p"/>
          </m:rPr>
          <w:rPr>
            <w:rFonts w:ascii="Cambria Math" w:hAnsi="Cambria Math"/>
          </w:rPr>
          <m:t>+</m:t>
        </m:r>
        <m:r>
          <w:rPr>
            <w:rFonts w:ascii="Cambria Math" w:hAnsi="Cambria Math"/>
          </w:rPr>
          <m:t>1</m:t>
        </m:r>
      </m:oMath>
      <w:r>
        <w:t xml:space="preserve"> through </w:t>
      </w:r>
      <m:oMath>
        <m:r>
          <w:rPr>
            <w:rFonts w:ascii="Cambria Math" w:hAnsi="Cambria Math"/>
          </w:rPr>
          <m:t>t</m:t>
        </m:r>
        <m:r>
          <m:rPr>
            <m:sty m:val="p"/>
          </m:rPr>
          <w:rPr>
            <w:rFonts w:ascii="Cambria Math" w:hAnsi="Cambria Math"/>
          </w:rPr>
          <m:t>+</m:t>
        </m:r>
        <m:r>
          <w:rPr>
            <w:rFonts w:ascii="Cambria Math" w:hAnsi="Cambria Math"/>
          </w:rPr>
          <m:t>13</m:t>
        </m:r>
      </m:oMath>
      <w:r>
        <w:t>. If these future observations leak into the training set through a random split, the model effectively learns from the future.</w:t>
      </w:r>
    </w:p>
    <w:p w14:paraId="4C62A9F5" w14:textId="77777777" w:rsidR="00115D45" w:rsidRDefault="00000000">
      <w:pPr>
        <w:pStyle w:val="FirstParagraph"/>
      </w:pPr>
      <w:r>
        <w:t xml:space="preserve">Chronological splits eliminate both forms of leakage by ensuring that every test observation occurs </w:t>
      </w:r>
      <w:r>
        <w:rPr>
          <w:i/>
          <w:iCs/>
        </w:rPr>
        <w:t>strictly after</w:t>
      </w:r>
      <w:r>
        <w:t xml:space="preserve"> every training observation.</w:t>
      </w:r>
    </w:p>
    <w:p w14:paraId="4C62A9F6" w14:textId="77777777" w:rsidR="00115D45" w:rsidRDefault="00000000">
      <w:pPr>
        <w:pStyle w:val="BodyText"/>
      </w:pPr>
      <w:r>
        <w:t xml:space="preserve">Hyperparameter tuning uses </w:t>
      </w:r>
      <w:r>
        <w:rPr>
          <w:rStyle w:val="VerbatimChar"/>
        </w:rPr>
        <w:t>TimeSeriesSplit(n_splits=5)</w:t>
      </w:r>
      <w:r>
        <w:t xml:space="preserve"> applied within the training set only, so validation data are never touched during model selection.</w:t>
      </w:r>
    </w:p>
    <w:p w14:paraId="4C62A9F7" w14:textId="77777777" w:rsidR="00115D45" w:rsidRDefault="00000000">
      <w:pPr>
        <w:pStyle w:val="Heading3"/>
      </w:pPr>
      <w:bookmarkStart w:id="23" w:name="modelling-pipeline-architecture"/>
      <w:bookmarkEnd w:id="22"/>
      <w:r>
        <w:t>3.3 Modelling Pipeline Architecture</w:t>
      </w:r>
    </w:p>
    <w:p w14:paraId="4C62A9F8" w14:textId="77777777" w:rsidR="00115D45" w:rsidRDefault="00000000">
      <w:pPr>
        <w:pStyle w:val="FirstParagraph"/>
      </w:pPr>
      <w:r>
        <w:t xml:space="preserve">The sklearn pipeline architecture ensures that data transformations are fitted </w:t>
      </w:r>
      <w:r>
        <w:rPr>
          <w:i/>
          <w:iCs/>
        </w:rPr>
        <w:t>only</w:t>
      </w:r>
      <w:r>
        <w:t xml:space="preserve"> on training data and applied consistently to validation and test sets:</w:t>
      </w:r>
    </w:p>
    <w:p w14:paraId="4C62A9F9" w14:textId="4A87E23D" w:rsidR="00115D45" w:rsidRDefault="00000000">
      <w:pPr>
        <w:pStyle w:val="SourceCode"/>
      </w:pPr>
      <w:r>
        <w:rPr>
          <w:rStyle w:val="VerbatimChar"/>
        </w:rPr>
        <w:t>Raw feature matrix X (N × 20)</w:t>
      </w:r>
      <w:r>
        <w:br/>
      </w:r>
      <w:r>
        <w:rPr>
          <w:rStyle w:val="VerbatimChar"/>
        </w:rPr>
        <w:t xml:space="preserve">        │</w:t>
      </w:r>
      <w:r>
        <w:br/>
      </w:r>
      <w:r>
        <w:rPr>
          <w:rStyle w:val="VerbatimChar"/>
        </w:rPr>
        <w:t xml:space="preserve">        ▼</w:t>
      </w:r>
      <w:r>
        <w:br/>
      </w:r>
      <w:r>
        <w:rPr>
          <w:rStyle w:val="VerbatimChar"/>
        </w:rPr>
        <w:lastRenderedPageBreak/>
        <w:t>┌─────────────────────────────┐</w:t>
      </w:r>
      <w:r>
        <w:br/>
      </w:r>
      <w:r>
        <w:rPr>
          <w:rStyle w:val="VerbatimChar"/>
        </w:rPr>
        <w:t xml:space="preserve">│  Step 1: </w:t>
      </w:r>
      <w:proofErr w:type="spellStart"/>
      <w:r>
        <w:rPr>
          <w:rStyle w:val="VerbatimChar"/>
        </w:rPr>
        <w:t>SimpleImputer</w:t>
      </w:r>
      <w:proofErr w:type="spellEnd"/>
      <w:r>
        <w:rPr>
          <w:rStyle w:val="VerbatimChar"/>
        </w:rPr>
        <w:t xml:space="preserve">      │</w:t>
      </w:r>
      <w:r>
        <w:br/>
      </w:r>
      <w:r>
        <w:rPr>
          <w:rStyle w:val="VerbatimChar"/>
        </w:rPr>
        <w:t xml:space="preserve">│  strategy = "median"        │  ← Replaces </w:t>
      </w:r>
      <w:proofErr w:type="spellStart"/>
      <w:r>
        <w:rPr>
          <w:rStyle w:val="VerbatimChar"/>
        </w:rPr>
        <w:t>NaN</w:t>
      </w:r>
      <w:proofErr w:type="spellEnd"/>
      <w:r>
        <w:rPr>
          <w:rStyle w:val="VerbatimChar"/>
        </w:rPr>
        <w:t xml:space="preserve"> with training-set median</w:t>
      </w:r>
      <w:r>
        <w:br/>
      </w:r>
      <w:r>
        <w:rPr>
          <w:rStyle w:val="VerbatimChar"/>
        </w:rPr>
        <w:t xml:space="preserve">│  (fitted on </w:t>
      </w:r>
      <w:proofErr w:type="spellStart"/>
      <w:r>
        <w:rPr>
          <w:rStyle w:val="VerbatimChar"/>
        </w:rPr>
        <w:t>X_train</w:t>
      </w:r>
      <w:proofErr w:type="spellEnd"/>
      <w:r>
        <w:rPr>
          <w:rStyle w:val="VerbatimChar"/>
        </w:rPr>
        <w:t>)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xml:space="preserve">│  Step 2: </w:t>
      </w:r>
      <w:proofErr w:type="spellStart"/>
      <w:r>
        <w:rPr>
          <w:rStyle w:val="VerbatimChar"/>
        </w:rPr>
        <w:t>StandardSc</w:t>
      </w:r>
      <w:proofErr w:type="spellEnd"/>
      <w:r w:rsidR="00D03335">
        <w:rPr>
          <w:rStyle w:val="VerbatimChar"/>
        </w:rPr>
        <w:tab/>
      </w:r>
      <w:proofErr w:type="spellStart"/>
      <w:r>
        <w:rPr>
          <w:rStyle w:val="VerbatimChar"/>
        </w:rPr>
        <w:t>aler</w:t>
      </w:r>
      <w:proofErr w:type="spellEnd"/>
      <w:r>
        <w:rPr>
          <w:rStyle w:val="VerbatimChar"/>
        </w:rPr>
        <w:t xml:space="preserve">     │</w:t>
      </w:r>
      <w:r>
        <w:br/>
      </w:r>
      <w:r>
        <w:rPr>
          <w:rStyle w:val="VerbatimChar"/>
        </w:rPr>
        <w:t>│  (fitted on imputed X_train)│  ← Zero mean, unit variance</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Step 3: Classifier         │</w:t>
      </w:r>
      <w:r>
        <w:br/>
      </w:r>
      <w:r>
        <w:rPr>
          <w:rStyle w:val="VerbatimChar"/>
        </w:rPr>
        <w:t>│  (Logistic Regression /     │</w:t>
      </w:r>
      <w:r>
        <w:br/>
      </w:r>
      <w:r>
        <w:rPr>
          <w:rStyle w:val="VerbatimChar"/>
        </w:rPr>
        <w:t>│   Random Forest /           │</w:t>
      </w:r>
      <w:r>
        <w:br/>
      </w:r>
      <w:r>
        <w:rPr>
          <w:rStyle w:val="VerbatimChar"/>
        </w:rPr>
        <w:t>│   Gradient Boosting)        │</w:t>
      </w:r>
      <w:r>
        <w:br/>
      </w:r>
      <w:r>
        <w:rPr>
          <w:rStyle w:val="VerbatimChar"/>
        </w:rPr>
        <w:t>└─────────────────────────────┘</w:t>
      </w:r>
      <w:r>
        <w:br/>
      </w:r>
      <w:r>
        <w:rPr>
          <w:rStyle w:val="VerbatimChar"/>
        </w:rPr>
        <w:t xml:space="preserve">        │</w:t>
      </w:r>
      <w:r>
        <w:br/>
      </w:r>
      <w:r>
        <w:rPr>
          <w:rStyle w:val="VerbatimChar"/>
        </w:rPr>
        <w:t xml:space="preserve">        ▼</w:t>
      </w:r>
      <w:r>
        <w:br/>
      </w:r>
      <w:r>
        <w:rPr>
          <w:rStyle w:val="VerbatimChar"/>
        </w:rPr>
        <w:t xml:space="preserve">    P(high_crash_risk = 1)</w:t>
      </w:r>
    </w:p>
    <w:p w14:paraId="4C62A9FA" w14:textId="77777777" w:rsidR="00115D45" w:rsidRDefault="00000000">
      <w:pPr>
        <w:pStyle w:val="FirstParagraph"/>
      </w:pPr>
      <w:r>
        <w:t xml:space="preserve">The </w:t>
      </w:r>
      <w:r>
        <w:rPr>
          <w:rStyle w:val="VerbatimChar"/>
        </w:rPr>
        <w:t>StandardScaler</w:t>
      </w:r>
      <w:r>
        <w:t xml:space="preserve"> is essential for logistic regression (which is sensitive to feature scale) and also improves numerical stability for gradient boosting. After scaling, the logistic regression coefficients are directly comparable in magnitude across features, making them suitable for feature importance ranking.</w:t>
      </w:r>
    </w:p>
    <w:p w14:paraId="4C62A9FB" w14:textId="77777777" w:rsidR="00115D45" w:rsidRDefault="00000000">
      <w:pPr>
        <w:pStyle w:val="Heading3"/>
      </w:pPr>
      <w:bookmarkStart w:id="24" w:name="algorithms-and-hyperparameter-grids"/>
      <w:bookmarkEnd w:id="23"/>
      <w:r>
        <w:t>3.4 Algorithms and Hyperparameter Grids</w:t>
      </w:r>
    </w:p>
    <w:p w14:paraId="4C62A9FC" w14:textId="77777777" w:rsidR="00115D45" w:rsidRDefault="00000000">
      <w:pPr>
        <w:pStyle w:val="FirstParagraph"/>
      </w:pPr>
      <w:r>
        <w:t>Three classifiers are trained on the same chronological splits:</w:t>
      </w:r>
    </w:p>
    <w:p w14:paraId="4C62A9FD" w14:textId="77777777" w:rsidR="00115D45" w:rsidRDefault="00000000">
      <w:pPr>
        <w:pStyle w:val="BodyText"/>
      </w:pPr>
      <w:r>
        <w:rPr>
          <w:b/>
          <w:bCs/>
        </w:rPr>
        <w:t>Logistic Regression (primary model)</w:t>
      </w:r>
      <w:r>
        <w:t xml:space="preserve"> - Penalty: L2 (Ridge), solver: </w:t>
      </w:r>
      <w:r>
        <w:rPr>
          <w:rStyle w:val="VerbatimChar"/>
        </w:rPr>
        <w:t>lbfgs</w:t>
      </w:r>
      <w:r>
        <w:t xml:space="preserve"> - </w:t>
      </w:r>
      <w:r>
        <w:rPr>
          <w:rStyle w:val="VerbatimChar"/>
        </w:rPr>
        <w:t>class_weight = "balanced"</w:t>
      </w:r>
      <w:r>
        <w:t xml:space="preserve"> to handle the 1:4 class imbalance - Grid search over: </w:t>
      </w:r>
      <w:r>
        <w:rPr>
          <w:rStyle w:val="VerbatimChar"/>
        </w:rPr>
        <w:t>C ∈ {0.01, 0.1, 1, 10}</w:t>
      </w:r>
    </w:p>
    <w:p w14:paraId="4C62A9FE" w14:textId="77777777" w:rsidR="00115D45" w:rsidRDefault="00000000">
      <w:pPr>
        <w:pStyle w:val="BodyText"/>
      </w:pPr>
      <w:r>
        <w:rPr>
          <w:b/>
          <w:bCs/>
        </w:rPr>
        <w:t>Random Forest</w:t>
      </w:r>
      <w:r>
        <w:t xml:space="preserve"> - </w:t>
      </w:r>
      <w:r>
        <w:rPr>
          <w:rStyle w:val="VerbatimChar"/>
        </w:rPr>
        <w:t>class_weight = "balanced"</w:t>
      </w:r>
      <w:r>
        <w:t xml:space="preserve"> - Grid search over: </w:t>
      </w:r>
      <w:r>
        <w:rPr>
          <w:rStyle w:val="VerbatimChar"/>
        </w:rPr>
        <w:t>n_estimators ∈ {100, 200}</w:t>
      </w:r>
      <w:r>
        <w:t xml:space="preserve">, </w:t>
      </w:r>
      <w:r>
        <w:rPr>
          <w:rStyle w:val="VerbatimChar"/>
        </w:rPr>
        <w:t>max_depth ∈ {3, 5, 8}</w:t>
      </w:r>
      <w:r>
        <w:t xml:space="preserve">, </w:t>
      </w:r>
      <w:r>
        <w:rPr>
          <w:rStyle w:val="VerbatimChar"/>
        </w:rPr>
        <w:t>min_samples_leaf ∈ {5, 10}</w:t>
      </w:r>
    </w:p>
    <w:p w14:paraId="4C62A9FF" w14:textId="77777777" w:rsidR="00115D45" w:rsidRDefault="00000000">
      <w:pPr>
        <w:pStyle w:val="BodyText"/>
      </w:pPr>
      <w:r>
        <w:rPr>
          <w:b/>
          <w:bCs/>
        </w:rPr>
        <w:t>Gradient Boosting</w:t>
      </w:r>
      <w:r>
        <w:t xml:space="preserve"> - Grid search over: </w:t>
      </w:r>
      <w:r>
        <w:rPr>
          <w:rStyle w:val="VerbatimChar"/>
        </w:rPr>
        <w:t>n_estimators ∈ {100, 200}</w:t>
      </w:r>
      <w:r>
        <w:t xml:space="preserve">, </w:t>
      </w:r>
      <w:r>
        <w:rPr>
          <w:rStyle w:val="VerbatimChar"/>
        </w:rPr>
        <w:t>max_depth ∈ {2, 3}</w:t>
      </w:r>
      <w:r>
        <w:t xml:space="preserve">, </w:t>
      </w:r>
      <w:r>
        <w:rPr>
          <w:rStyle w:val="VerbatimChar"/>
        </w:rPr>
        <w:t>learning_rate ∈ {0.05, 0.10}</w:t>
      </w:r>
    </w:p>
    <w:p w14:paraId="4C62AA00" w14:textId="77777777" w:rsidR="00115D45" w:rsidRDefault="00000000">
      <w:pPr>
        <w:pStyle w:val="BodyText"/>
      </w:pPr>
      <w:r>
        <w:t>ML model justification. We employ Logistic Regression as the baseline model because it is interpretable, stable on smaller financial datasets, and directly provides crash-probability estimates. In addition, ensemble methods such as Random Forest and Gradient Boosting are used to capture nonlinear relationships and interactions between ESG controversy variables and financial risk indicators. This combination allows us to balance interpretability with predictive performance. Logistic Regression remains the primary scoring model because its coefficients provide direct interpretability for the top-3 driver strings shown in the dashboard. Hyperparameter analysis. Increasing tree depth allows ensemble models to capture more nonlinear structure, while regularisation parameters such as Logistic Regression C, Random Forest leaf-size controls, and Gradient Boosting learning rate help prevent overfitting. Gradient Boosting performs best on the test set in this run because it sequentially learns complex residual patterns in the data.</w:t>
      </w:r>
    </w:p>
    <w:p w14:paraId="4C62AA01" w14:textId="77777777" w:rsidR="00115D45" w:rsidRDefault="00000000">
      <w:pPr>
        <w:pStyle w:val="Heading3"/>
      </w:pPr>
      <w:bookmarkStart w:id="25" w:name="evaluation-metrics"/>
      <w:bookmarkEnd w:id="24"/>
      <w:r>
        <w:t>3.5 Evaluation Metrics</w:t>
      </w:r>
    </w:p>
    <w:p w14:paraId="4C62AA02" w14:textId="77777777" w:rsidR="00115D45" w:rsidRDefault="00000000">
      <w:pPr>
        <w:pStyle w:val="FirstParagraph"/>
      </w:pPr>
      <w:r>
        <w:t>Three metrics are reported for each model on each split:</w:t>
      </w:r>
    </w:p>
    <w:p w14:paraId="4C62AA03" w14:textId="77777777" w:rsidR="00115D45" w:rsidRDefault="00000000">
      <w:pPr>
        <w:pStyle w:val="BodyText"/>
      </w:pPr>
      <w:r>
        <w:rPr>
          <w:b/>
          <w:bCs/>
        </w:rPr>
        <w:lastRenderedPageBreak/>
        <w:t>ROC-AUC</w:t>
      </w:r>
      <w:r>
        <w:t xml:space="preserve"> measures rank-ordering ability. It is the probability that a randomly chosen high-risk stock is ranked above a randomly chosen low-risk stock by the model:</w:t>
      </w:r>
    </w:p>
    <w:p w14:paraId="4C62AA04" w14:textId="77777777" w:rsidR="00115D45" w:rsidRDefault="00000000">
      <w:pPr>
        <w:pStyle w:val="BodyText"/>
      </w:pPr>
      <m:oMathPara>
        <m:oMathParaPr>
          <m:jc m:val="center"/>
        </m:oMathParaPr>
        <m:oMath>
          <m:r>
            <m:rPr>
              <m:nor/>
            </m:rPr>
            <m:t>ROC-AUC</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r>
                <m:rPr>
                  <m:sty m:val="p"/>
                </m:rPr>
                <w:rPr>
                  <w:rFonts w:ascii="Cambria Math" w:hAnsi="Cambria Math"/>
                </w:rPr>
                <m:t>,</m:t>
              </m:r>
              <m:r>
                <m:rPr>
                  <m:nor/>
                </m:rPr>
                <m:t>high</m:t>
              </m:r>
            </m:sub>
          </m:sSub>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r>
                <m:rPr>
                  <m:sty m:val="p"/>
                </m:rPr>
                <w:rPr>
                  <w:rFonts w:ascii="Cambria Math" w:hAnsi="Cambria Math"/>
                </w:rPr>
                <m:t>,</m:t>
              </m:r>
              <m:r>
                <m:rPr>
                  <m:nor/>
                </m:rPr>
                <m:t>low</m:t>
              </m:r>
            </m:sub>
          </m:sSub>
          <m:r>
            <m:rPr>
              <m:sty m:val="p"/>
            </m:rPr>
            <w:rPr>
              <w:rFonts w:ascii="Cambria Math" w:hAnsi="Cambria Math"/>
            </w:rPr>
            <m:t>)</m:t>
          </m:r>
        </m:oMath>
      </m:oMathPara>
    </w:p>
    <w:p w14:paraId="4C62AA05" w14:textId="77777777" w:rsidR="00115D45" w:rsidRDefault="00000000">
      <w:pPr>
        <w:pStyle w:val="FirstParagraph"/>
      </w:pPr>
      <w:r>
        <w:t>A naive classifier that predicts the base rate achieves an AUC of 0.50; a perfect classifier achieves 1.00.</w:t>
      </w:r>
    </w:p>
    <w:p w14:paraId="4C62AA06" w14:textId="77777777" w:rsidR="00115D45" w:rsidRDefault="00000000">
      <w:pPr>
        <w:pStyle w:val="BodyText"/>
      </w:pPr>
      <w:r>
        <w:rPr>
          <w:b/>
          <w:bCs/>
        </w:rPr>
        <w:t>Precision@Top Bucket</w:t>
      </w:r>
      <w:r>
        <w:t xml:space="preserve"> is the precision within the top-20% of model-predicted probabilities:</w:t>
      </w:r>
    </w:p>
    <w:p w14:paraId="4C62AA07" w14:textId="77777777" w:rsidR="00115D45" w:rsidRDefault="00000000">
      <w:pPr>
        <w:pStyle w:val="BodyText"/>
      </w:pPr>
      <m:oMathPara>
        <m:oMathParaPr>
          <m:jc m:val="center"/>
        </m:oMathParaPr>
        <m:oMath>
          <m:r>
            <m:rPr>
              <m:nor/>
            </m:rPr>
            <m:t>Precision@Top</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0.80</m:t>
                  </m:r>
                </m:sub>
              </m:sSub>
              <m:r>
                <m:rPr>
                  <m:nor/>
                </m:rPr>
                <m:t xml:space="preserve"> and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num>
            <m:den>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0.80</m:t>
                  </m:r>
                </m:sub>
              </m:sSub>
              <m:r>
                <m:rPr>
                  <m:sty m:val="p"/>
                </m:rPr>
                <w:rPr>
                  <w:rFonts w:ascii="Cambria Math" w:hAnsi="Cambria Math"/>
                </w:rPr>
                <m:t>}|</m:t>
              </m:r>
            </m:den>
          </m:f>
        </m:oMath>
      </m:oMathPara>
    </w:p>
    <w:p w14:paraId="4C62AA08" w14:textId="77777777" w:rsidR="00115D45" w:rsidRDefault="00000000">
      <w:pPr>
        <w:pStyle w:val="FirstParagraph"/>
      </w:pPr>
      <w:r>
        <w:t>This directly measures how accurately the model identifies the high-risk stocks that a fund manager would scrutinise or exclude. The naive baseline is 0.20 (random selection in a 20%-prevalence population).</w:t>
      </w:r>
    </w:p>
    <w:p w14:paraId="4C62AA09" w14:textId="77777777" w:rsidR="00115D45" w:rsidRDefault="00000000">
      <w:pPr>
        <w:pStyle w:val="BodyText"/>
      </w:pPr>
      <w:r>
        <w:rPr>
          <w:b/>
          <w:bCs/>
        </w:rPr>
        <w:t>Crash Capture@Top Bucket</w:t>
      </w:r>
      <w:r>
        <w:t xml:space="preserve"> measures recall within the top bucket:</w:t>
      </w:r>
    </w:p>
    <w:p w14:paraId="4C62AA0A" w14:textId="77777777" w:rsidR="00115D45" w:rsidRDefault="00000000">
      <w:pPr>
        <w:pStyle w:val="BodyText"/>
      </w:pPr>
      <m:oMathPara>
        <m:oMathParaPr>
          <m:jc m:val="center"/>
        </m:oMathParaPr>
        <m:oMath>
          <m:r>
            <m:rPr>
              <m:nor/>
            </m:rPr>
            <m:t>CrashCapture@Top</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0.80</m:t>
                  </m:r>
                </m:sub>
              </m:sSub>
              <m:r>
                <m:rPr>
                  <m:nor/>
                </m:rPr>
                <m:t xml:space="preserve"> and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num>
            <m:den>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den>
          </m:f>
        </m:oMath>
      </m:oMathPara>
    </w:p>
    <w:p w14:paraId="4C62AA0B" w14:textId="77777777" w:rsidR="00115D45" w:rsidRDefault="00000000">
      <w:pPr>
        <w:pStyle w:val="FirstParagraph"/>
      </w:pPr>
      <w:r>
        <w:t>This answers: “Of all the stocks that actually crashed, how many did the model flag as High risk?” The naive baseline is again 0.20.</w:t>
      </w:r>
    </w:p>
    <w:p w14:paraId="4C62AA0C" w14:textId="77777777" w:rsidR="00115D45" w:rsidRDefault="00000000">
      <w:pPr>
        <w:pStyle w:val="Heading3"/>
      </w:pPr>
      <w:bookmarkStart w:id="26" w:name="algorithm-comparison-results"/>
      <w:bookmarkEnd w:id="25"/>
      <w:r>
        <w:t>3.6 Algorithm Comparison Results</w:t>
      </w:r>
    </w:p>
    <w:tbl>
      <w:tblPr>
        <w:tblStyle w:val="Table"/>
        <w:tblW w:w="0" w:type="pct"/>
        <w:tblLook w:val="0020" w:firstRow="1" w:lastRow="0" w:firstColumn="0" w:lastColumn="0" w:noHBand="0" w:noVBand="0"/>
      </w:tblPr>
      <w:tblGrid>
        <w:gridCol w:w="1968"/>
        <w:gridCol w:w="1270"/>
        <w:gridCol w:w="841"/>
        <w:gridCol w:w="1139"/>
        <w:gridCol w:w="1081"/>
        <w:gridCol w:w="1788"/>
        <w:gridCol w:w="1489"/>
      </w:tblGrid>
      <w:tr w:rsidR="00115D45" w14:paraId="4C62AA1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A0D" w14:textId="77777777" w:rsidR="00115D45" w:rsidRDefault="00000000">
            <w:pPr>
              <w:pStyle w:val="Compact"/>
            </w:pPr>
            <w:r>
              <w:t>Algorithm</w:t>
            </w:r>
          </w:p>
        </w:tc>
        <w:tc>
          <w:tcPr>
            <w:tcW w:w="0" w:type="auto"/>
          </w:tcPr>
          <w:p w14:paraId="4C62AA0E" w14:textId="77777777" w:rsidR="00115D45" w:rsidRDefault="00000000">
            <w:pPr>
              <w:pStyle w:val="Compact"/>
            </w:pPr>
            <w:r>
              <w:t>Split</w:t>
            </w:r>
          </w:p>
        </w:tc>
        <w:tc>
          <w:tcPr>
            <w:tcW w:w="0" w:type="auto"/>
          </w:tcPr>
          <w:p w14:paraId="4C62AA0F" w14:textId="77777777" w:rsidR="00115D45" w:rsidRDefault="00000000">
            <w:pPr>
              <w:pStyle w:val="Compact"/>
            </w:pPr>
            <w:r>
              <w:t>n</w:t>
            </w:r>
          </w:p>
        </w:tc>
        <w:tc>
          <w:tcPr>
            <w:tcW w:w="0" w:type="auto"/>
          </w:tcPr>
          <w:p w14:paraId="4C62AA10" w14:textId="77777777" w:rsidR="00115D45" w:rsidRDefault="00000000">
            <w:pPr>
              <w:pStyle w:val="Compact"/>
            </w:pPr>
            <w:r>
              <w:t>Positives</w:t>
            </w:r>
          </w:p>
        </w:tc>
        <w:tc>
          <w:tcPr>
            <w:tcW w:w="0" w:type="auto"/>
          </w:tcPr>
          <w:p w14:paraId="4C62AA11" w14:textId="77777777" w:rsidR="00115D45" w:rsidRDefault="00000000">
            <w:pPr>
              <w:pStyle w:val="Compact"/>
            </w:pPr>
            <w:r>
              <w:t>ROC-AUC</w:t>
            </w:r>
          </w:p>
        </w:tc>
        <w:tc>
          <w:tcPr>
            <w:tcW w:w="0" w:type="auto"/>
          </w:tcPr>
          <w:p w14:paraId="4C62AA12" w14:textId="77777777" w:rsidR="00115D45" w:rsidRDefault="00000000">
            <w:pPr>
              <w:pStyle w:val="Compact"/>
            </w:pPr>
            <w:r>
              <w:t>Precision@Top</w:t>
            </w:r>
          </w:p>
        </w:tc>
        <w:tc>
          <w:tcPr>
            <w:tcW w:w="0" w:type="auto"/>
          </w:tcPr>
          <w:p w14:paraId="4C62AA13" w14:textId="77777777" w:rsidR="00115D45" w:rsidRDefault="00000000">
            <w:pPr>
              <w:pStyle w:val="Compact"/>
            </w:pPr>
            <w:r>
              <w:t>Crash Capture</w:t>
            </w:r>
          </w:p>
        </w:tc>
      </w:tr>
      <w:tr w:rsidR="00115D45" w14:paraId="4C62AA1C" w14:textId="77777777">
        <w:tc>
          <w:tcPr>
            <w:tcW w:w="0" w:type="auto"/>
          </w:tcPr>
          <w:p w14:paraId="4C62AA15" w14:textId="77777777" w:rsidR="00115D45" w:rsidRDefault="00000000">
            <w:pPr>
              <w:pStyle w:val="Compact"/>
            </w:pPr>
            <w:r>
              <w:t>Logistic Regression</w:t>
            </w:r>
          </w:p>
        </w:tc>
        <w:tc>
          <w:tcPr>
            <w:tcW w:w="0" w:type="auto"/>
          </w:tcPr>
          <w:p w14:paraId="4C62AA16" w14:textId="77777777" w:rsidR="00115D45" w:rsidRDefault="00000000">
            <w:pPr>
              <w:pStyle w:val="Compact"/>
            </w:pPr>
            <w:r>
              <w:t>Validation</w:t>
            </w:r>
          </w:p>
        </w:tc>
        <w:tc>
          <w:tcPr>
            <w:tcW w:w="0" w:type="auto"/>
          </w:tcPr>
          <w:p w14:paraId="4C62AA17" w14:textId="77777777" w:rsidR="00115D45" w:rsidRDefault="00000000">
            <w:pPr>
              <w:pStyle w:val="Compact"/>
            </w:pPr>
            <w:r>
              <w:t>3,100</w:t>
            </w:r>
          </w:p>
        </w:tc>
        <w:tc>
          <w:tcPr>
            <w:tcW w:w="0" w:type="auto"/>
          </w:tcPr>
          <w:p w14:paraId="4C62AA18" w14:textId="77777777" w:rsidR="00115D45" w:rsidRDefault="00000000">
            <w:pPr>
              <w:pStyle w:val="Compact"/>
            </w:pPr>
            <w:r>
              <w:t>620</w:t>
            </w:r>
          </w:p>
        </w:tc>
        <w:tc>
          <w:tcPr>
            <w:tcW w:w="0" w:type="auto"/>
          </w:tcPr>
          <w:p w14:paraId="4C62AA19" w14:textId="77777777" w:rsidR="00115D45" w:rsidRDefault="00000000">
            <w:pPr>
              <w:pStyle w:val="Compact"/>
            </w:pPr>
            <w:r>
              <w:rPr>
                <w:b/>
                <w:bCs/>
              </w:rPr>
              <w:t>0.600</w:t>
            </w:r>
          </w:p>
        </w:tc>
        <w:tc>
          <w:tcPr>
            <w:tcW w:w="0" w:type="auto"/>
          </w:tcPr>
          <w:p w14:paraId="4C62AA1A" w14:textId="77777777" w:rsidR="00115D45" w:rsidRDefault="00000000">
            <w:pPr>
              <w:pStyle w:val="Compact"/>
            </w:pPr>
            <w:r>
              <w:t>0.258</w:t>
            </w:r>
          </w:p>
        </w:tc>
        <w:tc>
          <w:tcPr>
            <w:tcW w:w="0" w:type="auto"/>
          </w:tcPr>
          <w:p w14:paraId="4C62AA1B" w14:textId="77777777" w:rsidR="00115D45" w:rsidRDefault="00000000">
            <w:pPr>
              <w:pStyle w:val="Compact"/>
            </w:pPr>
            <w:r>
              <w:t>0.258</w:t>
            </w:r>
          </w:p>
        </w:tc>
      </w:tr>
      <w:tr w:rsidR="00115D45" w14:paraId="4C62AA24" w14:textId="77777777">
        <w:tc>
          <w:tcPr>
            <w:tcW w:w="0" w:type="auto"/>
          </w:tcPr>
          <w:p w14:paraId="4C62AA1D" w14:textId="77777777" w:rsidR="00115D45" w:rsidRDefault="00000000">
            <w:pPr>
              <w:pStyle w:val="Compact"/>
            </w:pPr>
            <w:r>
              <w:t>Logistic Regression</w:t>
            </w:r>
          </w:p>
        </w:tc>
        <w:tc>
          <w:tcPr>
            <w:tcW w:w="0" w:type="auto"/>
          </w:tcPr>
          <w:p w14:paraId="4C62AA1E" w14:textId="77777777" w:rsidR="00115D45" w:rsidRDefault="00000000">
            <w:pPr>
              <w:pStyle w:val="Compact"/>
            </w:pPr>
            <w:r>
              <w:t>Test</w:t>
            </w:r>
          </w:p>
        </w:tc>
        <w:tc>
          <w:tcPr>
            <w:tcW w:w="0" w:type="auto"/>
          </w:tcPr>
          <w:p w14:paraId="4C62AA1F" w14:textId="77777777" w:rsidR="00115D45" w:rsidRDefault="00000000">
            <w:pPr>
              <w:pStyle w:val="Compact"/>
            </w:pPr>
            <w:r>
              <w:t>3,150</w:t>
            </w:r>
          </w:p>
        </w:tc>
        <w:tc>
          <w:tcPr>
            <w:tcW w:w="0" w:type="auto"/>
          </w:tcPr>
          <w:p w14:paraId="4C62AA20" w14:textId="77777777" w:rsidR="00115D45" w:rsidRDefault="00000000">
            <w:pPr>
              <w:pStyle w:val="Compact"/>
            </w:pPr>
            <w:r>
              <w:t>630</w:t>
            </w:r>
          </w:p>
        </w:tc>
        <w:tc>
          <w:tcPr>
            <w:tcW w:w="0" w:type="auto"/>
          </w:tcPr>
          <w:p w14:paraId="4C62AA21" w14:textId="77777777" w:rsidR="00115D45" w:rsidRDefault="00000000">
            <w:pPr>
              <w:pStyle w:val="Compact"/>
            </w:pPr>
            <w:r>
              <w:t>0.598</w:t>
            </w:r>
          </w:p>
        </w:tc>
        <w:tc>
          <w:tcPr>
            <w:tcW w:w="0" w:type="auto"/>
          </w:tcPr>
          <w:p w14:paraId="4C62AA22" w14:textId="77777777" w:rsidR="00115D45" w:rsidRDefault="00000000">
            <w:pPr>
              <w:pStyle w:val="Compact"/>
            </w:pPr>
            <w:r>
              <w:t>0.251</w:t>
            </w:r>
          </w:p>
        </w:tc>
        <w:tc>
          <w:tcPr>
            <w:tcW w:w="0" w:type="auto"/>
          </w:tcPr>
          <w:p w14:paraId="4C62AA23" w14:textId="77777777" w:rsidR="00115D45" w:rsidRDefault="00000000">
            <w:pPr>
              <w:pStyle w:val="Compact"/>
            </w:pPr>
            <w:r>
              <w:t>0.251</w:t>
            </w:r>
          </w:p>
        </w:tc>
      </w:tr>
      <w:tr w:rsidR="00115D45" w14:paraId="4C62AA2C" w14:textId="77777777">
        <w:tc>
          <w:tcPr>
            <w:tcW w:w="0" w:type="auto"/>
          </w:tcPr>
          <w:p w14:paraId="4C62AA25" w14:textId="77777777" w:rsidR="00115D45" w:rsidRDefault="00000000">
            <w:pPr>
              <w:pStyle w:val="Compact"/>
            </w:pPr>
            <w:r>
              <w:t>Random Forest</w:t>
            </w:r>
          </w:p>
        </w:tc>
        <w:tc>
          <w:tcPr>
            <w:tcW w:w="0" w:type="auto"/>
          </w:tcPr>
          <w:p w14:paraId="4C62AA26" w14:textId="77777777" w:rsidR="00115D45" w:rsidRDefault="00000000">
            <w:pPr>
              <w:pStyle w:val="Compact"/>
            </w:pPr>
            <w:r>
              <w:t>Validation</w:t>
            </w:r>
          </w:p>
        </w:tc>
        <w:tc>
          <w:tcPr>
            <w:tcW w:w="0" w:type="auto"/>
          </w:tcPr>
          <w:p w14:paraId="4C62AA27" w14:textId="77777777" w:rsidR="00115D45" w:rsidRDefault="00000000">
            <w:pPr>
              <w:pStyle w:val="Compact"/>
            </w:pPr>
            <w:r>
              <w:t>3,100</w:t>
            </w:r>
          </w:p>
        </w:tc>
        <w:tc>
          <w:tcPr>
            <w:tcW w:w="0" w:type="auto"/>
          </w:tcPr>
          <w:p w14:paraId="4C62AA28" w14:textId="77777777" w:rsidR="00115D45" w:rsidRDefault="00000000">
            <w:pPr>
              <w:pStyle w:val="Compact"/>
            </w:pPr>
            <w:r>
              <w:t>620</w:t>
            </w:r>
          </w:p>
        </w:tc>
        <w:tc>
          <w:tcPr>
            <w:tcW w:w="0" w:type="auto"/>
          </w:tcPr>
          <w:p w14:paraId="4C62AA29" w14:textId="77777777" w:rsidR="00115D45" w:rsidRDefault="00000000">
            <w:pPr>
              <w:pStyle w:val="Compact"/>
            </w:pPr>
            <w:r>
              <w:t>0.582</w:t>
            </w:r>
          </w:p>
        </w:tc>
        <w:tc>
          <w:tcPr>
            <w:tcW w:w="0" w:type="auto"/>
          </w:tcPr>
          <w:p w14:paraId="4C62AA2A" w14:textId="77777777" w:rsidR="00115D45" w:rsidRDefault="00000000">
            <w:pPr>
              <w:pStyle w:val="Compact"/>
            </w:pPr>
            <w:r>
              <w:t>0.261</w:t>
            </w:r>
          </w:p>
        </w:tc>
        <w:tc>
          <w:tcPr>
            <w:tcW w:w="0" w:type="auto"/>
          </w:tcPr>
          <w:p w14:paraId="4C62AA2B" w14:textId="77777777" w:rsidR="00115D45" w:rsidRDefault="00000000">
            <w:pPr>
              <w:pStyle w:val="Compact"/>
            </w:pPr>
            <w:r>
              <w:t>0.261</w:t>
            </w:r>
          </w:p>
        </w:tc>
      </w:tr>
      <w:tr w:rsidR="00115D45" w14:paraId="4C62AA34" w14:textId="77777777">
        <w:tc>
          <w:tcPr>
            <w:tcW w:w="0" w:type="auto"/>
          </w:tcPr>
          <w:p w14:paraId="4C62AA2D" w14:textId="77777777" w:rsidR="00115D45" w:rsidRDefault="00000000">
            <w:pPr>
              <w:pStyle w:val="Compact"/>
            </w:pPr>
            <w:r>
              <w:t>Random Forest</w:t>
            </w:r>
          </w:p>
        </w:tc>
        <w:tc>
          <w:tcPr>
            <w:tcW w:w="0" w:type="auto"/>
          </w:tcPr>
          <w:p w14:paraId="4C62AA2E" w14:textId="77777777" w:rsidR="00115D45" w:rsidRDefault="00000000">
            <w:pPr>
              <w:pStyle w:val="Compact"/>
            </w:pPr>
            <w:r>
              <w:t>Test</w:t>
            </w:r>
          </w:p>
        </w:tc>
        <w:tc>
          <w:tcPr>
            <w:tcW w:w="0" w:type="auto"/>
          </w:tcPr>
          <w:p w14:paraId="4C62AA2F" w14:textId="77777777" w:rsidR="00115D45" w:rsidRDefault="00000000">
            <w:pPr>
              <w:pStyle w:val="Compact"/>
            </w:pPr>
            <w:r>
              <w:t>3,150</w:t>
            </w:r>
          </w:p>
        </w:tc>
        <w:tc>
          <w:tcPr>
            <w:tcW w:w="0" w:type="auto"/>
          </w:tcPr>
          <w:p w14:paraId="4C62AA30" w14:textId="77777777" w:rsidR="00115D45" w:rsidRDefault="00000000">
            <w:pPr>
              <w:pStyle w:val="Compact"/>
            </w:pPr>
            <w:r>
              <w:t>630</w:t>
            </w:r>
          </w:p>
        </w:tc>
        <w:tc>
          <w:tcPr>
            <w:tcW w:w="0" w:type="auto"/>
          </w:tcPr>
          <w:p w14:paraId="4C62AA31" w14:textId="77777777" w:rsidR="00115D45" w:rsidRDefault="00000000">
            <w:pPr>
              <w:pStyle w:val="Compact"/>
            </w:pPr>
            <w:r>
              <w:t>0.592</w:t>
            </w:r>
          </w:p>
        </w:tc>
        <w:tc>
          <w:tcPr>
            <w:tcW w:w="0" w:type="auto"/>
          </w:tcPr>
          <w:p w14:paraId="4C62AA32" w14:textId="77777777" w:rsidR="00115D45" w:rsidRDefault="00000000">
            <w:pPr>
              <w:pStyle w:val="Compact"/>
            </w:pPr>
            <w:r>
              <w:t>0.287</w:t>
            </w:r>
          </w:p>
        </w:tc>
        <w:tc>
          <w:tcPr>
            <w:tcW w:w="0" w:type="auto"/>
          </w:tcPr>
          <w:p w14:paraId="4C62AA33" w14:textId="77777777" w:rsidR="00115D45" w:rsidRDefault="00000000">
            <w:pPr>
              <w:pStyle w:val="Compact"/>
            </w:pPr>
            <w:r>
              <w:t>0.287</w:t>
            </w:r>
          </w:p>
        </w:tc>
      </w:tr>
      <w:tr w:rsidR="00115D45" w14:paraId="4C62AA3C" w14:textId="77777777">
        <w:tc>
          <w:tcPr>
            <w:tcW w:w="0" w:type="auto"/>
          </w:tcPr>
          <w:p w14:paraId="4C62AA35" w14:textId="77777777" w:rsidR="00115D45" w:rsidRDefault="00000000">
            <w:pPr>
              <w:pStyle w:val="Compact"/>
            </w:pPr>
            <w:r>
              <w:rPr>
                <w:b/>
                <w:bCs/>
              </w:rPr>
              <w:t>Gradient Boosting</w:t>
            </w:r>
          </w:p>
        </w:tc>
        <w:tc>
          <w:tcPr>
            <w:tcW w:w="0" w:type="auto"/>
          </w:tcPr>
          <w:p w14:paraId="4C62AA36" w14:textId="77777777" w:rsidR="00115D45" w:rsidRDefault="00000000">
            <w:pPr>
              <w:pStyle w:val="Compact"/>
            </w:pPr>
            <w:r>
              <w:t>Validation</w:t>
            </w:r>
          </w:p>
        </w:tc>
        <w:tc>
          <w:tcPr>
            <w:tcW w:w="0" w:type="auto"/>
          </w:tcPr>
          <w:p w14:paraId="4C62AA37" w14:textId="77777777" w:rsidR="00115D45" w:rsidRDefault="00000000">
            <w:pPr>
              <w:pStyle w:val="Compact"/>
            </w:pPr>
            <w:r>
              <w:t>3,100</w:t>
            </w:r>
          </w:p>
        </w:tc>
        <w:tc>
          <w:tcPr>
            <w:tcW w:w="0" w:type="auto"/>
          </w:tcPr>
          <w:p w14:paraId="4C62AA38" w14:textId="77777777" w:rsidR="00115D45" w:rsidRDefault="00000000">
            <w:pPr>
              <w:pStyle w:val="Compact"/>
            </w:pPr>
            <w:r>
              <w:t>620</w:t>
            </w:r>
          </w:p>
        </w:tc>
        <w:tc>
          <w:tcPr>
            <w:tcW w:w="0" w:type="auto"/>
          </w:tcPr>
          <w:p w14:paraId="4C62AA39" w14:textId="77777777" w:rsidR="00115D45" w:rsidRDefault="00000000">
            <w:pPr>
              <w:pStyle w:val="Compact"/>
            </w:pPr>
            <w:r>
              <w:t>0.561</w:t>
            </w:r>
          </w:p>
        </w:tc>
        <w:tc>
          <w:tcPr>
            <w:tcW w:w="0" w:type="auto"/>
          </w:tcPr>
          <w:p w14:paraId="4C62AA3A" w14:textId="77777777" w:rsidR="00115D45" w:rsidRDefault="00000000">
            <w:pPr>
              <w:pStyle w:val="Compact"/>
            </w:pPr>
            <w:r>
              <w:t>0.260</w:t>
            </w:r>
          </w:p>
        </w:tc>
        <w:tc>
          <w:tcPr>
            <w:tcW w:w="0" w:type="auto"/>
          </w:tcPr>
          <w:p w14:paraId="4C62AA3B" w14:textId="77777777" w:rsidR="00115D45" w:rsidRDefault="00000000">
            <w:pPr>
              <w:pStyle w:val="Compact"/>
            </w:pPr>
            <w:r>
              <w:t>0.260</w:t>
            </w:r>
          </w:p>
        </w:tc>
      </w:tr>
      <w:tr w:rsidR="00115D45" w14:paraId="4C62AA44" w14:textId="77777777">
        <w:tc>
          <w:tcPr>
            <w:tcW w:w="0" w:type="auto"/>
          </w:tcPr>
          <w:p w14:paraId="4C62AA3D" w14:textId="77777777" w:rsidR="00115D45" w:rsidRDefault="00000000">
            <w:pPr>
              <w:pStyle w:val="Compact"/>
            </w:pPr>
            <w:r>
              <w:rPr>
                <w:b/>
                <w:bCs/>
              </w:rPr>
              <w:t>Gradient Boosting</w:t>
            </w:r>
          </w:p>
        </w:tc>
        <w:tc>
          <w:tcPr>
            <w:tcW w:w="0" w:type="auto"/>
          </w:tcPr>
          <w:p w14:paraId="4C62AA3E" w14:textId="77777777" w:rsidR="00115D45" w:rsidRDefault="00000000">
            <w:pPr>
              <w:pStyle w:val="Compact"/>
            </w:pPr>
            <w:r>
              <w:rPr>
                <w:b/>
                <w:bCs/>
              </w:rPr>
              <w:t>Test</w:t>
            </w:r>
          </w:p>
        </w:tc>
        <w:tc>
          <w:tcPr>
            <w:tcW w:w="0" w:type="auto"/>
          </w:tcPr>
          <w:p w14:paraId="4C62AA3F" w14:textId="77777777" w:rsidR="00115D45" w:rsidRDefault="00000000">
            <w:pPr>
              <w:pStyle w:val="Compact"/>
            </w:pPr>
            <w:r>
              <w:rPr>
                <w:b/>
                <w:bCs/>
              </w:rPr>
              <w:t>3,150</w:t>
            </w:r>
          </w:p>
        </w:tc>
        <w:tc>
          <w:tcPr>
            <w:tcW w:w="0" w:type="auto"/>
          </w:tcPr>
          <w:p w14:paraId="4C62AA40" w14:textId="77777777" w:rsidR="00115D45" w:rsidRDefault="00000000">
            <w:pPr>
              <w:pStyle w:val="Compact"/>
            </w:pPr>
            <w:r>
              <w:rPr>
                <w:b/>
                <w:bCs/>
              </w:rPr>
              <w:t>630</w:t>
            </w:r>
          </w:p>
        </w:tc>
        <w:tc>
          <w:tcPr>
            <w:tcW w:w="0" w:type="auto"/>
          </w:tcPr>
          <w:p w14:paraId="4C62AA41" w14:textId="77777777" w:rsidR="00115D45" w:rsidRDefault="00000000">
            <w:pPr>
              <w:pStyle w:val="Compact"/>
            </w:pPr>
            <w:r>
              <w:rPr>
                <w:b/>
                <w:bCs/>
              </w:rPr>
              <w:t>0.611</w:t>
            </w:r>
          </w:p>
        </w:tc>
        <w:tc>
          <w:tcPr>
            <w:tcW w:w="0" w:type="auto"/>
          </w:tcPr>
          <w:p w14:paraId="4C62AA42" w14:textId="77777777" w:rsidR="00115D45" w:rsidRDefault="00000000">
            <w:pPr>
              <w:pStyle w:val="Compact"/>
            </w:pPr>
            <w:r>
              <w:rPr>
                <w:b/>
                <w:bCs/>
              </w:rPr>
              <w:t>0.316</w:t>
            </w:r>
          </w:p>
        </w:tc>
        <w:tc>
          <w:tcPr>
            <w:tcW w:w="0" w:type="auto"/>
          </w:tcPr>
          <w:p w14:paraId="4C62AA43" w14:textId="77777777" w:rsidR="00115D45" w:rsidRDefault="00000000">
            <w:pPr>
              <w:pStyle w:val="Compact"/>
            </w:pPr>
            <w:r>
              <w:rPr>
                <w:b/>
                <w:bCs/>
              </w:rPr>
              <w:t>0.316</w:t>
            </w:r>
          </w:p>
        </w:tc>
      </w:tr>
    </w:tbl>
    <w:p w14:paraId="4C62AA45" w14:textId="77777777" w:rsidR="00115D45" w:rsidRDefault="00000000">
      <w:pPr>
        <w:pStyle w:val="BodyText"/>
      </w:pPr>
      <w:r>
        <w:t>Gradient Boosting achieves the highest test-set ROC-AUC (0.611) and Precision@Top (0.316), meaning it correctly identifies 31.6% of its top-bucket recommendations as true crash-risk stocks ? 58% above the 20% naive baseline. Logistic Regression performs most consistently between validation and test, suggesting it generalises better without overfitting to the validation period. The primary model used for the business analysis is Logistic Regression, as its consistent performance and interpretable coefficients are preferred for a risk monitoring application. Model performance limitations. The relatively modest predictive performance, with ROC-AUC around 0.60, reflects the inherent difficulty of forecasting financial tail events. Crash risk is driven by rare, noisy, and interacting factors, so limited historical data constrains model performance. The results should therefore be interpreted as useful ranking signal rather than deterministic crash prediction.</w:t>
      </w:r>
    </w:p>
    <w:p w14:paraId="4C62AA46" w14:textId="77777777" w:rsidR="00115D45" w:rsidRDefault="00000000">
      <w:pPr>
        <w:pStyle w:val="Heading3"/>
      </w:pPr>
      <w:bookmarkStart w:id="27" w:name="esg-feature-lift-analysis"/>
      <w:bookmarkEnd w:id="26"/>
      <w:r>
        <w:lastRenderedPageBreak/>
        <w:t>3.7 ESG Feature Lift Analysis</w:t>
      </w:r>
    </w:p>
    <w:p w14:paraId="4C62AA47" w14:textId="77777777" w:rsidR="00115D45" w:rsidRDefault="00000000">
      <w:pPr>
        <w:pStyle w:val="FirstParagraph"/>
      </w:pPr>
      <w:r>
        <w:t>The ESG lift experiment compares two models trained on identical data:</w:t>
      </w:r>
    </w:p>
    <w:p w14:paraId="4C62AA48" w14:textId="77777777" w:rsidR="00115D45" w:rsidRDefault="00000000">
      <w:pPr>
        <w:pStyle w:val="Compact"/>
        <w:numPr>
          <w:ilvl w:val="0"/>
          <w:numId w:val="10"/>
        </w:numPr>
      </w:pPr>
      <w:r>
        <w:rPr>
          <w:b/>
          <w:bCs/>
        </w:rPr>
        <w:t>Baseline (no ESG)</w:t>
      </w:r>
      <w:r>
        <w:t xml:space="preserve">: 12 features — all features </w:t>
      </w:r>
      <w:r>
        <w:rPr>
          <w:i/>
          <w:iCs/>
        </w:rPr>
        <w:t>except</w:t>
      </w:r>
      <w:r>
        <w:t xml:space="preserve"> the 8 ESG controversy features</w:t>
      </w:r>
    </w:p>
    <w:p w14:paraId="4C62AA49" w14:textId="77777777" w:rsidR="00115D45" w:rsidRDefault="00000000">
      <w:pPr>
        <w:pStyle w:val="Compact"/>
        <w:numPr>
          <w:ilvl w:val="0"/>
          <w:numId w:val="10"/>
        </w:numPr>
      </w:pPr>
      <w:r>
        <w:rPr>
          <w:b/>
          <w:bCs/>
        </w:rPr>
        <w:t>Full (with ESG)</w:t>
      </w:r>
      <w:r>
        <w:t>: all 20 features including all 8 ESG controversy features</w:t>
      </w:r>
    </w:p>
    <w:tbl>
      <w:tblPr>
        <w:tblStyle w:val="Table"/>
        <w:tblW w:w="0" w:type="pct"/>
        <w:tblLook w:val="0020" w:firstRow="1" w:lastRow="0" w:firstColumn="0" w:lastColumn="0" w:noHBand="0" w:noVBand="0"/>
      </w:tblPr>
      <w:tblGrid>
        <w:gridCol w:w="2037"/>
        <w:gridCol w:w="1363"/>
        <w:gridCol w:w="1113"/>
        <w:gridCol w:w="1177"/>
        <w:gridCol w:w="1788"/>
        <w:gridCol w:w="1672"/>
      </w:tblGrid>
      <w:tr w:rsidR="00115D45" w14:paraId="4C62AA5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A4A" w14:textId="77777777" w:rsidR="00115D45" w:rsidRDefault="00000000">
            <w:pPr>
              <w:pStyle w:val="Compact"/>
            </w:pPr>
            <w:r>
              <w:t>Model</w:t>
            </w:r>
          </w:p>
        </w:tc>
        <w:tc>
          <w:tcPr>
            <w:tcW w:w="0" w:type="auto"/>
          </w:tcPr>
          <w:p w14:paraId="4C62AA4B" w14:textId="77777777" w:rsidR="00115D45" w:rsidRDefault="00000000">
            <w:pPr>
              <w:pStyle w:val="Compact"/>
            </w:pPr>
            <w:r>
              <w:t>Split</w:t>
            </w:r>
          </w:p>
        </w:tc>
        <w:tc>
          <w:tcPr>
            <w:tcW w:w="0" w:type="auto"/>
          </w:tcPr>
          <w:p w14:paraId="4C62AA4C" w14:textId="77777777" w:rsidR="00115D45" w:rsidRDefault="00000000">
            <w:pPr>
              <w:pStyle w:val="Compact"/>
            </w:pPr>
            <w:r>
              <w:t>Features</w:t>
            </w:r>
          </w:p>
        </w:tc>
        <w:tc>
          <w:tcPr>
            <w:tcW w:w="0" w:type="auto"/>
          </w:tcPr>
          <w:p w14:paraId="4C62AA4D" w14:textId="77777777" w:rsidR="00115D45" w:rsidRDefault="00000000">
            <w:pPr>
              <w:pStyle w:val="Compact"/>
            </w:pPr>
            <w:r>
              <w:t>ROC-AUC</w:t>
            </w:r>
          </w:p>
        </w:tc>
        <w:tc>
          <w:tcPr>
            <w:tcW w:w="0" w:type="auto"/>
          </w:tcPr>
          <w:p w14:paraId="4C62AA4E" w14:textId="77777777" w:rsidR="00115D45" w:rsidRDefault="00000000">
            <w:pPr>
              <w:pStyle w:val="Compact"/>
            </w:pPr>
            <w:r>
              <w:t>Precision@Top</w:t>
            </w:r>
          </w:p>
        </w:tc>
        <w:tc>
          <w:tcPr>
            <w:tcW w:w="0" w:type="auto"/>
          </w:tcPr>
          <w:p w14:paraId="4C62AA4F" w14:textId="77777777" w:rsidR="00115D45" w:rsidRDefault="00000000">
            <w:pPr>
              <w:pStyle w:val="Compact"/>
            </w:pPr>
            <w:r>
              <w:t>Crash Capture</w:t>
            </w:r>
          </w:p>
        </w:tc>
      </w:tr>
      <w:tr w:rsidR="00115D45" w14:paraId="4C62AA57" w14:textId="77777777">
        <w:tc>
          <w:tcPr>
            <w:tcW w:w="0" w:type="auto"/>
          </w:tcPr>
          <w:p w14:paraId="4C62AA51" w14:textId="77777777" w:rsidR="00115D45" w:rsidRDefault="00000000">
            <w:pPr>
              <w:pStyle w:val="Compact"/>
            </w:pPr>
            <w:r>
              <w:t>Baseline (no ESG)</w:t>
            </w:r>
          </w:p>
        </w:tc>
        <w:tc>
          <w:tcPr>
            <w:tcW w:w="0" w:type="auto"/>
          </w:tcPr>
          <w:p w14:paraId="4C62AA52" w14:textId="77777777" w:rsidR="00115D45" w:rsidRDefault="00000000">
            <w:pPr>
              <w:pStyle w:val="Compact"/>
            </w:pPr>
            <w:r>
              <w:t>Validation</w:t>
            </w:r>
          </w:p>
        </w:tc>
        <w:tc>
          <w:tcPr>
            <w:tcW w:w="0" w:type="auto"/>
          </w:tcPr>
          <w:p w14:paraId="4C62AA53" w14:textId="77777777" w:rsidR="00115D45" w:rsidRDefault="00000000">
            <w:pPr>
              <w:pStyle w:val="Compact"/>
            </w:pPr>
            <w:r>
              <w:t>12</w:t>
            </w:r>
          </w:p>
        </w:tc>
        <w:tc>
          <w:tcPr>
            <w:tcW w:w="0" w:type="auto"/>
          </w:tcPr>
          <w:p w14:paraId="4C62AA54" w14:textId="77777777" w:rsidR="00115D45" w:rsidRDefault="00000000">
            <w:pPr>
              <w:pStyle w:val="Compact"/>
            </w:pPr>
            <w:r>
              <w:t>0.558</w:t>
            </w:r>
          </w:p>
        </w:tc>
        <w:tc>
          <w:tcPr>
            <w:tcW w:w="0" w:type="auto"/>
          </w:tcPr>
          <w:p w14:paraId="4C62AA55" w14:textId="77777777" w:rsidR="00115D45" w:rsidRDefault="00000000">
            <w:pPr>
              <w:pStyle w:val="Compact"/>
            </w:pPr>
            <w:r>
              <w:t>0.250</w:t>
            </w:r>
          </w:p>
        </w:tc>
        <w:tc>
          <w:tcPr>
            <w:tcW w:w="0" w:type="auto"/>
          </w:tcPr>
          <w:p w14:paraId="4C62AA56" w14:textId="77777777" w:rsidR="00115D45" w:rsidRDefault="00000000">
            <w:pPr>
              <w:pStyle w:val="Compact"/>
            </w:pPr>
            <w:r>
              <w:t>0.250</w:t>
            </w:r>
          </w:p>
        </w:tc>
      </w:tr>
      <w:tr w:rsidR="00115D45" w14:paraId="4C62AA5E" w14:textId="77777777">
        <w:tc>
          <w:tcPr>
            <w:tcW w:w="0" w:type="auto"/>
          </w:tcPr>
          <w:p w14:paraId="4C62AA58" w14:textId="77777777" w:rsidR="00115D45" w:rsidRDefault="00000000">
            <w:pPr>
              <w:pStyle w:val="Compact"/>
            </w:pPr>
            <w:r>
              <w:t>Baseline (no ESG)</w:t>
            </w:r>
          </w:p>
        </w:tc>
        <w:tc>
          <w:tcPr>
            <w:tcW w:w="0" w:type="auto"/>
          </w:tcPr>
          <w:p w14:paraId="4C62AA59" w14:textId="77777777" w:rsidR="00115D45" w:rsidRDefault="00000000">
            <w:pPr>
              <w:pStyle w:val="Compact"/>
            </w:pPr>
            <w:r>
              <w:t>Test</w:t>
            </w:r>
          </w:p>
        </w:tc>
        <w:tc>
          <w:tcPr>
            <w:tcW w:w="0" w:type="auto"/>
          </w:tcPr>
          <w:p w14:paraId="4C62AA5A" w14:textId="77777777" w:rsidR="00115D45" w:rsidRDefault="00000000">
            <w:pPr>
              <w:pStyle w:val="Compact"/>
            </w:pPr>
            <w:r>
              <w:t>12</w:t>
            </w:r>
          </w:p>
        </w:tc>
        <w:tc>
          <w:tcPr>
            <w:tcW w:w="0" w:type="auto"/>
          </w:tcPr>
          <w:p w14:paraId="4C62AA5B" w14:textId="77777777" w:rsidR="00115D45" w:rsidRDefault="00000000">
            <w:pPr>
              <w:pStyle w:val="Compact"/>
            </w:pPr>
            <w:r>
              <w:t>0.569</w:t>
            </w:r>
          </w:p>
        </w:tc>
        <w:tc>
          <w:tcPr>
            <w:tcW w:w="0" w:type="auto"/>
          </w:tcPr>
          <w:p w14:paraId="4C62AA5C" w14:textId="77777777" w:rsidR="00115D45" w:rsidRDefault="00000000">
            <w:pPr>
              <w:pStyle w:val="Compact"/>
            </w:pPr>
            <w:r>
              <w:t>0.260</w:t>
            </w:r>
          </w:p>
        </w:tc>
        <w:tc>
          <w:tcPr>
            <w:tcW w:w="0" w:type="auto"/>
          </w:tcPr>
          <w:p w14:paraId="4C62AA5D" w14:textId="77777777" w:rsidR="00115D45" w:rsidRDefault="00000000">
            <w:pPr>
              <w:pStyle w:val="Compact"/>
            </w:pPr>
            <w:r>
              <w:t>0.260</w:t>
            </w:r>
          </w:p>
        </w:tc>
      </w:tr>
      <w:tr w:rsidR="00115D45" w14:paraId="4C62AA65" w14:textId="77777777">
        <w:tc>
          <w:tcPr>
            <w:tcW w:w="0" w:type="auto"/>
          </w:tcPr>
          <w:p w14:paraId="4C62AA5F" w14:textId="77777777" w:rsidR="00115D45" w:rsidRDefault="00000000">
            <w:pPr>
              <w:pStyle w:val="Compact"/>
            </w:pPr>
            <w:r>
              <w:t>Full (with ESG)</w:t>
            </w:r>
          </w:p>
        </w:tc>
        <w:tc>
          <w:tcPr>
            <w:tcW w:w="0" w:type="auto"/>
          </w:tcPr>
          <w:p w14:paraId="4C62AA60" w14:textId="77777777" w:rsidR="00115D45" w:rsidRDefault="00000000">
            <w:pPr>
              <w:pStyle w:val="Compact"/>
            </w:pPr>
            <w:r>
              <w:t>Validation</w:t>
            </w:r>
          </w:p>
        </w:tc>
        <w:tc>
          <w:tcPr>
            <w:tcW w:w="0" w:type="auto"/>
          </w:tcPr>
          <w:p w14:paraId="4C62AA61" w14:textId="77777777" w:rsidR="00115D45" w:rsidRDefault="00000000">
            <w:pPr>
              <w:pStyle w:val="Compact"/>
            </w:pPr>
            <w:r>
              <w:t>20</w:t>
            </w:r>
          </w:p>
        </w:tc>
        <w:tc>
          <w:tcPr>
            <w:tcW w:w="0" w:type="auto"/>
          </w:tcPr>
          <w:p w14:paraId="4C62AA62" w14:textId="77777777" w:rsidR="00115D45" w:rsidRDefault="00000000">
            <w:pPr>
              <w:pStyle w:val="Compact"/>
            </w:pPr>
            <w:r>
              <w:t>0.600</w:t>
            </w:r>
          </w:p>
        </w:tc>
        <w:tc>
          <w:tcPr>
            <w:tcW w:w="0" w:type="auto"/>
          </w:tcPr>
          <w:p w14:paraId="4C62AA63" w14:textId="77777777" w:rsidR="00115D45" w:rsidRDefault="00000000">
            <w:pPr>
              <w:pStyle w:val="Compact"/>
            </w:pPr>
            <w:r>
              <w:t>0.258</w:t>
            </w:r>
          </w:p>
        </w:tc>
        <w:tc>
          <w:tcPr>
            <w:tcW w:w="0" w:type="auto"/>
          </w:tcPr>
          <w:p w14:paraId="4C62AA64" w14:textId="77777777" w:rsidR="00115D45" w:rsidRDefault="00000000">
            <w:pPr>
              <w:pStyle w:val="Compact"/>
            </w:pPr>
            <w:r>
              <w:t>0.258</w:t>
            </w:r>
          </w:p>
        </w:tc>
      </w:tr>
      <w:tr w:rsidR="00115D45" w14:paraId="4C62AA6C" w14:textId="77777777">
        <w:tc>
          <w:tcPr>
            <w:tcW w:w="0" w:type="auto"/>
          </w:tcPr>
          <w:p w14:paraId="4C62AA66" w14:textId="77777777" w:rsidR="00115D45" w:rsidRDefault="00000000">
            <w:pPr>
              <w:pStyle w:val="Compact"/>
            </w:pPr>
            <w:r>
              <w:t>Full (with ESG)</w:t>
            </w:r>
          </w:p>
        </w:tc>
        <w:tc>
          <w:tcPr>
            <w:tcW w:w="0" w:type="auto"/>
          </w:tcPr>
          <w:p w14:paraId="4C62AA67" w14:textId="77777777" w:rsidR="00115D45" w:rsidRDefault="00000000">
            <w:pPr>
              <w:pStyle w:val="Compact"/>
            </w:pPr>
            <w:r>
              <w:t>Test</w:t>
            </w:r>
          </w:p>
        </w:tc>
        <w:tc>
          <w:tcPr>
            <w:tcW w:w="0" w:type="auto"/>
          </w:tcPr>
          <w:p w14:paraId="4C62AA68" w14:textId="77777777" w:rsidR="00115D45" w:rsidRDefault="00000000">
            <w:pPr>
              <w:pStyle w:val="Compact"/>
            </w:pPr>
            <w:r>
              <w:t>20</w:t>
            </w:r>
          </w:p>
        </w:tc>
        <w:tc>
          <w:tcPr>
            <w:tcW w:w="0" w:type="auto"/>
          </w:tcPr>
          <w:p w14:paraId="4C62AA69" w14:textId="77777777" w:rsidR="00115D45" w:rsidRDefault="00000000">
            <w:pPr>
              <w:pStyle w:val="Compact"/>
            </w:pPr>
            <w:r>
              <w:t>0.598</w:t>
            </w:r>
          </w:p>
        </w:tc>
        <w:tc>
          <w:tcPr>
            <w:tcW w:w="0" w:type="auto"/>
          </w:tcPr>
          <w:p w14:paraId="4C62AA6A" w14:textId="77777777" w:rsidR="00115D45" w:rsidRDefault="00000000">
            <w:pPr>
              <w:pStyle w:val="Compact"/>
            </w:pPr>
            <w:r>
              <w:t>0.251</w:t>
            </w:r>
          </w:p>
        </w:tc>
        <w:tc>
          <w:tcPr>
            <w:tcW w:w="0" w:type="auto"/>
          </w:tcPr>
          <w:p w14:paraId="4C62AA6B" w14:textId="77777777" w:rsidR="00115D45" w:rsidRDefault="00000000">
            <w:pPr>
              <w:pStyle w:val="Compact"/>
            </w:pPr>
            <w:r>
              <w:t>0.251</w:t>
            </w:r>
          </w:p>
        </w:tc>
      </w:tr>
      <w:tr w:rsidR="00115D45" w14:paraId="4C62AA73" w14:textId="77777777">
        <w:tc>
          <w:tcPr>
            <w:tcW w:w="0" w:type="auto"/>
          </w:tcPr>
          <w:p w14:paraId="4C62AA6D" w14:textId="77777777" w:rsidR="00115D45" w:rsidRDefault="00000000">
            <w:pPr>
              <w:pStyle w:val="Compact"/>
            </w:pPr>
            <w:r>
              <w:rPr>
                <w:b/>
                <w:bCs/>
              </w:rPr>
              <w:t>Delta (ESG lift)</w:t>
            </w:r>
          </w:p>
        </w:tc>
        <w:tc>
          <w:tcPr>
            <w:tcW w:w="0" w:type="auto"/>
          </w:tcPr>
          <w:p w14:paraId="4C62AA6E" w14:textId="77777777" w:rsidR="00115D45" w:rsidRDefault="00000000">
            <w:pPr>
              <w:pStyle w:val="Compact"/>
            </w:pPr>
            <w:r>
              <w:rPr>
                <w:b/>
                <w:bCs/>
              </w:rPr>
              <w:t>Validation</w:t>
            </w:r>
          </w:p>
        </w:tc>
        <w:tc>
          <w:tcPr>
            <w:tcW w:w="0" w:type="auto"/>
          </w:tcPr>
          <w:p w14:paraId="4C62AA6F" w14:textId="77777777" w:rsidR="00115D45" w:rsidRDefault="00000000">
            <w:pPr>
              <w:pStyle w:val="Compact"/>
            </w:pPr>
            <w:r>
              <w:rPr>
                <w:b/>
                <w:bCs/>
              </w:rPr>
              <w:t>+8</w:t>
            </w:r>
          </w:p>
        </w:tc>
        <w:tc>
          <w:tcPr>
            <w:tcW w:w="0" w:type="auto"/>
          </w:tcPr>
          <w:p w14:paraId="4C62AA70" w14:textId="77777777" w:rsidR="00115D45" w:rsidRDefault="00000000">
            <w:pPr>
              <w:pStyle w:val="Compact"/>
            </w:pPr>
            <w:r>
              <w:rPr>
                <w:b/>
                <w:bCs/>
              </w:rPr>
              <w:t>+0.042</w:t>
            </w:r>
          </w:p>
        </w:tc>
        <w:tc>
          <w:tcPr>
            <w:tcW w:w="0" w:type="auto"/>
          </w:tcPr>
          <w:p w14:paraId="4C62AA71" w14:textId="77777777" w:rsidR="00115D45" w:rsidRDefault="00000000">
            <w:pPr>
              <w:pStyle w:val="Compact"/>
            </w:pPr>
            <w:r>
              <w:rPr>
                <w:b/>
                <w:bCs/>
              </w:rPr>
              <w:t>+0.008</w:t>
            </w:r>
          </w:p>
        </w:tc>
        <w:tc>
          <w:tcPr>
            <w:tcW w:w="0" w:type="auto"/>
          </w:tcPr>
          <w:p w14:paraId="4C62AA72" w14:textId="77777777" w:rsidR="00115D45" w:rsidRDefault="00000000">
            <w:pPr>
              <w:pStyle w:val="Compact"/>
            </w:pPr>
            <w:r>
              <w:rPr>
                <w:b/>
                <w:bCs/>
              </w:rPr>
              <w:t>+0.008</w:t>
            </w:r>
          </w:p>
        </w:tc>
      </w:tr>
      <w:tr w:rsidR="00115D45" w14:paraId="4C62AA7A" w14:textId="77777777">
        <w:tc>
          <w:tcPr>
            <w:tcW w:w="0" w:type="auto"/>
          </w:tcPr>
          <w:p w14:paraId="4C62AA74" w14:textId="77777777" w:rsidR="00115D45" w:rsidRDefault="00000000">
            <w:pPr>
              <w:pStyle w:val="Compact"/>
            </w:pPr>
            <w:r>
              <w:rPr>
                <w:b/>
                <w:bCs/>
              </w:rPr>
              <w:t>Delta (ESG lift)</w:t>
            </w:r>
          </w:p>
        </w:tc>
        <w:tc>
          <w:tcPr>
            <w:tcW w:w="0" w:type="auto"/>
          </w:tcPr>
          <w:p w14:paraId="4C62AA75" w14:textId="77777777" w:rsidR="00115D45" w:rsidRDefault="00000000">
            <w:pPr>
              <w:pStyle w:val="Compact"/>
            </w:pPr>
            <w:r>
              <w:rPr>
                <w:b/>
                <w:bCs/>
              </w:rPr>
              <w:t>Test</w:t>
            </w:r>
          </w:p>
        </w:tc>
        <w:tc>
          <w:tcPr>
            <w:tcW w:w="0" w:type="auto"/>
          </w:tcPr>
          <w:p w14:paraId="4C62AA76" w14:textId="77777777" w:rsidR="00115D45" w:rsidRDefault="00000000">
            <w:pPr>
              <w:pStyle w:val="Compact"/>
            </w:pPr>
            <w:r>
              <w:rPr>
                <w:b/>
                <w:bCs/>
              </w:rPr>
              <w:t>+8</w:t>
            </w:r>
          </w:p>
        </w:tc>
        <w:tc>
          <w:tcPr>
            <w:tcW w:w="0" w:type="auto"/>
          </w:tcPr>
          <w:p w14:paraId="4C62AA77" w14:textId="77777777" w:rsidR="00115D45" w:rsidRDefault="00000000">
            <w:pPr>
              <w:pStyle w:val="Compact"/>
            </w:pPr>
            <w:r>
              <w:rPr>
                <w:b/>
                <w:bCs/>
              </w:rPr>
              <w:t>+0.029</w:t>
            </w:r>
          </w:p>
        </w:tc>
        <w:tc>
          <w:tcPr>
            <w:tcW w:w="0" w:type="auto"/>
          </w:tcPr>
          <w:p w14:paraId="4C62AA78" w14:textId="77777777" w:rsidR="00115D45" w:rsidRDefault="00000000">
            <w:pPr>
              <w:pStyle w:val="Compact"/>
            </w:pPr>
            <w:r>
              <w:rPr>
                <w:b/>
                <w:bCs/>
              </w:rPr>
              <w:t>-0.009</w:t>
            </w:r>
          </w:p>
        </w:tc>
        <w:tc>
          <w:tcPr>
            <w:tcW w:w="0" w:type="auto"/>
          </w:tcPr>
          <w:p w14:paraId="4C62AA79" w14:textId="77777777" w:rsidR="00115D45" w:rsidRDefault="00000000">
            <w:pPr>
              <w:pStyle w:val="Compact"/>
            </w:pPr>
            <w:r>
              <w:rPr>
                <w:b/>
                <w:bCs/>
              </w:rPr>
              <w:t>-0.009</w:t>
            </w:r>
          </w:p>
        </w:tc>
      </w:tr>
    </w:tbl>
    <w:p w14:paraId="4C62AA7B" w14:textId="77777777" w:rsidR="00115D45" w:rsidRDefault="00000000">
      <w:pPr>
        <w:pStyle w:val="BodyText"/>
      </w:pPr>
      <w:r>
        <w:t>The ESG controversy features deliver a consistent positive ROC-AUC improvement: +4.2 percentage points on validation and +2.9 percentage points on test. This confirms that the controversy dynamics carry genuine incremental information about future crash risk beyond what can be explained by price-based and fundamental features alone. The small negative precision delta on test is within estimation noise for a 630-sample test set (standard error of precision ≈ 0.016).</w:t>
      </w:r>
    </w:p>
    <w:p w14:paraId="4C62AA7C" w14:textId="77777777" w:rsidR="00115D45" w:rsidRDefault="00000000">
      <w:pPr>
        <w:pStyle w:val="BodyText"/>
      </w:pPr>
      <w:r>
        <w:rPr>
          <w:b/>
          <w:bCs/>
        </w:rPr>
        <w:t>Interpretation.</w:t>
      </w:r>
      <w:r>
        <w:t xml:space="preserve"> The lift in ROC-AUC means that adding ESG data improves the </w:t>
      </w:r>
      <w:r>
        <w:rPr>
          <w:i/>
          <w:iCs/>
        </w:rPr>
        <w:t>rank-ordering</w:t>
      </w:r>
      <w:r>
        <w:t xml:space="preserve"> of stocks by crash probability. When a fund manager examines the top-quintile watchlist, the ESG model surfaces more true crash-risk stocks toward the top of the list, even if the precision@top-bucket metric shows only marginal improvement at the hard 20% threshold.</w:t>
      </w:r>
    </w:p>
    <w:p w14:paraId="4C62AA7D" w14:textId="77777777" w:rsidR="00115D45" w:rsidRDefault="00000000">
      <w:pPr>
        <w:pStyle w:val="Heading3"/>
      </w:pPr>
      <w:bookmarkStart w:id="28" w:name="feature-importance"/>
      <w:bookmarkEnd w:id="27"/>
      <w:r>
        <w:t>3.8 Feature Importance</w:t>
      </w:r>
    </w:p>
    <w:p w14:paraId="4C62AA7E" w14:textId="77777777" w:rsidR="00115D45" w:rsidRDefault="00000000">
      <w:pPr>
        <w:pStyle w:val="FirstParagraph"/>
      </w:pPr>
      <w:r>
        <w:t>Feature importance is derived from the absolute magnitudes of the Logistic Regression coefficients after standardisation. Because all features have been scaled to zero mean and unit variance, the coefficient magnitude directly reflects each feature’s contribution to the crash probability score.</w:t>
      </w:r>
    </w:p>
    <w:tbl>
      <w:tblPr>
        <w:tblStyle w:val="Table"/>
        <w:tblW w:w="0" w:type="pct"/>
        <w:tblLook w:val="0020" w:firstRow="1" w:lastRow="0" w:firstColumn="0" w:lastColumn="0" w:noHBand="0" w:noVBand="0"/>
      </w:tblPr>
      <w:tblGrid>
        <w:gridCol w:w="743"/>
        <w:gridCol w:w="3724"/>
        <w:gridCol w:w="797"/>
        <w:gridCol w:w="1873"/>
      </w:tblGrid>
      <w:tr w:rsidR="00115D45" w14:paraId="4C62AA8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A7F" w14:textId="77777777" w:rsidR="00115D45" w:rsidRDefault="00000000">
            <w:pPr>
              <w:pStyle w:val="Compact"/>
            </w:pPr>
            <w:r>
              <w:t>Rank</w:t>
            </w:r>
          </w:p>
        </w:tc>
        <w:tc>
          <w:tcPr>
            <w:tcW w:w="0" w:type="auto"/>
          </w:tcPr>
          <w:p w14:paraId="4C62AA80" w14:textId="77777777" w:rsidR="00115D45" w:rsidRDefault="00000000">
            <w:pPr>
              <w:pStyle w:val="Compact"/>
            </w:pPr>
            <w:r>
              <w:t>Feature</w:t>
            </w:r>
          </w:p>
        </w:tc>
        <w:tc>
          <w:tcPr>
            <w:tcW w:w="0" w:type="auto"/>
          </w:tcPr>
          <w:p w14:paraId="4C62AA81" w14:textId="77777777" w:rsidR="00115D45" w:rsidRDefault="00115D45"/>
        </w:tc>
        <w:tc>
          <w:tcPr>
            <w:tcW w:w="0" w:type="auto"/>
          </w:tcPr>
          <w:p w14:paraId="4C62AA82" w14:textId="77777777" w:rsidR="00115D45" w:rsidRDefault="00000000">
            <w:pPr>
              <w:pStyle w:val="Compact"/>
            </w:pPr>
            <w:r>
              <w:t>Coefficient</w:t>
            </w:r>
          </w:p>
        </w:tc>
      </w:tr>
      <w:tr w:rsidR="00115D45" w14:paraId="4C62AA88" w14:textId="77777777">
        <w:tc>
          <w:tcPr>
            <w:tcW w:w="0" w:type="auto"/>
          </w:tcPr>
          <w:p w14:paraId="4C62AA84" w14:textId="77777777" w:rsidR="00115D45" w:rsidRDefault="00000000">
            <w:pPr>
              <w:pStyle w:val="Compact"/>
            </w:pPr>
            <w:r>
              <w:t>1</w:t>
            </w:r>
          </w:p>
        </w:tc>
        <w:tc>
          <w:tcPr>
            <w:tcW w:w="0" w:type="auto"/>
          </w:tcPr>
          <w:p w14:paraId="4C62AA85" w14:textId="77777777" w:rsidR="00115D45" w:rsidRDefault="00000000">
            <w:pPr>
              <w:pStyle w:val="Compact"/>
            </w:pPr>
            <w:r>
              <w:rPr>
                <w:rStyle w:val="VerbatimChar"/>
              </w:rPr>
              <w:t>controversy_score</w:t>
            </w:r>
          </w:p>
        </w:tc>
        <w:tc>
          <w:tcPr>
            <w:tcW w:w="0" w:type="auto"/>
          </w:tcPr>
          <w:p w14:paraId="4C62AA86" w14:textId="77777777" w:rsidR="00115D45" w:rsidRDefault="00000000">
            <w:pPr>
              <w:pStyle w:val="Compact"/>
            </w:pPr>
            <w:r>
              <w:t>0.827</w:t>
            </w:r>
          </w:p>
        </w:tc>
        <w:tc>
          <w:tcPr>
            <w:tcW w:w="0" w:type="auto"/>
          </w:tcPr>
          <w:p w14:paraId="4C62AA87" w14:textId="77777777" w:rsidR="00115D45" w:rsidRDefault="00000000">
            <w:pPr>
              <w:pStyle w:val="Compact"/>
            </w:pPr>
            <w:r>
              <w:t>ESG</w:t>
            </w:r>
          </w:p>
        </w:tc>
      </w:tr>
      <w:tr w:rsidR="00115D45" w14:paraId="4C62AA8D" w14:textId="77777777">
        <w:tc>
          <w:tcPr>
            <w:tcW w:w="0" w:type="auto"/>
          </w:tcPr>
          <w:p w14:paraId="4C62AA89" w14:textId="77777777" w:rsidR="00115D45" w:rsidRDefault="00000000">
            <w:pPr>
              <w:pStyle w:val="Compact"/>
            </w:pPr>
            <w:r>
              <w:t>2</w:t>
            </w:r>
          </w:p>
        </w:tc>
        <w:tc>
          <w:tcPr>
            <w:tcW w:w="0" w:type="auto"/>
          </w:tcPr>
          <w:p w14:paraId="4C62AA8A" w14:textId="77777777" w:rsidR="00115D45" w:rsidRDefault="00000000">
            <w:pPr>
              <w:pStyle w:val="Compact"/>
            </w:pPr>
            <w:r>
              <w:rPr>
                <w:rStyle w:val="VerbatimChar"/>
              </w:rPr>
              <w:t>controversy_rolling_mean_13w</w:t>
            </w:r>
          </w:p>
        </w:tc>
        <w:tc>
          <w:tcPr>
            <w:tcW w:w="0" w:type="auto"/>
          </w:tcPr>
          <w:p w14:paraId="4C62AA8B" w14:textId="77777777" w:rsidR="00115D45" w:rsidRDefault="00000000">
            <w:pPr>
              <w:pStyle w:val="Compact"/>
            </w:pPr>
            <w:r>
              <w:t>0.651</w:t>
            </w:r>
          </w:p>
        </w:tc>
        <w:tc>
          <w:tcPr>
            <w:tcW w:w="0" w:type="auto"/>
          </w:tcPr>
          <w:p w14:paraId="4C62AA8C" w14:textId="77777777" w:rsidR="00115D45" w:rsidRDefault="00000000">
            <w:pPr>
              <w:pStyle w:val="Compact"/>
            </w:pPr>
            <w:r>
              <w:t>ESG</w:t>
            </w:r>
          </w:p>
        </w:tc>
      </w:tr>
      <w:tr w:rsidR="00115D45" w14:paraId="4C62AA92" w14:textId="77777777">
        <w:tc>
          <w:tcPr>
            <w:tcW w:w="0" w:type="auto"/>
          </w:tcPr>
          <w:p w14:paraId="4C62AA8E" w14:textId="77777777" w:rsidR="00115D45" w:rsidRDefault="00000000">
            <w:pPr>
              <w:pStyle w:val="Compact"/>
            </w:pPr>
            <w:r>
              <w:t>3</w:t>
            </w:r>
          </w:p>
        </w:tc>
        <w:tc>
          <w:tcPr>
            <w:tcW w:w="0" w:type="auto"/>
          </w:tcPr>
          <w:p w14:paraId="4C62AA8F" w14:textId="77777777" w:rsidR="00115D45" w:rsidRDefault="00000000">
            <w:pPr>
              <w:pStyle w:val="Compact"/>
            </w:pPr>
            <w:r>
              <w:rPr>
                <w:rStyle w:val="VerbatimChar"/>
              </w:rPr>
              <w:t>downside_beta</w:t>
            </w:r>
          </w:p>
        </w:tc>
        <w:tc>
          <w:tcPr>
            <w:tcW w:w="0" w:type="auto"/>
          </w:tcPr>
          <w:p w14:paraId="4C62AA90" w14:textId="77777777" w:rsidR="00115D45" w:rsidRDefault="00000000">
            <w:pPr>
              <w:pStyle w:val="Compact"/>
            </w:pPr>
            <w:r>
              <w:t>0.368</w:t>
            </w:r>
          </w:p>
        </w:tc>
        <w:tc>
          <w:tcPr>
            <w:tcW w:w="0" w:type="auto"/>
          </w:tcPr>
          <w:p w14:paraId="4C62AA91" w14:textId="77777777" w:rsidR="00115D45" w:rsidRDefault="00000000">
            <w:pPr>
              <w:pStyle w:val="Compact"/>
            </w:pPr>
            <w:r>
              <w:t>Downside Risk</w:t>
            </w:r>
          </w:p>
        </w:tc>
      </w:tr>
      <w:tr w:rsidR="00115D45" w14:paraId="4C62AA97" w14:textId="77777777">
        <w:tc>
          <w:tcPr>
            <w:tcW w:w="0" w:type="auto"/>
          </w:tcPr>
          <w:p w14:paraId="4C62AA93" w14:textId="77777777" w:rsidR="00115D45" w:rsidRDefault="00000000">
            <w:pPr>
              <w:pStyle w:val="Compact"/>
            </w:pPr>
            <w:r>
              <w:t>4</w:t>
            </w:r>
          </w:p>
        </w:tc>
        <w:tc>
          <w:tcPr>
            <w:tcW w:w="0" w:type="auto"/>
          </w:tcPr>
          <w:p w14:paraId="4C62AA94" w14:textId="77777777" w:rsidR="00115D45" w:rsidRDefault="00000000">
            <w:pPr>
              <w:pStyle w:val="Compact"/>
            </w:pPr>
            <w:r>
              <w:rPr>
                <w:rStyle w:val="VerbatimChar"/>
              </w:rPr>
              <w:t>market_cap</w:t>
            </w:r>
          </w:p>
        </w:tc>
        <w:tc>
          <w:tcPr>
            <w:tcW w:w="0" w:type="auto"/>
          </w:tcPr>
          <w:p w14:paraId="4C62AA95" w14:textId="77777777" w:rsidR="00115D45" w:rsidRDefault="00000000">
            <w:pPr>
              <w:pStyle w:val="Compact"/>
            </w:pPr>
            <w:r>
              <w:t>0.265</w:t>
            </w:r>
          </w:p>
        </w:tc>
        <w:tc>
          <w:tcPr>
            <w:tcW w:w="0" w:type="auto"/>
          </w:tcPr>
          <w:p w14:paraId="4C62AA96" w14:textId="77777777" w:rsidR="00115D45" w:rsidRDefault="00000000">
            <w:pPr>
              <w:pStyle w:val="Compact"/>
            </w:pPr>
            <w:r>
              <w:t>Fundamentals</w:t>
            </w:r>
          </w:p>
        </w:tc>
      </w:tr>
      <w:tr w:rsidR="00115D45" w14:paraId="4C62AA9C" w14:textId="77777777">
        <w:tc>
          <w:tcPr>
            <w:tcW w:w="0" w:type="auto"/>
          </w:tcPr>
          <w:p w14:paraId="4C62AA98" w14:textId="77777777" w:rsidR="00115D45" w:rsidRDefault="00000000">
            <w:pPr>
              <w:pStyle w:val="Compact"/>
            </w:pPr>
            <w:r>
              <w:t>5</w:t>
            </w:r>
          </w:p>
        </w:tc>
        <w:tc>
          <w:tcPr>
            <w:tcW w:w="0" w:type="auto"/>
          </w:tcPr>
          <w:p w14:paraId="4C62AA99" w14:textId="77777777" w:rsidR="00115D45" w:rsidRDefault="00000000">
            <w:pPr>
              <w:pStyle w:val="Compact"/>
            </w:pPr>
            <w:r>
              <w:rPr>
                <w:rStyle w:val="VerbatimChar"/>
              </w:rPr>
              <w:t>relative_downside_beta</w:t>
            </w:r>
          </w:p>
        </w:tc>
        <w:tc>
          <w:tcPr>
            <w:tcW w:w="0" w:type="auto"/>
          </w:tcPr>
          <w:p w14:paraId="4C62AA9A" w14:textId="77777777" w:rsidR="00115D45" w:rsidRDefault="00000000">
            <w:pPr>
              <w:pStyle w:val="Compact"/>
            </w:pPr>
            <w:r>
              <w:t>0.252</w:t>
            </w:r>
          </w:p>
        </w:tc>
        <w:tc>
          <w:tcPr>
            <w:tcW w:w="0" w:type="auto"/>
          </w:tcPr>
          <w:p w14:paraId="4C62AA9B" w14:textId="77777777" w:rsidR="00115D45" w:rsidRDefault="00000000">
            <w:pPr>
              <w:pStyle w:val="Compact"/>
            </w:pPr>
            <w:r>
              <w:t>Downside Risk</w:t>
            </w:r>
          </w:p>
        </w:tc>
      </w:tr>
      <w:tr w:rsidR="00115D45" w14:paraId="4C62AAA1" w14:textId="77777777">
        <w:tc>
          <w:tcPr>
            <w:tcW w:w="0" w:type="auto"/>
          </w:tcPr>
          <w:p w14:paraId="4C62AA9D" w14:textId="77777777" w:rsidR="00115D45" w:rsidRDefault="00000000">
            <w:pPr>
              <w:pStyle w:val="Compact"/>
            </w:pPr>
            <w:r>
              <w:t>6</w:t>
            </w:r>
          </w:p>
        </w:tc>
        <w:tc>
          <w:tcPr>
            <w:tcW w:w="0" w:type="auto"/>
          </w:tcPr>
          <w:p w14:paraId="4C62AA9E" w14:textId="77777777" w:rsidR="00115D45" w:rsidRDefault="00000000">
            <w:pPr>
              <w:pStyle w:val="Compact"/>
            </w:pPr>
            <w:r>
              <w:rPr>
                <w:rStyle w:val="VerbatimChar"/>
              </w:rPr>
              <w:t>trailing_return</w:t>
            </w:r>
          </w:p>
        </w:tc>
        <w:tc>
          <w:tcPr>
            <w:tcW w:w="0" w:type="auto"/>
          </w:tcPr>
          <w:p w14:paraId="4C62AA9F" w14:textId="77777777" w:rsidR="00115D45" w:rsidRDefault="00000000">
            <w:pPr>
              <w:pStyle w:val="Compact"/>
            </w:pPr>
            <w:r>
              <w:t>0.223</w:t>
            </w:r>
          </w:p>
        </w:tc>
        <w:tc>
          <w:tcPr>
            <w:tcW w:w="0" w:type="auto"/>
          </w:tcPr>
          <w:p w14:paraId="4C62AAA0" w14:textId="77777777" w:rsidR="00115D45" w:rsidRDefault="00000000">
            <w:pPr>
              <w:pStyle w:val="Compact"/>
            </w:pPr>
            <w:r>
              <w:t>Downside Risk</w:t>
            </w:r>
          </w:p>
        </w:tc>
      </w:tr>
      <w:tr w:rsidR="00115D45" w14:paraId="4C62AAA6" w14:textId="77777777">
        <w:tc>
          <w:tcPr>
            <w:tcW w:w="0" w:type="auto"/>
          </w:tcPr>
          <w:p w14:paraId="4C62AAA2" w14:textId="77777777" w:rsidR="00115D45" w:rsidRDefault="00000000">
            <w:pPr>
              <w:pStyle w:val="Compact"/>
            </w:pPr>
            <w:r>
              <w:t>7</w:t>
            </w:r>
          </w:p>
        </w:tc>
        <w:tc>
          <w:tcPr>
            <w:tcW w:w="0" w:type="auto"/>
          </w:tcPr>
          <w:p w14:paraId="4C62AAA3" w14:textId="77777777" w:rsidR="00115D45" w:rsidRDefault="00000000">
            <w:pPr>
              <w:pStyle w:val="Compact"/>
            </w:pPr>
            <w:r>
              <w:rPr>
                <w:rStyle w:val="VerbatimChar"/>
              </w:rPr>
              <w:t>beta</w:t>
            </w:r>
          </w:p>
        </w:tc>
        <w:tc>
          <w:tcPr>
            <w:tcW w:w="0" w:type="auto"/>
          </w:tcPr>
          <w:p w14:paraId="4C62AAA4" w14:textId="77777777" w:rsidR="00115D45" w:rsidRDefault="00000000">
            <w:pPr>
              <w:pStyle w:val="Compact"/>
            </w:pPr>
            <w:r>
              <w:t>0.199</w:t>
            </w:r>
          </w:p>
        </w:tc>
        <w:tc>
          <w:tcPr>
            <w:tcW w:w="0" w:type="auto"/>
          </w:tcPr>
          <w:p w14:paraId="4C62AAA5" w14:textId="77777777" w:rsidR="00115D45" w:rsidRDefault="00000000">
            <w:pPr>
              <w:pStyle w:val="Compact"/>
            </w:pPr>
            <w:r>
              <w:t>Downside Risk</w:t>
            </w:r>
          </w:p>
        </w:tc>
      </w:tr>
      <w:tr w:rsidR="00115D45" w14:paraId="4C62AAAB" w14:textId="77777777">
        <w:tc>
          <w:tcPr>
            <w:tcW w:w="0" w:type="auto"/>
          </w:tcPr>
          <w:p w14:paraId="4C62AAA7" w14:textId="77777777" w:rsidR="00115D45" w:rsidRDefault="00000000">
            <w:pPr>
              <w:pStyle w:val="Compact"/>
            </w:pPr>
            <w:r>
              <w:t>8</w:t>
            </w:r>
          </w:p>
        </w:tc>
        <w:tc>
          <w:tcPr>
            <w:tcW w:w="0" w:type="auto"/>
          </w:tcPr>
          <w:p w14:paraId="4C62AAA8" w14:textId="77777777" w:rsidR="00115D45" w:rsidRDefault="00000000">
            <w:pPr>
              <w:pStyle w:val="Compact"/>
            </w:pPr>
            <w:r>
              <w:rPr>
                <w:rStyle w:val="VerbatimChar"/>
              </w:rPr>
              <w:t>realized_volatility</w:t>
            </w:r>
          </w:p>
        </w:tc>
        <w:tc>
          <w:tcPr>
            <w:tcW w:w="0" w:type="auto"/>
          </w:tcPr>
          <w:p w14:paraId="4C62AAA9" w14:textId="77777777" w:rsidR="00115D45" w:rsidRDefault="00000000">
            <w:pPr>
              <w:pStyle w:val="Compact"/>
            </w:pPr>
            <w:r>
              <w:t>0.157</w:t>
            </w:r>
          </w:p>
        </w:tc>
        <w:tc>
          <w:tcPr>
            <w:tcW w:w="0" w:type="auto"/>
          </w:tcPr>
          <w:p w14:paraId="4C62AAAA" w14:textId="77777777" w:rsidR="00115D45" w:rsidRDefault="00000000">
            <w:pPr>
              <w:pStyle w:val="Compact"/>
            </w:pPr>
            <w:r>
              <w:t>Downside Risk</w:t>
            </w:r>
          </w:p>
        </w:tc>
      </w:tr>
      <w:tr w:rsidR="00115D45" w14:paraId="4C62AAB0" w14:textId="77777777">
        <w:tc>
          <w:tcPr>
            <w:tcW w:w="0" w:type="auto"/>
          </w:tcPr>
          <w:p w14:paraId="4C62AAAC" w14:textId="77777777" w:rsidR="00115D45" w:rsidRDefault="00000000">
            <w:pPr>
              <w:pStyle w:val="Compact"/>
            </w:pPr>
            <w:r>
              <w:lastRenderedPageBreak/>
              <w:t>9</w:t>
            </w:r>
          </w:p>
        </w:tc>
        <w:tc>
          <w:tcPr>
            <w:tcW w:w="0" w:type="auto"/>
          </w:tcPr>
          <w:p w14:paraId="4C62AAAD" w14:textId="77777777" w:rsidR="00115D45" w:rsidRDefault="00000000">
            <w:pPr>
              <w:pStyle w:val="Compact"/>
            </w:pPr>
            <w:r>
              <w:rPr>
                <w:rStyle w:val="VerbatimChar"/>
              </w:rPr>
              <w:t>lagged_ncskew</w:t>
            </w:r>
          </w:p>
        </w:tc>
        <w:tc>
          <w:tcPr>
            <w:tcW w:w="0" w:type="auto"/>
          </w:tcPr>
          <w:p w14:paraId="4C62AAAE" w14:textId="77777777" w:rsidR="00115D45" w:rsidRDefault="00000000">
            <w:pPr>
              <w:pStyle w:val="Compact"/>
            </w:pPr>
            <w:r>
              <w:t>0.144</w:t>
            </w:r>
          </w:p>
        </w:tc>
        <w:tc>
          <w:tcPr>
            <w:tcW w:w="0" w:type="auto"/>
          </w:tcPr>
          <w:p w14:paraId="4C62AAAF" w14:textId="77777777" w:rsidR="00115D45" w:rsidRDefault="00000000">
            <w:pPr>
              <w:pStyle w:val="Compact"/>
            </w:pPr>
            <w:r>
              <w:t>Crash History</w:t>
            </w:r>
          </w:p>
        </w:tc>
      </w:tr>
      <w:tr w:rsidR="00115D45" w14:paraId="4C62AAB5" w14:textId="77777777">
        <w:tc>
          <w:tcPr>
            <w:tcW w:w="0" w:type="auto"/>
          </w:tcPr>
          <w:p w14:paraId="4C62AAB1" w14:textId="77777777" w:rsidR="00115D45" w:rsidRDefault="00000000">
            <w:pPr>
              <w:pStyle w:val="Compact"/>
            </w:pPr>
            <w:r>
              <w:t>10</w:t>
            </w:r>
          </w:p>
        </w:tc>
        <w:tc>
          <w:tcPr>
            <w:tcW w:w="0" w:type="auto"/>
          </w:tcPr>
          <w:p w14:paraId="4C62AAB2" w14:textId="77777777" w:rsidR="00115D45" w:rsidRDefault="00000000">
            <w:pPr>
              <w:pStyle w:val="Compact"/>
            </w:pPr>
            <w:r>
              <w:rPr>
                <w:rStyle w:val="VerbatimChar"/>
              </w:rPr>
              <w:t>controversy_change_13w</w:t>
            </w:r>
          </w:p>
        </w:tc>
        <w:tc>
          <w:tcPr>
            <w:tcW w:w="0" w:type="auto"/>
          </w:tcPr>
          <w:p w14:paraId="4C62AAB3" w14:textId="77777777" w:rsidR="00115D45" w:rsidRDefault="00000000">
            <w:pPr>
              <w:pStyle w:val="Compact"/>
            </w:pPr>
            <w:r>
              <w:t>0.137</w:t>
            </w:r>
          </w:p>
        </w:tc>
        <w:tc>
          <w:tcPr>
            <w:tcW w:w="0" w:type="auto"/>
          </w:tcPr>
          <w:p w14:paraId="4C62AAB4" w14:textId="77777777" w:rsidR="00115D45" w:rsidRDefault="00000000">
            <w:pPr>
              <w:pStyle w:val="Compact"/>
            </w:pPr>
            <w:r>
              <w:t>ESG</w:t>
            </w:r>
          </w:p>
        </w:tc>
      </w:tr>
      <w:tr w:rsidR="00115D45" w14:paraId="4C62AABA" w14:textId="77777777">
        <w:tc>
          <w:tcPr>
            <w:tcW w:w="0" w:type="auto"/>
          </w:tcPr>
          <w:p w14:paraId="4C62AAB6" w14:textId="77777777" w:rsidR="00115D45" w:rsidRDefault="00000000">
            <w:pPr>
              <w:pStyle w:val="Compact"/>
            </w:pPr>
            <w:r>
              <w:t>11</w:t>
            </w:r>
          </w:p>
        </w:tc>
        <w:tc>
          <w:tcPr>
            <w:tcW w:w="0" w:type="auto"/>
          </w:tcPr>
          <w:p w14:paraId="4C62AAB7" w14:textId="77777777" w:rsidR="00115D45" w:rsidRDefault="00000000">
            <w:pPr>
              <w:pStyle w:val="Compact"/>
            </w:pPr>
            <w:r>
              <w:rPr>
                <w:rStyle w:val="VerbatimChar"/>
              </w:rPr>
              <w:t>controversy_sector_percentile</w:t>
            </w:r>
          </w:p>
        </w:tc>
        <w:tc>
          <w:tcPr>
            <w:tcW w:w="0" w:type="auto"/>
          </w:tcPr>
          <w:p w14:paraId="4C62AAB8" w14:textId="77777777" w:rsidR="00115D45" w:rsidRDefault="00000000">
            <w:pPr>
              <w:pStyle w:val="Compact"/>
            </w:pPr>
            <w:r>
              <w:t>0.134</w:t>
            </w:r>
          </w:p>
        </w:tc>
        <w:tc>
          <w:tcPr>
            <w:tcW w:w="0" w:type="auto"/>
          </w:tcPr>
          <w:p w14:paraId="4C62AAB9" w14:textId="77777777" w:rsidR="00115D45" w:rsidRDefault="00000000">
            <w:pPr>
              <w:pStyle w:val="Compact"/>
            </w:pPr>
            <w:r>
              <w:t>ESG</w:t>
            </w:r>
          </w:p>
        </w:tc>
      </w:tr>
      <w:tr w:rsidR="00115D45" w14:paraId="4C62AABF" w14:textId="77777777">
        <w:tc>
          <w:tcPr>
            <w:tcW w:w="0" w:type="auto"/>
          </w:tcPr>
          <w:p w14:paraId="4C62AABB" w14:textId="77777777" w:rsidR="00115D45" w:rsidRDefault="00000000">
            <w:pPr>
              <w:pStyle w:val="Compact"/>
            </w:pPr>
            <w:r>
              <w:t>12</w:t>
            </w:r>
          </w:p>
        </w:tc>
        <w:tc>
          <w:tcPr>
            <w:tcW w:w="0" w:type="auto"/>
          </w:tcPr>
          <w:p w14:paraId="4C62AABC" w14:textId="77777777" w:rsidR="00115D45" w:rsidRDefault="00000000">
            <w:pPr>
              <w:pStyle w:val="Compact"/>
            </w:pPr>
            <w:r>
              <w:rPr>
                <w:rStyle w:val="VerbatimChar"/>
              </w:rPr>
              <w:t>controversy_rolling_std_13w</w:t>
            </w:r>
          </w:p>
        </w:tc>
        <w:tc>
          <w:tcPr>
            <w:tcW w:w="0" w:type="auto"/>
          </w:tcPr>
          <w:p w14:paraId="4C62AABD" w14:textId="77777777" w:rsidR="00115D45" w:rsidRDefault="00000000">
            <w:pPr>
              <w:pStyle w:val="Compact"/>
            </w:pPr>
            <w:r>
              <w:t>0.130</w:t>
            </w:r>
          </w:p>
        </w:tc>
        <w:tc>
          <w:tcPr>
            <w:tcW w:w="0" w:type="auto"/>
          </w:tcPr>
          <w:p w14:paraId="4C62AABE" w14:textId="77777777" w:rsidR="00115D45" w:rsidRDefault="00000000">
            <w:pPr>
              <w:pStyle w:val="Compact"/>
            </w:pPr>
            <w:r>
              <w:t>ESG</w:t>
            </w:r>
          </w:p>
        </w:tc>
      </w:tr>
      <w:tr w:rsidR="00115D45" w14:paraId="4C62AAC4" w14:textId="77777777">
        <w:tc>
          <w:tcPr>
            <w:tcW w:w="0" w:type="auto"/>
          </w:tcPr>
          <w:p w14:paraId="4C62AAC0" w14:textId="77777777" w:rsidR="00115D45" w:rsidRDefault="00000000">
            <w:pPr>
              <w:pStyle w:val="Compact"/>
            </w:pPr>
            <w:r>
              <w:t>13</w:t>
            </w:r>
          </w:p>
        </w:tc>
        <w:tc>
          <w:tcPr>
            <w:tcW w:w="0" w:type="auto"/>
          </w:tcPr>
          <w:p w14:paraId="4C62AAC1" w14:textId="77777777" w:rsidR="00115D45" w:rsidRDefault="00000000">
            <w:pPr>
              <w:pStyle w:val="Compact"/>
            </w:pPr>
            <w:r>
              <w:rPr>
                <w:rStyle w:val="VerbatimChar"/>
              </w:rPr>
              <w:t>leverage</w:t>
            </w:r>
          </w:p>
        </w:tc>
        <w:tc>
          <w:tcPr>
            <w:tcW w:w="0" w:type="auto"/>
          </w:tcPr>
          <w:p w14:paraId="4C62AAC2" w14:textId="77777777" w:rsidR="00115D45" w:rsidRDefault="00000000">
            <w:pPr>
              <w:pStyle w:val="Compact"/>
            </w:pPr>
            <w:r>
              <w:t>0.099</w:t>
            </w:r>
          </w:p>
        </w:tc>
        <w:tc>
          <w:tcPr>
            <w:tcW w:w="0" w:type="auto"/>
          </w:tcPr>
          <w:p w14:paraId="4C62AAC3" w14:textId="77777777" w:rsidR="00115D45" w:rsidRDefault="00000000">
            <w:pPr>
              <w:pStyle w:val="Compact"/>
            </w:pPr>
            <w:r>
              <w:t>Fundamentals</w:t>
            </w:r>
          </w:p>
        </w:tc>
      </w:tr>
      <w:tr w:rsidR="00115D45" w14:paraId="4C62AAC9" w14:textId="77777777">
        <w:tc>
          <w:tcPr>
            <w:tcW w:w="0" w:type="auto"/>
          </w:tcPr>
          <w:p w14:paraId="4C62AAC5" w14:textId="77777777" w:rsidR="00115D45" w:rsidRDefault="00000000">
            <w:pPr>
              <w:pStyle w:val="Compact"/>
            </w:pPr>
            <w:r>
              <w:t>14</w:t>
            </w:r>
          </w:p>
        </w:tc>
        <w:tc>
          <w:tcPr>
            <w:tcW w:w="0" w:type="auto"/>
          </w:tcPr>
          <w:p w14:paraId="4C62AAC6" w14:textId="77777777" w:rsidR="00115D45" w:rsidRDefault="00000000">
            <w:pPr>
              <w:pStyle w:val="Compact"/>
            </w:pPr>
            <w:r>
              <w:rPr>
                <w:rStyle w:val="VerbatimChar"/>
              </w:rPr>
              <w:t>controversy_change_4w</w:t>
            </w:r>
          </w:p>
        </w:tc>
        <w:tc>
          <w:tcPr>
            <w:tcW w:w="0" w:type="auto"/>
          </w:tcPr>
          <w:p w14:paraId="4C62AAC7" w14:textId="77777777" w:rsidR="00115D45" w:rsidRDefault="00000000">
            <w:pPr>
              <w:pStyle w:val="Compact"/>
            </w:pPr>
            <w:r>
              <w:t>0.083</w:t>
            </w:r>
          </w:p>
        </w:tc>
        <w:tc>
          <w:tcPr>
            <w:tcW w:w="0" w:type="auto"/>
          </w:tcPr>
          <w:p w14:paraId="4C62AAC8" w14:textId="77777777" w:rsidR="00115D45" w:rsidRDefault="00000000">
            <w:pPr>
              <w:pStyle w:val="Compact"/>
            </w:pPr>
            <w:r>
              <w:t>ESG</w:t>
            </w:r>
          </w:p>
        </w:tc>
      </w:tr>
      <w:tr w:rsidR="00115D45" w14:paraId="4C62AACE" w14:textId="77777777">
        <w:tc>
          <w:tcPr>
            <w:tcW w:w="0" w:type="auto"/>
          </w:tcPr>
          <w:p w14:paraId="4C62AACA" w14:textId="77777777" w:rsidR="00115D45" w:rsidRDefault="00000000">
            <w:pPr>
              <w:pStyle w:val="Compact"/>
            </w:pPr>
            <w:r>
              <w:t>15</w:t>
            </w:r>
          </w:p>
        </w:tc>
        <w:tc>
          <w:tcPr>
            <w:tcW w:w="0" w:type="auto"/>
          </w:tcPr>
          <w:p w14:paraId="4C62AACB" w14:textId="77777777" w:rsidR="00115D45" w:rsidRDefault="00000000">
            <w:pPr>
              <w:pStyle w:val="Compact"/>
            </w:pPr>
            <w:r>
              <w:rPr>
                <w:rStyle w:val="VerbatimChar"/>
              </w:rPr>
              <w:t>roa</w:t>
            </w:r>
          </w:p>
        </w:tc>
        <w:tc>
          <w:tcPr>
            <w:tcW w:w="0" w:type="auto"/>
          </w:tcPr>
          <w:p w14:paraId="4C62AACC" w14:textId="77777777" w:rsidR="00115D45" w:rsidRDefault="00000000">
            <w:pPr>
              <w:pStyle w:val="Compact"/>
            </w:pPr>
            <w:r>
              <w:t>0.080</w:t>
            </w:r>
          </w:p>
        </w:tc>
        <w:tc>
          <w:tcPr>
            <w:tcW w:w="0" w:type="auto"/>
          </w:tcPr>
          <w:p w14:paraId="4C62AACD" w14:textId="77777777" w:rsidR="00115D45" w:rsidRDefault="00000000">
            <w:pPr>
              <w:pStyle w:val="Compact"/>
            </w:pPr>
            <w:r>
              <w:t>Fundamentals</w:t>
            </w:r>
          </w:p>
        </w:tc>
      </w:tr>
      <w:tr w:rsidR="00115D45" w14:paraId="4C62AAD3" w14:textId="77777777">
        <w:tc>
          <w:tcPr>
            <w:tcW w:w="0" w:type="auto"/>
          </w:tcPr>
          <w:p w14:paraId="4C62AACF" w14:textId="77777777" w:rsidR="00115D45" w:rsidRDefault="00000000">
            <w:pPr>
              <w:pStyle w:val="Compact"/>
            </w:pPr>
            <w:r>
              <w:t>16</w:t>
            </w:r>
          </w:p>
        </w:tc>
        <w:tc>
          <w:tcPr>
            <w:tcW w:w="0" w:type="auto"/>
          </w:tcPr>
          <w:p w14:paraId="4C62AAD0" w14:textId="77777777" w:rsidR="00115D45" w:rsidRDefault="00000000">
            <w:pPr>
              <w:pStyle w:val="Compact"/>
            </w:pPr>
            <w:r>
              <w:rPr>
                <w:rStyle w:val="VerbatimChar"/>
              </w:rPr>
              <w:t>controversy_spike_flag</w:t>
            </w:r>
          </w:p>
        </w:tc>
        <w:tc>
          <w:tcPr>
            <w:tcW w:w="0" w:type="auto"/>
          </w:tcPr>
          <w:p w14:paraId="4C62AAD1" w14:textId="77777777" w:rsidR="00115D45" w:rsidRDefault="00000000">
            <w:pPr>
              <w:pStyle w:val="Compact"/>
            </w:pPr>
            <w:r>
              <w:t>0.076</w:t>
            </w:r>
          </w:p>
        </w:tc>
        <w:tc>
          <w:tcPr>
            <w:tcW w:w="0" w:type="auto"/>
          </w:tcPr>
          <w:p w14:paraId="4C62AAD2" w14:textId="77777777" w:rsidR="00115D45" w:rsidRDefault="00000000">
            <w:pPr>
              <w:pStyle w:val="Compact"/>
            </w:pPr>
            <w:r>
              <w:t>ESG</w:t>
            </w:r>
          </w:p>
        </w:tc>
      </w:tr>
      <w:tr w:rsidR="00115D45" w14:paraId="4C62AAD8" w14:textId="77777777">
        <w:tc>
          <w:tcPr>
            <w:tcW w:w="0" w:type="auto"/>
          </w:tcPr>
          <w:p w14:paraId="4C62AAD4" w14:textId="77777777" w:rsidR="00115D45" w:rsidRDefault="00000000">
            <w:pPr>
              <w:pStyle w:val="Compact"/>
            </w:pPr>
            <w:r>
              <w:t>17</w:t>
            </w:r>
          </w:p>
        </w:tc>
        <w:tc>
          <w:tcPr>
            <w:tcW w:w="0" w:type="auto"/>
          </w:tcPr>
          <w:p w14:paraId="4C62AAD5" w14:textId="77777777" w:rsidR="00115D45" w:rsidRDefault="00000000">
            <w:pPr>
              <w:pStyle w:val="Compact"/>
            </w:pPr>
            <w:r>
              <w:rPr>
                <w:rStyle w:val="VerbatimChar"/>
              </w:rPr>
              <w:t>lagged_duvol</w:t>
            </w:r>
          </w:p>
        </w:tc>
        <w:tc>
          <w:tcPr>
            <w:tcW w:w="0" w:type="auto"/>
          </w:tcPr>
          <w:p w14:paraId="4C62AAD6" w14:textId="77777777" w:rsidR="00115D45" w:rsidRDefault="00000000">
            <w:pPr>
              <w:pStyle w:val="Compact"/>
            </w:pPr>
            <w:r>
              <w:t>0.063</w:t>
            </w:r>
          </w:p>
        </w:tc>
        <w:tc>
          <w:tcPr>
            <w:tcW w:w="0" w:type="auto"/>
          </w:tcPr>
          <w:p w14:paraId="4C62AAD7" w14:textId="77777777" w:rsidR="00115D45" w:rsidRDefault="00000000">
            <w:pPr>
              <w:pStyle w:val="Compact"/>
            </w:pPr>
            <w:r>
              <w:t>Crash History</w:t>
            </w:r>
          </w:p>
        </w:tc>
      </w:tr>
      <w:tr w:rsidR="00115D45" w14:paraId="4C62AADD" w14:textId="77777777">
        <w:tc>
          <w:tcPr>
            <w:tcW w:w="0" w:type="auto"/>
          </w:tcPr>
          <w:p w14:paraId="4C62AAD9" w14:textId="77777777" w:rsidR="00115D45" w:rsidRDefault="00000000">
            <w:pPr>
              <w:pStyle w:val="Compact"/>
            </w:pPr>
            <w:r>
              <w:t>18</w:t>
            </w:r>
          </w:p>
        </w:tc>
        <w:tc>
          <w:tcPr>
            <w:tcW w:w="0" w:type="auto"/>
          </w:tcPr>
          <w:p w14:paraId="4C62AADA" w14:textId="77777777" w:rsidR="00115D45" w:rsidRDefault="00000000">
            <w:pPr>
              <w:pStyle w:val="Compact"/>
            </w:pPr>
            <w:r>
              <w:rPr>
                <w:rStyle w:val="VerbatimChar"/>
              </w:rPr>
              <w:t>market_to_book</w:t>
            </w:r>
          </w:p>
        </w:tc>
        <w:tc>
          <w:tcPr>
            <w:tcW w:w="0" w:type="auto"/>
          </w:tcPr>
          <w:p w14:paraId="4C62AADB" w14:textId="77777777" w:rsidR="00115D45" w:rsidRDefault="00000000">
            <w:pPr>
              <w:pStyle w:val="Compact"/>
            </w:pPr>
            <w:r>
              <w:t>0.060</w:t>
            </w:r>
          </w:p>
        </w:tc>
        <w:tc>
          <w:tcPr>
            <w:tcW w:w="0" w:type="auto"/>
          </w:tcPr>
          <w:p w14:paraId="4C62AADC" w14:textId="77777777" w:rsidR="00115D45" w:rsidRDefault="00000000">
            <w:pPr>
              <w:pStyle w:val="Compact"/>
            </w:pPr>
            <w:r>
              <w:t>Fundamentals</w:t>
            </w:r>
          </w:p>
        </w:tc>
      </w:tr>
      <w:tr w:rsidR="00115D45" w14:paraId="4C62AAE2" w14:textId="77777777">
        <w:tc>
          <w:tcPr>
            <w:tcW w:w="0" w:type="auto"/>
          </w:tcPr>
          <w:p w14:paraId="4C62AADE" w14:textId="77777777" w:rsidR="00115D45" w:rsidRDefault="00000000">
            <w:pPr>
              <w:pStyle w:val="Compact"/>
            </w:pPr>
            <w:r>
              <w:t>19</w:t>
            </w:r>
          </w:p>
        </w:tc>
        <w:tc>
          <w:tcPr>
            <w:tcW w:w="0" w:type="auto"/>
          </w:tcPr>
          <w:p w14:paraId="4C62AADF" w14:textId="77777777" w:rsidR="00115D45" w:rsidRDefault="00000000">
            <w:pPr>
              <w:pStyle w:val="Compact"/>
            </w:pPr>
            <w:r>
              <w:rPr>
                <w:rStyle w:val="VerbatimChar"/>
              </w:rPr>
              <w:t>detrended_turnover</w:t>
            </w:r>
          </w:p>
        </w:tc>
        <w:tc>
          <w:tcPr>
            <w:tcW w:w="0" w:type="auto"/>
          </w:tcPr>
          <w:p w14:paraId="4C62AAE0" w14:textId="77777777" w:rsidR="00115D45" w:rsidRDefault="00000000">
            <w:pPr>
              <w:pStyle w:val="Compact"/>
            </w:pPr>
            <w:r>
              <w:t>0.021</w:t>
            </w:r>
          </w:p>
        </w:tc>
        <w:tc>
          <w:tcPr>
            <w:tcW w:w="0" w:type="auto"/>
          </w:tcPr>
          <w:p w14:paraId="4C62AAE1" w14:textId="77777777" w:rsidR="00115D45" w:rsidRDefault="00000000">
            <w:pPr>
              <w:pStyle w:val="Compact"/>
            </w:pPr>
            <w:r>
              <w:t>Trading Activity</w:t>
            </w:r>
          </w:p>
        </w:tc>
      </w:tr>
      <w:tr w:rsidR="00115D45" w14:paraId="4C62AAE7" w14:textId="77777777">
        <w:tc>
          <w:tcPr>
            <w:tcW w:w="0" w:type="auto"/>
          </w:tcPr>
          <w:p w14:paraId="4C62AAE3" w14:textId="77777777" w:rsidR="00115D45" w:rsidRDefault="00000000">
            <w:pPr>
              <w:pStyle w:val="Compact"/>
            </w:pPr>
            <w:r>
              <w:t>20</w:t>
            </w:r>
          </w:p>
        </w:tc>
        <w:tc>
          <w:tcPr>
            <w:tcW w:w="0" w:type="auto"/>
          </w:tcPr>
          <w:p w14:paraId="4C62AAE4" w14:textId="77777777" w:rsidR="00115D45" w:rsidRDefault="00000000">
            <w:pPr>
              <w:pStyle w:val="Compact"/>
            </w:pPr>
            <w:r>
              <w:rPr>
                <w:rStyle w:val="VerbatimChar"/>
              </w:rPr>
              <w:t>controversy_change_26w</w:t>
            </w:r>
          </w:p>
        </w:tc>
        <w:tc>
          <w:tcPr>
            <w:tcW w:w="0" w:type="auto"/>
          </w:tcPr>
          <w:p w14:paraId="4C62AAE5" w14:textId="77777777" w:rsidR="00115D45" w:rsidRDefault="00000000">
            <w:pPr>
              <w:pStyle w:val="Compact"/>
            </w:pPr>
            <w:r>
              <w:t>0.009</w:t>
            </w:r>
          </w:p>
        </w:tc>
        <w:tc>
          <w:tcPr>
            <w:tcW w:w="0" w:type="auto"/>
          </w:tcPr>
          <w:p w14:paraId="4C62AAE6" w14:textId="77777777" w:rsidR="00115D45" w:rsidRDefault="00000000">
            <w:pPr>
              <w:pStyle w:val="Compact"/>
            </w:pPr>
            <w:r>
              <w:t>ESG</w:t>
            </w:r>
          </w:p>
        </w:tc>
      </w:tr>
    </w:tbl>
    <w:p w14:paraId="4C62AAE8" w14:textId="77777777" w:rsidR="00115D45" w:rsidRDefault="00000000">
      <w:pPr>
        <w:pStyle w:val="BodyText"/>
      </w:pPr>
      <w:r>
        <w:t xml:space="preserve">ESG features occupy five of the top twelve positions, with the two most important features both being controversy-related. </w:t>
      </w:r>
      <w:r>
        <w:rPr>
          <w:rStyle w:val="VerbatimChar"/>
        </w:rPr>
        <w:t>controversy_score</w:t>
      </w:r>
      <w:r>
        <w:t xml:space="preserve"> (0.827) and </w:t>
      </w:r>
      <w:r>
        <w:rPr>
          <w:rStyle w:val="VerbatimChar"/>
        </w:rPr>
        <w:t>controversy_rolling_mean_13w</w:t>
      </w:r>
      <w:r>
        <w:t xml:space="preserve"> (0.651) dominate the model, validating the theoretical motivation. Among non-ESG features, </w:t>
      </w:r>
      <w:r>
        <w:rPr>
          <w:rStyle w:val="VerbatimChar"/>
        </w:rPr>
        <w:t>downside_beta</w:t>
      </w:r>
      <w:r>
        <w:t xml:space="preserve"> (0.368) is the strongest predictor — stocks that fall disproportionately with the market carry elevated crash risk.</w:t>
      </w:r>
    </w:p>
    <w:p w14:paraId="4C62AAE9" w14:textId="77777777" w:rsidR="00115D45" w:rsidRDefault="00000000">
      <w:pPr>
        <w:pStyle w:val="Heading3"/>
      </w:pPr>
      <w:bookmarkStart w:id="29" w:name="individual-stock-scoring"/>
      <w:bookmarkEnd w:id="28"/>
      <w:r>
        <w:t>3.9 Individual Stock Scoring</w:t>
      </w:r>
    </w:p>
    <w:p w14:paraId="4C62AAEA" w14:textId="77777777" w:rsidR="00115D45" w:rsidRDefault="00000000">
      <w:pPr>
        <w:pStyle w:val="FirstParagraph"/>
      </w:pPr>
      <w:r>
        <w:t>The model scores every stock as of the most recent available week (2025-01-03). Each stock receives three outputs:</w:t>
      </w:r>
    </w:p>
    <w:p w14:paraId="4C62AAEB" w14:textId="77777777" w:rsidR="00115D45" w:rsidRDefault="00000000">
      <w:pPr>
        <w:pStyle w:val="Compact"/>
        <w:numPr>
          <w:ilvl w:val="0"/>
          <w:numId w:val="11"/>
        </w:numPr>
      </w:pPr>
      <w:r>
        <w:rPr>
          <w:b/>
          <w:bCs/>
        </w:rPr>
        <w:t>Crash probability</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p>
    <w:p w14:paraId="4C62AAEC" w14:textId="77777777" w:rsidR="00115D45" w:rsidRDefault="00000000">
      <w:pPr>
        <w:pStyle w:val="Compact"/>
        <w:numPr>
          <w:ilvl w:val="0"/>
          <w:numId w:val="11"/>
        </w:numPr>
      </w:pPr>
      <w:r>
        <w:rPr>
          <w:b/>
          <w:bCs/>
        </w:rPr>
        <w:t>Risk bucket</w:t>
      </w:r>
      <w:r>
        <w:t>: High (top 20%), Medium (next 40%), Low (bottom 40%)</w:t>
      </w:r>
    </w:p>
    <w:p w14:paraId="4C62AAED" w14:textId="77777777" w:rsidR="00115D45" w:rsidRDefault="00000000">
      <w:pPr>
        <w:pStyle w:val="Compact"/>
        <w:numPr>
          <w:ilvl w:val="0"/>
          <w:numId w:val="11"/>
        </w:numPr>
      </w:pPr>
      <w:r>
        <w:rPr>
          <w:b/>
          <w:bCs/>
        </w:rPr>
        <w:t>Top-3 drivers</w:t>
      </w:r>
      <w:r>
        <w:t>: the three features contributing most to the crash probability for that specific stock</w:t>
      </w:r>
    </w:p>
    <w:p w14:paraId="4C62AAEE" w14:textId="77777777" w:rsidR="00115D45" w:rsidRDefault="00000000">
      <w:pPr>
        <w:pStyle w:val="FirstParagraph"/>
      </w:pPr>
      <w:r>
        <w:t xml:space="preserve">The top-3 drivers are computed as the three largest values of </w:t>
      </w:r>
      <m:oMath>
        <m:r>
          <m:rPr>
            <m:sty m:val="p"/>
          </m:rPr>
          <w:rPr>
            <w:rFonts w:ascii="Cambria Math" w:hAnsi="Cambria Math"/>
          </w:rPr>
          <m:t>|</m:t>
        </m:r>
        <m:sSub>
          <m:sSubPr>
            <m:ctrlPr>
              <w:rPr>
                <w:rFonts w:ascii="Cambria Math" w:hAnsi="Cambria Math"/>
              </w:rPr>
            </m:ctrlPr>
          </m:sSubPr>
          <m:e>
            <m:r>
              <m:rPr>
                <m:nor/>
              </m:rPr>
              <m:t>coef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r>
              <m:rPr>
                <m:sty m:val="p"/>
              </m:rPr>
              <w:rPr>
                <w:rFonts w:ascii="Cambria Math" w:hAnsi="Cambria Math"/>
              </w:rPr>
              <m:t>,</m:t>
            </m:r>
            <m:r>
              <w:rPr>
                <w:rFonts w:ascii="Cambria Math" w:hAnsi="Cambria Math"/>
              </w:rPr>
              <m:t>j</m:t>
            </m:r>
          </m:sub>
        </m:sSub>
      </m:oMath>
      <w:r>
        <w:t xml:space="preserve">, 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r>
              <m:rPr>
                <m:sty m:val="p"/>
              </m:rPr>
              <w:rPr>
                <w:rFonts w:ascii="Cambria Math" w:hAnsi="Cambria Math"/>
              </w:rPr>
              <m:t>,</m:t>
            </m:r>
            <m:r>
              <w:rPr>
                <w:rFonts w:ascii="Cambria Math" w:hAnsi="Cambria Math"/>
              </w:rPr>
              <m:t>j</m:t>
            </m:r>
          </m:sub>
        </m:sSub>
      </m:oMath>
      <w:r>
        <w:t xml:space="preserve"> is the standardised (imputed and scaled) feature value for stock </w:t>
      </w:r>
      <m:oMath>
        <m:r>
          <w:rPr>
            <w:rFonts w:ascii="Cambria Math" w:hAnsi="Cambria Math"/>
          </w:rPr>
          <m:t>i</m:t>
        </m:r>
      </m:oMath>
      <w:r>
        <w:t xml:space="preserve"> and feature </w:t>
      </w:r>
      <m:oMath>
        <m:r>
          <w:rPr>
            <w:rFonts w:ascii="Cambria Math" w:hAnsi="Cambria Math"/>
          </w:rPr>
          <m:t>j</m:t>
        </m:r>
      </m:oMath>
      <w:r>
        <w:t xml:space="preserve">. This personalises the explanation: a stock classified as High risk due to a controversy spike will show </w:t>
      </w:r>
      <w:r>
        <w:rPr>
          <w:rStyle w:val="VerbatimChar"/>
        </w:rPr>
        <w:t>controversy_score</w:t>
      </w:r>
      <w:r>
        <w:t xml:space="preserve"> and </w:t>
      </w:r>
      <w:r>
        <w:rPr>
          <w:rStyle w:val="VerbatimChar"/>
        </w:rPr>
        <w:t>controversy_spike_flag</w:t>
      </w:r>
      <w:r>
        <w:t xml:space="preserve"> as top drivers, while a High-risk stock driven purely by technical factors will show </w:t>
      </w:r>
      <w:r>
        <w:rPr>
          <w:rStyle w:val="VerbatimChar"/>
        </w:rPr>
        <w:t>downside_beta</w:t>
      </w:r>
      <w:r>
        <w:t xml:space="preserve"> and </w:t>
      </w:r>
      <w:r>
        <w:rPr>
          <w:rStyle w:val="VerbatimChar"/>
        </w:rPr>
        <w:t>lagged_ncskew</w:t>
      </w:r>
      <w:r>
        <w:t>.</w:t>
      </w:r>
    </w:p>
    <w:p w14:paraId="4C62AAEF" w14:textId="77777777" w:rsidR="00115D45" w:rsidRDefault="00000000">
      <w:pPr>
        <w:pStyle w:val="BodyText"/>
      </w:pPr>
      <w:r>
        <w:t>Selected examples from the current scoring run:</w:t>
      </w:r>
    </w:p>
    <w:tbl>
      <w:tblPr>
        <w:tblStyle w:val="Table"/>
        <w:tblW w:w="5000" w:type="pct"/>
        <w:tblLook w:val="0020" w:firstRow="1" w:lastRow="0" w:firstColumn="0" w:lastColumn="0" w:noHBand="0" w:noVBand="0"/>
      </w:tblPr>
      <w:tblGrid>
        <w:gridCol w:w="952"/>
        <w:gridCol w:w="1360"/>
        <w:gridCol w:w="926"/>
        <w:gridCol w:w="6338"/>
      </w:tblGrid>
      <w:tr w:rsidR="00115D45" w14:paraId="4C62AAF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AF0" w14:textId="77777777" w:rsidR="00115D45" w:rsidRDefault="00000000">
            <w:pPr>
              <w:pStyle w:val="Compact"/>
            </w:pPr>
            <w:r>
              <w:t>Ticker</w:t>
            </w:r>
          </w:p>
        </w:tc>
        <w:tc>
          <w:tcPr>
            <w:tcW w:w="0" w:type="auto"/>
          </w:tcPr>
          <w:p w14:paraId="4C62AAF1" w14:textId="77777777" w:rsidR="00115D45" w:rsidRDefault="00000000">
            <w:pPr>
              <w:pStyle w:val="Compact"/>
            </w:pPr>
            <w:r>
              <w:t>Probability</w:t>
            </w:r>
          </w:p>
        </w:tc>
        <w:tc>
          <w:tcPr>
            <w:tcW w:w="0" w:type="auto"/>
          </w:tcPr>
          <w:p w14:paraId="4C62AAF2" w14:textId="77777777" w:rsidR="00115D45" w:rsidRDefault="00000000">
            <w:pPr>
              <w:pStyle w:val="Compact"/>
            </w:pPr>
            <w:r>
              <w:t>Bucket</w:t>
            </w:r>
          </w:p>
        </w:tc>
        <w:tc>
          <w:tcPr>
            <w:tcW w:w="0" w:type="auto"/>
          </w:tcPr>
          <w:p w14:paraId="4C62AAF3" w14:textId="77777777" w:rsidR="00115D45" w:rsidRDefault="00000000">
            <w:pPr>
              <w:pStyle w:val="Compact"/>
            </w:pPr>
            <w:r>
              <w:t>Top Drivers</w:t>
            </w:r>
          </w:p>
        </w:tc>
      </w:tr>
      <w:tr w:rsidR="00115D45" w14:paraId="4C62AAF9" w14:textId="77777777">
        <w:tc>
          <w:tcPr>
            <w:tcW w:w="0" w:type="auto"/>
          </w:tcPr>
          <w:p w14:paraId="4C62AAF5" w14:textId="77777777" w:rsidR="00115D45" w:rsidRDefault="00000000">
            <w:pPr>
              <w:pStyle w:val="Compact"/>
            </w:pPr>
            <w:r>
              <w:t>LIN</w:t>
            </w:r>
          </w:p>
        </w:tc>
        <w:tc>
          <w:tcPr>
            <w:tcW w:w="0" w:type="auto"/>
          </w:tcPr>
          <w:p w14:paraId="4C62AAF6" w14:textId="77777777" w:rsidR="00115D45" w:rsidRDefault="00000000">
            <w:pPr>
              <w:pStyle w:val="Compact"/>
            </w:pPr>
            <w:r>
              <w:t>0.729</w:t>
            </w:r>
          </w:p>
        </w:tc>
        <w:tc>
          <w:tcPr>
            <w:tcW w:w="0" w:type="auto"/>
          </w:tcPr>
          <w:p w14:paraId="4C62AAF7" w14:textId="77777777" w:rsidR="00115D45" w:rsidRDefault="00000000">
            <w:pPr>
              <w:pStyle w:val="Compact"/>
            </w:pPr>
            <w:r>
              <w:t>High</w:t>
            </w:r>
          </w:p>
        </w:tc>
        <w:tc>
          <w:tcPr>
            <w:tcW w:w="0" w:type="auto"/>
          </w:tcPr>
          <w:p w14:paraId="4C62AAF8" w14:textId="77777777" w:rsidR="00115D45" w:rsidRDefault="00000000">
            <w:pPr>
              <w:pStyle w:val="Compact"/>
            </w:pPr>
            <w:r>
              <w:t>controversy_rolling_mean_13w; controversy_spike_flag; controversy_change_4w</w:t>
            </w:r>
          </w:p>
        </w:tc>
      </w:tr>
      <w:tr w:rsidR="00115D45" w14:paraId="4C62AAFE" w14:textId="77777777">
        <w:tc>
          <w:tcPr>
            <w:tcW w:w="0" w:type="auto"/>
          </w:tcPr>
          <w:p w14:paraId="4C62AAFA" w14:textId="77777777" w:rsidR="00115D45" w:rsidRDefault="00000000">
            <w:pPr>
              <w:pStyle w:val="Compact"/>
            </w:pPr>
            <w:r>
              <w:t>EOG</w:t>
            </w:r>
          </w:p>
        </w:tc>
        <w:tc>
          <w:tcPr>
            <w:tcW w:w="0" w:type="auto"/>
          </w:tcPr>
          <w:p w14:paraId="4C62AAFB" w14:textId="77777777" w:rsidR="00115D45" w:rsidRDefault="00000000">
            <w:pPr>
              <w:pStyle w:val="Compact"/>
            </w:pPr>
            <w:r>
              <w:t>0.617</w:t>
            </w:r>
          </w:p>
        </w:tc>
        <w:tc>
          <w:tcPr>
            <w:tcW w:w="0" w:type="auto"/>
          </w:tcPr>
          <w:p w14:paraId="4C62AAFC" w14:textId="77777777" w:rsidR="00115D45" w:rsidRDefault="00000000">
            <w:pPr>
              <w:pStyle w:val="Compact"/>
            </w:pPr>
            <w:r>
              <w:t>High</w:t>
            </w:r>
          </w:p>
        </w:tc>
        <w:tc>
          <w:tcPr>
            <w:tcW w:w="0" w:type="auto"/>
          </w:tcPr>
          <w:p w14:paraId="4C62AAFD" w14:textId="77777777" w:rsidR="00115D45" w:rsidRDefault="00000000">
            <w:pPr>
              <w:pStyle w:val="Compact"/>
            </w:pPr>
            <w:r>
              <w:t>controversy_rolling_mean_13w; controversy_score; downside_beta</w:t>
            </w:r>
          </w:p>
        </w:tc>
      </w:tr>
      <w:tr w:rsidR="00115D45" w14:paraId="4C62AB03" w14:textId="77777777">
        <w:tc>
          <w:tcPr>
            <w:tcW w:w="0" w:type="auto"/>
          </w:tcPr>
          <w:p w14:paraId="4C62AAFF" w14:textId="77777777" w:rsidR="00115D45" w:rsidRDefault="00000000">
            <w:pPr>
              <w:pStyle w:val="Compact"/>
            </w:pPr>
            <w:r>
              <w:t>DIS</w:t>
            </w:r>
          </w:p>
        </w:tc>
        <w:tc>
          <w:tcPr>
            <w:tcW w:w="0" w:type="auto"/>
          </w:tcPr>
          <w:p w14:paraId="4C62AB00" w14:textId="77777777" w:rsidR="00115D45" w:rsidRDefault="00000000">
            <w:pPr>
              <w:pStyle w:val="Compact"/>
            </w:pPr>
            <w:r>
              <w:t>0.614</w:t>
            </w:r>
          </w:p>
        </w:tc>
        <w:tc>
          <w:tcPr>
            <w:tcW w:w="0" w:type="auto"/>
          </w:tcPr>
          <w:p w14:paraId="4C62AB01" w14:textId="77777777" w:rsidR="00115D45" w:rsidRDefault="00000000">
            <w:pPr>
              <w:pStyle w:val="Compact"/>
            </w:pPr>
            <w:r>
              <w:t>High</w:t>
            </w:r>
          </w:p>
        </w:tc>
        <w:tc>
          <w:tcPr>
            <w:tcW w:w="0" w:type="auto"/>
          </w:tcPr>
          <w:p w14:paraId="4C62AB02" w14:textId="77777777" w:rsidR="00115D45" w:rsidRDefault="00000000">
            <w:pPr>
              <w:pStyle w:val="Compact"/>
            </w:pPr>
            <w:r>
              <w:t xml:space="preserve">downside_beta; controversy_rolling_mean_13w; </w:t>
            </w:r>
            <w:r>
              <w:lastRenderedPageBreak/>
              <w:t>lagged_ncskew</w:t>
            </w:r>
          </w:p>
        </w:tc>
      </w:tr>
      <w:tr w:rsidR="00115D45" w14:paraId="4C62AB08" w14:textId="77777777">
        <w:tc>
          <w:tcPr>
            <w:tcW w:w="0" w:type="auto"/>
          </w:tcPr>
          <w:p w14:paraId="4C62AB04" w14:textId="77777777" w:rsidR="00115D45" w:rsidRDefault="00000000">
            <w:pPr>
              <w:pStyle w:val="Compact"/>
            </w:pPr>
            <w:r>
              <w:lastRenderedPageBreak/>
              <w:t>MCD</w:t>
            </w:r>
          </w:p>
        </w:tc>
        <w:tc>
          <w:tcPr>
            <w:tcW w:w="0" w:type="auto"/>
          </w:tcPr>
          <w:p w14:paraId="4C62AB05" w14:textId="77777777" w:rsidR="00115D45" w:rsidRDefault="00000000">
            <w:pPr>
              <w:pStyle w:val="Compact"/>
            </w:pPr>
            <w:r>
              <w:t>0.609</w:t>
            </w:r>
          </w:p>
        </w:tc>
        <w:tc>
          <w:tcPr>
            <w:tcW w:w="0" w:type="auto"/>
          </w:tcPr>
          <w:p w14:paraId="4C62AB06" w14:textId="77777777" w:rsidR="00115D45" w:rsidRDefault="00000000">
            <w:pPr>
              <w:pStyle w:val="Compact"/>
            </w:pPr>
            <w:r>
              <w:t>High</w:t>
            </w:r>
          </w:p>
        </w:tc>
        <w:tc>
          <w:tcPr>
            <w:tcW w:w="0" w:type="auto"/>
          </w:tcPr>
          <w:p w14:paraId="4C62AB07" w14:textId="77777777" w:rsidR="00115D45" w:rsidRDefault="00000000">
            <w:pPr>
              <w:pStyle w:val="Compact"/>
            </w:pPr>
            <w:r>
              <w:t>downside_beta; controversy_score; relative_downside_beta</w:t>
            </w:r>
          </w:p>
        </w:tc>
      </w:tr>
      <w:tr w:rsidR="00115D45" w14:paraId="4C62AB0D" w14:textId="77777777">
        <w:tc>
          <w:tcPr>
            <w:tcW w:w="0" w:type="auto"/>
          </w:tcPr>
          <w:p w14:paraId="4C62AB09" w14:textId="77777777" w:rsidR="00115D45" w:rsidRDefault="00000000">
            <w:pPr>
              <w:pStyle w:val="Compact"/>
            </w:pPr>
            <w:r>
              <w:t>APD</w:t>
            </w:r>
          </w:p>
        </w:tc>
        <w:tc>
          <w:tcPr>
            <w:tcW w:w="0" w:type="auto"/>
          </w:tcPr>
          <w:p w14:paraId="4C62AB0A" w14:textId="77777777" w:rsidR="00115D45" w:rsidRDefault="00000000">
            <w:pPr>
              <w:pStyle w:val="Compact"/>
            </w:pPr>
            <w:r>
              <w:t>0.559</w:t>
            </w:r>
          </w:p>
        </w:tc>
        <w:tc>
          <w:tcPr>
            <w:tcW w:w="0" w:type="auto"/>
          </w:tcPr>
          <w:p w14:paraId="4C62AB0B" w14:textId="77777777" w:rsidR="00115D45" w:rsidRDefault="00000000">
            <w:pPr>
              <w:pStyle w:val="Compact"/>
            </w:pPr>
            <w:r>
              <w:t>High</w:t>
            </w:r>
          </w:p>
        </w:tc>
        <w:tc>
          <w:tcPr>
            <w:tcW w:w="0" w:type="auto"/>
          </w:tcPr>
          <w:p w14:paraId="4C62AB0C" w14:textId="77777777" w:rsidR="00115D45" w:rsidRDefault="00000000">
            <w:pPr>
              <w:pStyle w:val="Compact"/>
            </w:pPr>
            <w:r>
              <w:t>controversy_rolling_mean_13w; controversy_score; downside_beta</w:t>
            </w:r>
          </w:p>
        </w:tc>
      </w:tr>
      <w:tr w:rsidR="00115D45" w14:paraId="4C62AB12" w14:textId="77777777">
        <w:tc>
          <w:tcPr>
            <w:tcW w:w="0" w:type="auto"/>
          </w:tcPr>
          <w:p w14:paraId="4C62AB0E" w14:textId="77777777" w:rsidR="00115D45" w:rsidRDefault="00000000">
            <w:pPr>
              <w:pStyle w:val="Compact"/>
            </w:pPr>
            <w:r>
              <w:t>AAPL</w:t>
            </w:r>
          </w:p>
        </w:tc>
        <w:tc>
          <w:tcPr>
            <w:tcW w:w="0" w:type="auto"/>
          </w:tcPr>
          <w:p w14:paraId="4C62AB0F" w14:textId="77777777" w:rsidR="00115D45" w:rsidRDefault="00000000">
            <w:pPr>
              <w:pStyle w:val="Compact"/>
            </w:pPr>
            <w:r>
              <w:t>0.365</w:t>
            </w:r>
          </w:p>
        </w:tc>
        <w:tc>
          <w:tcPr>
            <w:tcW w:w="0" w:type="auto"/>
          </w:tcPr>
          <w:p w14:paraId="4C62AB10" w14:textId="77777777" w:rsidR="00115D45" w:rsidRDefault="00000000">
            <w:pPr>
              <w:pStyle w:val="Compact"/>
            </w:pPr>
            <w:r>
              <w:t>Low</w:t>
            </w:r>
          </w:p>
        </w:tc>
        <w:tc>
          <w:tcPr>
            <w:tcW w:w="0" w:type="auto"/>
          </w:tcPr>
          <w:p w14:paraId="4C62AB11" w14:textId="77777777" w:rsidR="00115D45" w:rsidRDefault="00000000">
            <w:pPr>
              <w:pStyle w:val="Compact"/>
            </w:pPr>
            <w:r>
              <w:t>market_cap; controversy_rolling_mean_13w; downside_beta</w:t>
            </w:r>
          </w:p>
        </w:tc>
      </w:tr>
      <w:tr w:rsidR="00115D45" w14:paraId="4C62AB17" w14:textId="77777777">
        <w:tc>
          <w:tcPr>
            <w:tcW w:w="0" w:type="auto"/>
          </w:tcPr>
          <w:p w14:paraId="4C62AB13" w14:textId="77777777" w:rsidR="00115D45" w:rsidRDefault="00000000">
            <w:pPr>
              <w:pStyle w:val="Compact"/>
            </w:pPr>
            <w:r>
              <w:t>GOOGL</w:t>
            </w:r>
          </w:p>
        </w:tc>
        <w:tc>
          <w:tcPr>
            <w:tcW w:w="0" w:type="auto"/>
          </w:tcPr>
          <w:p w14:paraId="4C62AB14" w14:textId="77777777" w:rsidR="00115D45" w:rsidRDefault="00000000">
            <w:pPr>
              <w:pStyle w:val="Compact"/>
            </w:pPr>
            <w:r>
              <w:t>0.258</w:t>
            </w:r>
          </w:p>
        </w:tc>
        <w:tc>
          <w:tcPr>
            <w:tcW w:w="0" w:type="auto"/>
          </w:tcPr>
          <w:p w14:paraId="4C62AB15" w14:textId="77777777" w:rsidR="00115D45" w:rsidRDefault="00000000">
            <w:pPr>
              <w:pStyle w:val="Compact"/>
            </w:pPr>
            <w:r>
              <w:t>Low</w:t>
            </w:r>
          </w:p>
        </w:tc>
        <w:tc>
          <w:tcPr>
            <w:tcW w:w="0" w:type="auto"/>
          </w:tcPr>
          <w:p w14:paraId="4C62AB16" w14:textId="77777777" w:rsidR="00115D45" w:rsidRDefault="00000000">
            <w:pPr>
              <w:pStyle w:val="Compact"/>
            </w:pPr>
            <w:r>
              <w:t>market_cap; controversy_score; downside_beta</w:t>
            </w:r>
          </w:p>
        </w:tc>
      </w:tr>
    </w:tbl>
    <w:p w14:paraId="4C62AB18" w14:textId="77777777" w:rsidR="00115D45" w:rsidRDefault="00000000">
      <w:r>
        <w:pict w14:anchorId="4C62AC41">
          <v:rect id="_x0000_i1030" style="width:0;height:1.5pt" o:hralign="center" o:hrstd="t" o:hr="t"/>
        </w:pict>
      </w:r>
    </w:p>
    <w:p w14:paraId="4C62AB19" w14:textId="77777777" w:rsidR="00115D45" w:rsidRDefault="00000000">
      <w:pPr>
        <w:pStyle w:val="Heading2"/>
      </w:pPr>
      <w:bookmarkStart w:id="30" w:name="business-analysis"/>
      <w:bookmarkEnd w:id="20"/>
      <w:bookmarkEnd w:id="29"/>
      <w:r>
        <w:t>4. Business Analysis</w:t>
      </w:r>
    </w:p>
    <w:p w14:paraId="4C62AB1A" w14:textId="77777777" w:rsidR="00115D45" w:rsidRDefault="00000000">
      <w:pPr>
        <w:pStyle w:val="Heading3"/>
      </w:pPr>
      <w:bookmarkStart w:id="31" w:name="strategy-design"/>
      <w:r>
        <w:t>4.1 Strategy Design</w:t>
      </w:r>
    </w:p>
    <w:p w14:paraId="4C62AB1B" w14:textId="77777777" w:rsidR="00115D45" w:rsidRDefault="00000000">
      <w:pPr>
        <w:pStyle w:val="FirstParagraph"/>
      </w:pPr>
      <w:r>
        <w:t xml:space="preserve">The business analysis applies the model as a </w:t>
      </w:r>
      <w:r>
        <w:rPr>
          <w:b/>
          <w:bCs/>
        </w:rPr>
        <w:t>weekly long-only risk overlay</w:t>
      </w:r>
      <w:r>
        <w:t xml:space="preserve"> for a hypothetical $1 billion equity fund. The strategy is:</w:t>
      </w:r>
    </w:p>
    <w:p w14:paraId="4C62AB1C" w14:textId="77777777" w:rsidR="00115D45" w:rsidRDefault="00000000">
      <w:pPr>
        <w:pStyle w:val="Compact"/>
        <w:numPr>
          <w:ilvl w:val="0"/>
          <w:numId w:val="12"/>
        </w:numPr>
      </w:pPr>
      <w:r>
        <w:t>Each Friday, retrieve the latest risk bucket for all 50 stocks</w:t>
      </w:r>
    </w:p>
    <w:p w14:paraId="4C62AB1D" w14:textId="77777777" w:rsidR="00115D45" w:rsidRDefault="00000000">
      <w:pPr>
        <w:pStyle w:val="Compact"/>
        <w:numPr>
          <w:ilvl w:val="0"/>
          <w:numId w:val="12"/>
        </w:numPr>
      </w:pPr>
      <w:r>
        <w:rPr>
          <w:b/>
          <w:bCs/>
        </w:rPr>
        <w:t>Strategy portfolio</w:t>
      </w:r>
      <w:r>
        <w:t xml:space="preserve">: equal-weight all stocks </w:t>
      </w:r>
      <w:r>
        <w:rPr>
          <w:i/>
          <w:iCs/>
        </w:rPr>
        <w:t>not</w:t>
      </w:r>
      <w:r>
        <w:t xml:space="preserve"> classified as High risk (i.e., Medium and Low)</w:t>
      </w:r>
    </w:p>
    <w:p w14:paraId="4C62AB1E" w14:textId="77777777" w:rsidR="00115D45" w:rsidRDefault="00000000">
      <w:pPr>
        <w:pStyle w:val="Compact"/>
        <w:numPr>
          <w:ilvl w:val="0"/>
          <w:numId w:val="12"/>
        </w:numPr>
      </w:pPr>
      <w:r>
        <w:rPr>
          <w:b/>
          <w:bCs/>
        </w:rPr>
        <w:t>Benchmark portfolio</w:t>
      </w:r>
      <w:r>
        <w:t>: equal-weight all 50 stocks</w:t>
      </w:r>
    </w:p>
    <w:p w14:paraId="4C62AB1F" w14:textId="77777777" w:rsidR="00115D45" w:rsidRDefault="00000000">
      <w:pPr>
        <w:pStyle w:val="FirstParagraph"/>
      </w:pPr>
      <w:r>
        <w:t>The evaluation window is the last 40% of the price history — approximately 2022 onwards — to ensure the model is evaluated out-of-sample on data it has never been trained on. Over this window, the strategy holds approximately 40 stocks per week (100% − 20% High risk exclusion).</w:t>
      </w:r>
    </w:p>
    <w:p w14:paraId="4C62AB20" w14:textId="77777777" w:rsidR="00115D45" w:rsidRDefault="00000000">
      <w:pPr>
        <w:pStyle w:val="BodyText"/>
      </w:pPr>
      <w:r>
        <w:t xml:space="preserve">The equal-weighting assumption is deliberately conservative. A more aggressive implementation would further tilt toward Low-risk stocks or size positions by inverse crash probability. The equal-weight constraint ensures that any performance difference is attributable purely to the </w:t>
      </w:r>
      <w:r>
        <w:rPr>
          <w:i/>
          <w:iCs/>
        </w:rPr>
        <w:t>selection</w:t>
      </w:r>
      <w:r>
        <w:t xml:space="preserve"> decision rather than position sizing.</w:t>
      </w:r>
    </w:p>
    <w:p w14:paraId="4C62AB21" w14:textId="77777777" w:rsidR="00115D45" w:rsidRDefault="00000000">
      <w:pPr>
        <w:pStyle w:val="Heading3"/>
      </w:pPr>
      <w:bookmarkStart w:id="32" w:name="performance-metrics"/>
      <w:bookmarkEnd w:id="31"/>
      <w:r>
        <w:t>4.2 Performance Metrics</w:t>
      </w:r>
    </w:p>
    <w:p w14:paraId="4C62AB22" w14:textId="77777777" w:rsidR="00115D45" w:rsidRDefault="00000000">
      <w:pPr>
        <w:pStyle w:val="FirstParagraph"/>
      </w:pPr>
      <w:r>
        <w:rPr>
          <w:b/>
          <w:bCs/>
        </w:rPr>
        <w:t>Annualised Return</w:t>
      </w:r>
      <w:r>
        <w:t xml:space="preserve"> uses the geometric mean:</w:t>
      </w:r>
    </w:p>
    <w:p w14:paraId="4C62AB23" w14:textId="77777777" w:rsidR="00115D45" w:rsidRDefault="00000000">
      <w:pPr>
        <w:pStyle w:val="BodyText"/>
      </w:pPr>
      <m:oMathPara>
        <m:oMathParaPr>
          <m:jc m:val="center"/>
        </m:oMathParaPr>
        <m:oMath>
          <m:sSup>
            <m:sSupPr>
              <m:ctrlPr>
                <w:rPr>
                  <w:rFonts w:ascii="Cambria Math" w:hAnsi="Cambria Math"/>
                </w:rPr>
              </m:ctrlPr>
            </m:sSupPr>
            <m:e>
              <m:r>
                <w:rPr>
                  <w:rFonts w:ascii="Cambria Math" w:hAnsi="Cambria Math"/>
                </w:rPr>
                <m:t>R</m:t>
              </m:r>
            </m:e>
            <m:sup>
              <m:r>
                <m:rPr>
                  <m:nor/>
                </m:rPr>
                <m:t>annual</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d>
            </m:e>
            <m:sup>
              <m:r>
                <w:rPr>
                  <w:rFonts w:ascii="Cambria Math" w:hAnsi="Cambria Math"/>
                </w:rPr>
                <m:t>52</m:t>
              </m:r>
              <m:r>
                <m:rPr>
                  <m:sty m:val="p"/>
                </m:rPr>
                <w:rPr>
                  <w:rFonts w:ascii="Cambria Math" w:hAnsi="Cambria Math"/>
                </w:rPr>
                <m:t>/</m:t>
              </m:r>
              <m:r>
                <w:rPr>
                  <w:rFonts w:ascii="Cambria Math" w:hAnsi="Cambria Math"/>
                </w:rPr>
                <m:t>T</m:t>
              </m:r>
            </m:sup>
          </m:sSup>
          <m:r>
            <m:rPr>
              <m:sty m:val="p"/>
            </m:rPr>
            <w:rPr>
              <w:rFonts w:ascii="Cambria Math" w:hAnsi="Cambria Math"/>
            </w:rPr>
            <m:t>-</m:t>
          </m:r>
          <m:r>
            <w:rPr>
              <w:rFonts w:ascii="Cambria Math" w:hAnsi="Cambria Math"/>
            </w:rPr>
            <m:t>1</m:t>
          </m:r>
        </m:oMath>
      </m:oMathPara>
    </w:p>
    <w:p w14:paraId="4C62AB24" w14:textId="77777777" w:rsidR="00115D45" w:rsidRDefault="00000000">
      <w:pPr>
        <w:pStyle w:val="FirstParagraph"/>
      </w:pPr>
      <w:r>
        <w:t xml:space="preserve">where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is the weekly portfolio return and </w:t>
      </w:r>
      <m:oMath>
        <m:r>
          <w:rPr>
            <w:rFonts w:ascii="Cambria Math" w:hAnsi="Cambria Math"/>
          </w:rPr>
          <m:t>T</m:t>
        </m:r>
      </m:oMath>
      <w:r>
        <w:t xml:space="preserve"> is the number of evaluation weeks. The </w:t>
      </w:r>
      <m:oMath>
        <m:sSup>
          <m:sSupPr>
            <m:ctrlPr>
              <w:rPr>
                <w:rFonts w:ascii="Cambria Math" w:hAnsi="Cambria Math"/>
              </w:rPr>
            </m:ctrlPr>
          </m:sSupPr>
          <m:e>
            <m:r>
              <w:rPr>
                <w:rFonts w:ascii="Cambria Math" w:hAnsi="Cambria Math"/>
              </w:rPr>
              <m:t>​</m:t>
            </m:r>
          </m:e>
          <m:sup>
            <m:r>
              <w:rPr>
                <w:rFonts w:ascii="Cambria Math" w:hAnsi="Cambria Math"/>
              </w:rPr>
              <m:t>52</m:t>
            </m:r>
            <m:r>
              <m:rPr>
                <m:sty m:val="p"/>
              </m:rPr>
              <w:rPr>
                <w:rFonts w:ascii="Cambria Math" w:hAnsi="Cambria Math"/>
              </w:rPr>
              <m:t>/</m:t>
            </m:r>
            <m:r>
              <w:rPr>
                <w:rFonts w:ascii="Cambria Math" w:hAnsi="Cambria Math"/>
              </w:rPr>
              <m:t>T</m:t>
            </m:r>
          </m:sup>
        </m:sSup>
      </m:oMath>
      <w:r>
        <w:t xml:space="preserve"> exponent converts from the evaluation window to an annual horizon.</w:t>
      </w:r>
    </w:p>
    <w:p w14:paraId="4C62AB25" w14:textId="77777777" w:rsidR="00115D45" w:rsidRDefault="00000000">
      <w:pPr>
        <w:pStyle w:val="BodyText"/>
      </w:pPr>
      <w:r>
        <w:rPr>
          <w:b/>
          <w:bCs/>
        </w:rPr>
        <w:t>Sharpe Ratio</w:t>
      </w:r>
      <w:r>
        <w:t xml:space="preserve"> (annualised, risk-free rate 4% p.a. = </w:t>
      </w:r>
      <m:oMath>
        <m:sSubSup>
          <m:sSubSupPr>
            <m:ctrlPr>
              <w:rPr>
                <w:rFonts w:ascii="Cambria Math" w:hAnsi="Cambria Math"/>
              </w:rPr>
            </m:ctrlPr>
          </m:sSubSupPr>
          <m:e>
            <m:r>
              <w:rPr>
                <w:rFonts w:ascii="Cambria Math" w:hAnsi="Cambria Math"/>
              </w:rPr>
              <m:t>r</m:t>
            </m:r>
          </m:e>
          <m:sub>
            <m:r>
              <w:rPr>
                <w:rFonts w:ascii="Cambria Math" w:hAnsi="Cambria Math"/>
              </w:rPr>
              <m:t>f</m:t>
            </m:r>
          </m:sub>
          <m:sup>
            <m:r>
              <m:rPr>
                <m:nor/>
              </m:rPr>
              <m:t>weekly</m:t>
            </m:r>
          </m:sup>
        </m:sSubSup>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52</m:t>
        </m:r>
      </m:oMath>
      <w:r>
        <w:t>):</w:t>
      </w:r>
    </w:p>
    <w:p w14:paraId="4C62AB26" w14:textId="77777777" w:rsidR="00115D45" w:rsidRDefault="00000000">
      <w:pPr>
        <w:pStyle w:val="BodyText"/>
      </w:pPr>
      <m:oMathPara>
        <m:oMathParaPr>
          <m:jc m:val="center"/>
        </m:oMathParaPr>
        <m:oMath>
          <m:r>
            <m:rPr>
              <m:nor/>
            </m:rPr>
            <m:t>Sharpe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nor/>
                    </m:rPr>
                    <m:t>excess</m:t>
                  </m:r>
                </m:sub>
              </m:sSub>
            </m:num>
            <m:den>
              <m:sSub>
                <m:sSubPr>
                  <m:ctrlPr>
                    <w:rPr>
                      <w:rFonts w:ascii="Cambria Math" w:hAnsi="Cambria Math"/>
                    </w:rPr>
                  </m:ctrlPr>
                </m:sSubPr>
                <m:e>
                  <m:r>
                    <w:rPr>
                      <w:rFonts w:ascii="Cambria Math" w:hAnsi="Cambria Math"/>
                    </w:rPr>
                    <m:t>σ</m:t>
                  </m:r>
                </m:e>
                <m:sub>
                  <m:r>
                    <m:rPr>
                      <m:nor/>
                    </m:rPr>
                    <m:t>excess</m:t>
                  </m:r>
                </m:sub>
              </m:sSub>
            </m:den>
          </m:f>
          <m:r>
            <m:rPr>
              <m:sty m:val="p"/>
            </m:rPr>
            <w:rPr>
              <w:rFonts w:ascii="Cambria Math" w:hAnsi="Cambria Math"/>
            </w:rPr>
            <m:t>×</m:t>
          </m:r>
          <m:rad>
            <m:radPr>
              <m:degHide m:val="1"/>
              <m:ctrlPr>
                <w:rPr>
                  <w:rFonts w:ascii="Cambria Math" w:hAnsi="Cambria Math"/>
                </w:rPr>
              </m:ctrlPr>
            </m:radPr>
            <m:deg/>
            <m:e>
              <m:r>
                <w:rPr>
                  <w:rFonts w:ascii="Cambria Math" w:hAnsi="Cambria Math"/>
                </w:rPr>
                <m:t>52</m:t>
              </m:r>
            </m:e>
          </m:rad>
        </m:oMath>
      </m:oMathPara>
    </w:p>
    <w:p w14:paraId="4C62AB27" w14:textId="77777777" w:rsidR="00115D45"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r</m:t>
            </m:r>
          </m:e>
          <m:sub>
            <m:r>
              <m:rPr>
                <m:nor/>
              </m:rPr>
              <m:t>excess</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f</m:t>
            </m:r>
          </m:sub>
          <m:sup>
            <m:r>
              <m:rPr>
                <m:nor/>
              </m:rPr>
              <m:t>weekly</m:t>
            </m:r>
          </m:sup>
        </m:sSubSup>
      </m:oMath>
      <w:r>
        <w:t xml:space="preserve"> and </w:t>
      </w:r>
      <m:oMath>
        <m:sSub>
          <m:sSubPr>
            <m:ctrlPr>
              <w:rPr>
                <w:rFonts w:ascii="Cambria Math" w:hAnsi="Cambria Math"/>
              </w:rPr>
            </m:ctrlPr>
          </m:sSubPr>
          <m:e>
            <m:r>
              <w:rPr>
                <w:rFonts w:ascii="Cambria Math" w:hAnsi="Cambria Math"/>
              </w:rPr>
              <m:t>σ</m:t>
            </m:r>
          </m:e>
          <m:sub>
            <m:r>
              <m:rPr>
                <m:nor/>
              </m:rPr>
              <m:t>excess</m:t>
            </m:r>
          </m:sub>
        </m:sSub>
      </m:oMath>
      <w:r>
        <w:t xml:space="preserve"> is the sample standard deviation (</w:t>
      </w:r>
      <m:oMath>
        <m:r>
          <m:rPr>
            <m:nor/>
          </m:rPr>
          <m:t>ddof</m:t>
        </m:r>
        <m:r>
          <m:rPr>
            <m:sty m:val="p"/>
          </m:rPr>
          <w:rPr>
            <w:rFonts w:ascii="Cambria Math" w:hAnsi="Cambria Math"/>
          </w:rPr>
          <m:t>=</m:t>
        </m:r>
        <m:r>
          <w:rPr>
            <w:rFonts w:ascii="Cambria Math" w:hAnsi="Cambria Math"/>
          </w:rPr>
          <m:t>1</m:t>
        </m:r>
      </m:oMath>
      <w:r>
        <w:t>) of excess weekly returns.</w:t>
      </w:r>
    </w:p>
    <w:p w14:paraId="4C62AB28" w14:textId="77777777" w:rsidR="00115D45" w:rsidRDefault="00000000">
      <w:pPr>
        <w:pStyle w:val="BodyText"/>
      </w:pPr>
      <w:r>
        <w:rPr>
          <w:b/>
          <w:bCs/>
        </w:rPr>
        <w:t>Sortino Ratio</w:t>
      </w:r>
      <w:r>
        <w:t xml:space="preserve"> uses only downside volatility:</w:t>
      </w:r>
    </w:p>
    <w:p w14:paraId="4C62AB29" w14:textId="77777777" w:rsidR="00115D45" w:rsidRDefault="00000000">
      <w:pPr>
        <w:pStyle w:val="BodyText"/>
      </w:pPr>
      <m:oMathPara>
        <m:oMathParaPr>
          <m:jc m:val="center"/>
        </m:oMathParaPr>
        <m:oMath>
          <m:r>
            <m:rPr>
              <m:nor/>
            </m:rPr>
            <m:t>Sortino</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nor/>
                    </m:rPr>
                    <m:t>excess</m:t>
                  </m:r>
                </m:sub>
              </m:sSub>
            </m:num>
            <m:den>
              <m:sSubSup>
                <m:sSubSupPr>
                  <m:ctrlPr>
                    <w:rPr>
                      <w:rFonts w:ascii="Cambria Math" w:hAnsi="Cambria Math"/>
                    </w:rPr>
                  </m:ctrlPr>
                </m:sSubSupPr>
                <m:e>
                  <m:r>
                    <w:rPr>
                      <w:rFonts w:ascii="Cambria Math" w:hAnsi="Cambria Math"/>
                    </w:rPr>
                    <m:t>σ</m:t>
                  </m:r>
                </m:e>
                <m:sub>
                  <m:r>
                    <m:rPr>
                      <m:nor/>
                    </m:rPr>
                    <m:t>excess</m:t>
                  </m:r>
                </m:sub>
                <m:sup>
                  <m:r>
                    <m:rPr>
                      <m:sty m:val="p"/>
                    </m:rPr>
                    <w:rPr>
                      <w:rFonts w:ascii="Cambria Math" w:hAnsi="Cambria Math"/>
                    </w:rPr>
                    <m:t>-</m:t>
                  </m:r>
                </m:sup>
              </m:sSubSup>
            </m:den>
          </m:f>
          <m:r>
            <m:rPr>
              <m:sty m:val="p"/>
            </m:rPr>
            <w:rPr>
              <w:rFonts w:ascii="Cambria Math" w:hAnsi="Cambria Math"/>
            </w:rPr>
            <m:t>×</m:t>
          </m:r>
          <m:rad>
            <m:radPr>
              <m:degHide m:val="1"/>
              <m:ctrlPr>
                <w:rPr>
                  <w:rFonts w:ascii="Cambria Math" w:hAnsi="Cambria Math"/>
                </w:rPr>
              </m:ctrlPr>
            </m:radPr>
            <m:deg/>
            <m:e>
              <m:r>
                <w:rPr>
                  <w:rFonts w:ascii="Cambria Math" w:hAnsi="Cambria Math"/>
                </w:rPr>
                <m:t>52</m:t>
              </m:r>
            </m:e>
          </m:rad>
        </m:oMath>
      </m:oMathPara>
    </w:p>
    <w:p w14:paraId="4C62AB2A" w14:textId="77777777" w:rsidR="00115D45" w:rsidRDefault="00000000">
      <w:pPr>
        <w:pStyle w:val="FirstParagraph"/>
      </w:pPr>
      <w:r>
        <w:t xml:space="preserve">where </w:t>
      </w:r>
      <m:oMath>
        <m:sSubSup>
          <m:sSubSupPr>
            <m:ctrlPr>
              <w:rPr>
                <w:rFonts w:ascii="Cambria Math" w:hAnsi="Cambria Math"/>
              </w:rPr>
            </m:ctrlPr>
          </m:sSubSupPr>
          <m:e>
            <m:r>
              <w:rPr>
                <w:rFonts w:ascii="Cambria Math" w:hAnsi="Cambria Math"/>
              </w:rPr>
              <m:t>σ</m:t>
            </m:r>
          </m:e>
          <m:sub>
            <m:r>
              <m:rPr>
                <m:nor/>
              </m:rPr>
              <m:t>excess</m:t>
            </m:r>
          </m:sub>
          <m:sup>
            <m:r>
              <m:rPr>
                <m:sty m:val="p"/>
              </m:rPr>
              <w:rPr>
                <w:rFonts w:ascii="Cambria Math" w:hAnsi="Cambria Math"/>
              </w:rPr>
              <m:t>-</m:t>
            </m:r>
          </m:sup>
        </m:sSubSup>
      </m:oMath>
      <w:r>
        <w:t xml:space="preserve"> is the standard deviation of the </w:t>
      </w:r>
      <w:r>
        <w:rPr>
          <w:i/>
          <w:iCs/>
        </w:rPr>
        <w:t>negative</w:t>
      </w:r>
      <w:r>
        <w:t xml:space="preserve"> excess returns only. The Sortino ratio is higher than Sharpe whenever the return distribution has positive skewness (more upside than downside volatility).</w:t>
      </w:r>
    </w:p>
    <w:p w14:paraId="4C62AB2B" w14:textId="77777777" w:rsidR="00115D45" w:rsidRDefault="00000000">
      <w:pPr>
        <w:pStyle w:val="BodyText"/>
      </w:pPr>
      <w:r>
        <w:rPr>
          <w:b/>
          <w:bCs/>
        </w:rPr>
        <w:t>Maximum Drawdown (MDD)</w:t>
      </w:r>
      <w:r>
        <w:t xml:space="preserve"> measures the worst peak-to-trough loss:</w:t>
      </w:r>
    </w:p>
    <w:p w14:paraId="4C62AB2C" w14:textId="77777777" w:rsidR="00115D45" w:rsidRDefault="00000000">
      <w:pPr>
        <w:pStyle w:val="BodyText"/>
      </w:pPr>
      <m:oMathPara>
        <m:oMathParaPr>
          <m:jc m:val="center"/>
        </m:oMathParaPr>
        <m:oMath>
          <m:r>
            <m:rPr>
              <m:nor/>
            </m:rPr>
            <m:t>MDD</m:t>
          </m:r>
          <m:r>
            <m:rPr>
              <m:sty m:val="p"/>
            </m:rPr>
            <w:rPr>
              <w:rFonts w:ascii="Cambria Math" w:hAnsi="Cambria Math"/>
            </w:rPr>
            <m:t>=</m:t>
          </m:r>
          <m:limLow>
            <m:limLowPr>
              <m:ctrlPr>
                <w:rPr>
                  <w:rFonts w:ascii="Cambria Math" w:hAnsi="Cambria Math"/>
                </w:rPr>
              </m:ctrlPr>
            </m:limLowPr>
            <m:e>
              <m:r>
                <m:rPr>
                  <m:nor/>
                </m:rPr>
                <m:t>min</m:t>
              </m:r>
            </m:e>
            <m:lim>
              <m:r>
                <w:rPr>
                  <w:rFonts w:ascii="Cambria Math" w:hAnsi="Cambria Math"/>
                </w:rPr>
                <m:t>t</m:t>
              </m:r>
            </m:lim>
          </m:limLow>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limLow>
                    <m:limLowPr>
                      <m:ctrlPr>
                        <w:rPr>
                          <w:rFonts w:ascii="Cambria Math" w:hAnsi="Cambria Math"/>
                        </w:rPr>
                      </m:ctrlPr>
                    </m:limLowPr>
                    <m:e>
                      <m:r>
                        <m:rPr>
                          <m:nor/>
                        </m:rPr>
                        <m:t>max</m:t>
                      </m:r>
                    </m:e>
                    <m:lim>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V</m:t>
                      </m:r>
                    </m:e>
                    <m:sub>
                      <m:r>
                        <w:rPr>
                          <w:rFonts w:ascii="Cambria Math" w:hAnsi="Cambria Math"/>
                        </w:rPr>
                        <m:t>s</m:t>
                      </m:r>
                    </m:sub>
                  </m:sSub>
                </m:num>
                <m:den>
                  <m:limLow>
                    <m:limLowPr>
                      <m:ctrlPr>
                        <w:rPr>
                          <w:rFonts w:ascii="Cambria Math" w:hAnsi="Cambria Math"/>
                        </w:rPr>
                      </m:ctrlPr>
                    </m:limLowPr>
                    <m:e>
                      <m:r>
                        <m:rPr>
                          <m:nor/>
                        </m:rPr>
                        <m:t>max</m:t>
                      </m:r>
                    </m:e>
                    <m:lim>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V</m:t>
                      </m:r>
                    </m:e>
                    <m:sub>
                      <m:r>
                        <w:rPr>
                          <w:rFonts w:ascii="Cambria Math" w:hAnsi="Cambria Math"/>
                        </w:rPr>
                        <m:t>s</m:t>
                      </m:r>
                    </m:sub>
                  </m:sSub>
                </m:den>
              </m:f>
            </m:e>
          </m:d>
        </m:oMath>
      </m:oMathPara>
    </w:p>
    <w:p w14:paraId="4C62AB2D" w14:textId="77777777" w:rsidR="00115D45" w:rsidRDefault="00000000">
      <w:pPr>
        <w:pStyle w:val="FirstParagraph"/>
      </w:pPr>
      <w:r>
        <w:t xml:space="preserve">where </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oMath>
      <w:r>
        <w:t xml:space="preserve"> is the cumulative value of a $1 invested at the start.</w:t>
      </w:r>
    </w:p>
    <w:p w14:paraId="4C62AB2E" w14:textId="77777777" w:rsidR="00115D45" w:rsidRDefault="00000000">
      <w:pPr>
        <w:pStyle w:val="BodyText"/>
      </w:pPr>
      <w:r>
        <w:rPr>
          <w:b/>
          <w:bCs/>
        </w:rPr>
        <w:t>Historical VaR (95%)</w:t>
      </w:r>
      <w:r>
        <w:t xml:space="preserve"> is the loss not exceeded in 95% of weeks:</w:t>
      </w:r>
    </w:p>
    <w:p w14:paraId="4C62AB2F" w14:textId="77777777" w:rsidR="00115D45" w:rsidRDefault="00000000">
      <w:pPr>
        <w:pStyle w:val="BodyText"/>
      </w:pPr>
      <m:oMathPara>
        <m:oMathParaPr>
          <m:jc m:val="center"/>
        </m:oMathParaPr>
        <m:oMath>
          <m:sSub>
            <m:sSubPr>
              <m:ctrlPr>
                <w:rPr>
                  <w:rFonts w:ascii="Cambria Math" w:hAnsi="Cambria Math"/>
                </w:rPr>
              </m:ctrlPr>
            </m:sSubPr>
            <m:e>
              <m:r>
                <m:rPr>
                  <m:nor/>
                </m:rPr>
                <m:t>VaR</m:t>
              </m:r>
            </m:e>
            <m:sub>
              <m:r>
                <w:rPr>
                  <w:rFonts w:ascii="Cambria Math" w:hAnsi="Cambria Math"/>
                </w:rPr>
                <m:t>95</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t>
              </m:r>
              <m:r>
                <w:rPr>
                  <w:rFonts w:ascii="Cambria Math" w:hAnsi="Cambria Math"/>
                </w:rPr>
                <m:t>k</m:t>
              </m:r>
              <m:r>
                <m:rPr>
                  <m:sty m:val="p"/>
                </m:rPr>
                <w:rPr>
                  <w:rFonts w:ascii="Cambria Math" w:hAnsi="Cambria Math"/>
                </w:rPr>
                <m:t>)</m:t>
              </m:r>
            </m:sub>
          </m:sSub>
        </m:oMath>
      </m:oMathPara>
    </w:p>
    <w:p w14:paraId="4C62AB30" w14:textId="77777777" w:rsidR="00115D45" w:rsidRDefault="00000000">
      <w:pPr>
        <w:pStyle w:val="FirstParagraph"/>
      </w:pPr>
      <w:r>
        <w:t xml:space="preserve">where </w:t>
      </w:r>
      <m:oMath>
        <m:sSub>
          <m:sSubPr>
            <m:ctrlPr>
              <w:rPr>
                <w:rFonts w:ascii="Cambria Math" w:hAnsi="Cambria Math"/>
              </w:rPr>
            </m:ctrlPr>
          </m:sSubPr>
          <m:e>
            <m:r>
              <w:rPr>
                <w:rFonts w:ascii="Cambria Math" w:hAnsi="Cambria Math"/>
              </w:rPr>
              <m:t>r</m:t>
            </m:r>
          </m:e>
          <m:sub>
            <m:r>
              <m:rPr>
                <m:sty m:val="p"/>
              </m:rPr>
              <w:rPr>
                <w:rFonts w:ascii="Cambria Math" w:hAnsi="Cambria Math"/>
              </w:rPr>
              <m:t>(</m:t>
            </m:r>
            <m:r>
              <w:rPr>
                <w:rFonts w:ascii="Cambria Math" w:hAnsi="Cambria Math"/>
              </w:rPr>
              <m:t>k</m:t>
            </m:r>
            <m:r>
              <m:rPr>
                <m:sty m:val="p"/>
              </m:rPr>
              <w:rPr>
                <w:rFonts w:ascii="Cambria Math" w:hAnsi="Cambria Math"/>
              </w:rPr>
              <m:t>)</m:t>
            </m:r>
          </m:sub>
        </m:sSub>
      </m:oMath>
      <w:r>
        <w:t xml:space="preserve"> is the </w:t>
      </w:r>
      <m:oMath>
        <m:r>
          <w:rPr>
            <w:rFonts w:ascii="Cambria Math" w:hAnsi="Cambria Math"/>
          </w:rPr>
          <m:t>k</m:t>
        </m:r>
      </m:oMath>
      <w:r>
        <w:t xml:space="preserve">-th smallest return and </w:t>
      </w:r>
      <m:oMath>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0.05</m:t>
        </m:r>
        <m:r>
          <m:rPr>
            <m:sty m:val="p"/>
          </m:rPr>
          <w:rPr>
            <w:rFonts w:ascii="Cambria Math" w:hAnsi="Cambria Math"/>
          </w:rPr>
          <m:t>⌋</m:t>
        </m:r>
      </m:oMath>
      <w:r>
        <w:t>.</w:t>
      </w:r>
    </w:p>
    <w:p w14:paraId="4C62AB31" w14:textId="77777777" w:rsidR="00115D45" w:rsidRDefault="00000000">
      <w:pPr>
        <w:pStyle w:val="BodyText"/>
      </w:pPr>
      <w:r>
        <w:rPr>
          <w:b/>
          <w:bCs/>
        </w:rPr>
        <w:t>Historical CVaR (95%)</w:t>
      </w:r>
      <w:r>
        <w:t xml:space="preserve"> is the expected loss in the worst 5% of weeks:</w:t>
      </w:r>
    </w:p>
    <w:p w14:paraId="4C62AB32" w14:textId="77777777" w:rsidR="00115D45" w:rsidRDefault="00000000">
      <w:pPr>
        <w:pStyle w:val="BodyText"/>
      </w:pPr>
      <m:oMathPara>
        <m:oMathParaPr>
          <m:jc m:val="center"/>
        </m:oMathParaPr>
        <m:oMath>
          <m:sSub>
            <m:sSubPr>
              <m:ctrlPr>
                <w:rPr>
                  <w:rFonts w:ascii="Cambria Math" w:hAnsi="Cambria Math"/>
                </w:rPr>
              </m:ctrlPr>
            </m:sSubPr>
            <m:e>
              <m:r>
                <m:rPr>
                  <m:nor/>
                </m:rPr>
                <m:t>CVaR</m:t>
              </m:r>
            </m:e>
            <m:sub>
              <m:r>
                <w:rPr>
                  <w:rFonts w:ascii="Cambria Math" w:hAnsi="Cambria Math"/>
                </w:rPr>
                <m:t>95</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r</m:t>
                  </m:r>
                </m:e>
                <m:sub>
                  <m:r>
                    <m:rPr>
                      <m:sty m:val="p"/>
                    </m:rPr>
                    <w:rPr>
                      <w:rFonts w:ascii="Cambria Math" w:hAnsi="Cambria Math"/>
                    </w:rPr>
                    <m:t>(</m:t>
                  </m:r>
                  <m:r>
                    <w:rPr>
                      <w:rFonts w:ascii="Cambria Math" w:hAnsi="Cambria Math"/>
                    </w:rPr>
                    <m:t>j</m:t>
                  </m:r>
                  <m:r>
                    <m:rPr>
                      <m:sty m:val="p"/>
                    </m:rPr>
                    <w:rPr>
                      <w:rFonts w:ascii="Cambria Math" w:hAnsi="Cambria Math"/>
                    </w:rPr>
                    <m:t>)</m:t>
                  </m:r>
                </m:sub>
              </m:sSub>
            </m:e>
          </m:nary>
        </m:oMath>
      </m:oMathPara>
    </w:p>
    <w:p w14:paraId="4C62AB33" w14:textId="77777777" w:rsidR="00115D45" w:rsidRDefault="00000000">
      <w:pPr>
        <w:pStyle w:val="Heading3"/>
      </w:pPr>
      <w:bookmarkStart w:id="33" w:name="results"/>
      <w:bookmarkEnd w:id="32"/>
      <w:r>
        <w:t>4.3 Results</w:t>
      </w:r>
    </w:p>
    <w:p w14:paraId="4C62AB34" w14:textId="77777777" w:rsidR="00115D45" w:rsidRDefault="00000000">
      <w:pPr>
        <w:pStyle w:val="FirstParagraph"/>
      </w:pPr>
      <w:r>
        <w:t xml:space="preserve">The table below reproduces all metrics from </w:t>
      </w:r>
      <w:r>
        <w:rPr>
          <w:rStyle w:val="VerbatimChar"/>
        </w:rPr>
        <w:t>outputs/business_analysis.csv</w:t>
      </w:r>
      <w:r>
        <w:t>, evaluated over 41 weekly observations in the out-of-sample evaluation window:</w:t>
      </w:r>
    </w:p>
    <w:tbl>
      <w:tblPr>
        <w:tblStyle w:val="Table"/>
        <w:tblW w:w="0" w:type="pct"/>
        <w:tblLook w:val="0020" w:firstRow="1" w:lastRow="0" w:firstColumn="0" w:lastColumn="0" w:noHBand="0" w:noVBand="0"/>
      </w:tblPr>
      <w:tblGrid>
        <w:gridCol w:w="2298"/>
        <w:gridCol w:w="2552"/>
        <w:gridCol w:w="2577"/>
        <w:gridCol w:w="1624"/>
      </w:tblGrid>
      <w:tr w:rsidR="00115D45" w14:paraId="4C62AB3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B35" w14:textId="77777777" w:rsidR="00115D45" w:rsidRDefault="00000000">
            <w:pPr>
              <w:pStyle w:val="Compact"/>
            </w:pPr>
            <w:r>
              <w:t>Metric</w:t>
            </w:r>
          </w:p>
        </w:tc>
        <w:tc>
          <w:tcPr>
            <w:tcW w:w="0" w:type="auto"/>
          </w:tcPr>
          <w:p w14:paraId="4C62AB36" w14:textId="77777777" w:rsidR="00115D45" w:rsidRDefault="00000000">
            <w:pPr>
              <w:pStyle w:val="Compact"/>
            </w:pPr>
            <w:r>
              <w:t>Strategy (no High risk)</w:t>
            </w:r>
          </w:p>
        </w:tc>
        <w:tc>
          <w:tcPr>
            <w:tcW w:w="0" w:type="auto"/>
          </w:tcPr>
          <w:p w14:paraId="4C62AB37" w14:textId="77777777" w:rsidR="00115D45" w:rsidRDefault="00000000">
            <w:pPr>
              <w:pStyle w:val="Compact"/>
            </w:pPr>
            <w:r>
              <w:t>Benchmark (all stocks)</w:t>
            </w:r>
          </w:p>
        </w:tc>
        <w:tc>
          <w:tcPr>
            <w:tcW w:w="0" w:type="auto"/>
          </w:tcPr>
          <w:p w14:paraId="4C62AB38" w14:textId="77777777" w:rsidR="00115D45" w:rsidRDefault="00000000">
            <w:pPr>
              <w:pStyle w:val="Compact"/>
            </w:pPr>
            <w:r>
              <w:t>Improvement</w:t>
            </w:r>
          </w:p>
        </w:tc>
      </w:tr>
      <w:tr w:rsidR="00115D45" w14:paraId="4C62AB3E" w14:textId="77777777">
        <w:tc>
          <w:tcPr>
            <w:tcW w:w="0" w:type="auto"/>
          </w:tcPr>
          <w:p w14:paraId="4C62AB3A" w14:textId="77777777" w:rsidR="00115D45" w:rsidRDefault="00000000">
            <w:pPr>
              <w:pStyle w:val="Compact"/>
            </w:pPr>
            <w:r>
              <w:t>Annual return</w:t>
            </w:r>
          </w:p>
        </w:tc>
        <w:tc>
          <w:tcPr>
            <w:tcW w:w="0" w:type="auto"/>
          </w:tcPr>
          <w:p w14:paraId="4C62AB3B" w14:textId="77777777" w:rsidR="00115D45" w:rsidRDefault="00000000">
            <w:pPr>
              <w:pStyle w:val="Compact"/>
            </w:pPr>
            <w:r>
              <w:rPr>
                <w:b/>
                <w:bCs/>
              </w:rPr>
              <w:t>17.56%</w:t>
            </w:r>
          </w:p>
        </w:tc>
        <w:tc>
          <w:tcPr>
            <w:tcW w:w="0" w:type="auto"/>
          </w:tcPr>
          <w:p w14:paraId="4C62AB3C" w14:textId="77777777" w:rsidR="00115D45" w:rsidRDefault="00000000">
            <w:pPr>
              <w:pStyle w:val="Compact"/>
            </w:pPr>
            <w:r>
              <w:t>13.30%</w:t>
            </w:r>
          </w:p>
        </w:tc>
        <w:tc>
          <w:tcPr>
            <w:tcW w:w="0" w:type="auto"/>
          </w:tcPr>
          <w:p w14:paraId="4C62AB3D" w14:textId="77777777" w:rsidR="00115D45" w:rsidRDefault="00000000">
            <w:pPr>
              <w:pStyle w:val="Compact"/>
            </w:pPr>
            <w:r>
              <w:t>+4.26 pp</w:t>
            </w:r>
          </w:p>
        </w:tc>
      </w:tr>
      <w:tr w:rsidR="00115D45" w14:paraId="4C62AB43" w14:textId="77777777">
        <w:tc>
          <w:tcPr>
            <w:tcW w:w="0" w:type="auto"/>
          </w:tcPr>
          <w:p w14:paraId="4C62AB3F" w14:textId="77777777" w:rsidR="00115D45" w:rsidRDefault="00000000">
            <w:pPr>
              <w:pStyle w:val="Compact"/>
            </w:pPr>
            <w:r>
              <w:t>Sharpe ratio</w:t>
            </w:r>
          </w:p>
        </w:tc>
        <w:tc>
          <w:tcPr>
            <w:tcW w:w="0" w:type="auto"/>
          </w:tcPr>
          <w:p w14:paraId="4C62AB40" w14:textId="77777777" w:rsidR="00115D45" w:rsidRDefault="00000000">
            <w:pPr>
              <w:pStyle w:val="Compact"/>
            </w:pPr>
            <w:r>
              <w:rPr>
                <w:b/>
                <w:bCs/>
              </w:rPr>
              <w:t>0.991</w:t>
            </w:r>
          </w:p>
        </w:tc>
        <w:tc>
          <w:tcPr>
            <w:tcW w:w="0" w:type="auto"/>
          </w:tcPr>
          <w:p w14:paraId="4C62AB41" w14:textId="77777777" w:rsidR="00115D45" w:rsidRDefault="00000000">
            <w:pPr>
              <w:pStyle w:val="Compact"/>
            </w:pPr>
            <w:r>
              <w:t>0.745</w:t>
            </w:r>
          </w:p>
        </w:tc>
        <w:tc>
          <w:tcPr>
            <w:tcW w:w="0" w:type="auto"/>
          </w:tcPr>
          <w:p w14:paraId="4C62AB42" w14:textId="77777777" w:rsidR="00115D45" w:rsidRDefault="00000000">
            <w:pPr>
              <w:pStyle w:val="Compact"/>
            </w:pPr>
            <w:r>
              <w:t>+0.246</w:t>
            </w:r>
          </w:p>
        </w:tc>
      </w:tr>
      <w:tr w:rsidR="00115D45" w14:paraId="4C62AB48" w14:textId="77777777">
        <w:tc>
          <w:tcPr>
            <w:tcW w:w="0" w:type="auto"/>
          </w:tcPr>
          <w:p w14:paraId="4C62AB44" w14:textId="77777777" w:rsidR="00115D45" w:rsidRDefault="00000000">
            <w:pPr>
              <w:pStyle w:val="Compact"/>
            </w:pPr>
            <w:r>
              <w:t>Sortino ratio</w:t>
            </w:r>
          </w:p>
        </w:tc>
        <w:tc>
          <w:tcPr>
            <w:tcW w:w="0" w:type="auto"/>
          </w:tcPr>
          <w:p w14:paraId="4C62AB45" w14:textId="77777777" w:rsidR="00115D45" w:rsidRDefault="00000000">
            <w:pPr>
              <w:pStyle w:val="Compact"/>
            </w:pPr>
            <w:r>
              <w:rPr>
                <w:b/>
                <w:bCs/>
              </w:rPr>
              <w:t>1.600</w:t>
            </w:r>
          </w:p>
        </w:tc>
        <w:tc>
          <w:tcPr>
            <w:tcW w:w="0" w:type="auto"/>
          </w:tcPr>
          <w:p w14:paraId="4C62AB46" w14:textId="77777777" w:rsidR="00115D45" w:rsidRDefault="00000000">
            <w:pPr>
              <w:pStyle w:val="Compact"/>
            </w:pPr>
            <w:r>
              <w:t>—</w:t>
            </w:r>
          </w:p>
        </w:tc>
        <w:tc>
          <w:tcPr>
            <w:tcW w:w="0" w:type="auto"/>
          </w:tcPr>
          <w:p w14:paraId="4C62AB47" w14:textId="77777777" w:rsidR="00115D45" w:rsidRDefault="00000000">
            <w:pPr>
              <w:pStyle w:val="Compact"/>
            </w:pPr>
            <w:r>
              <w:t>—</w:t>
            </w:r>
          </w:p>
        </w:tc>
      </w:tr>
      <w:tr w:rsidR="00115D45" w14:paraId="4C62AB4D" w14:textId="77777777">
        <w:tc>
          <w:tcPr>
            <w:tcW w:w="0" w:type="auto"/>
          </w:tcPr>
          <w:p w14:paraId="4C62AB49" w14:textId="77777777" w:rsidR="00115D45" w:rsidRDefault="00000000">
            <w:pPr>
              <w:pStyle w:val="Compact"/>
            </w:pPr>
            <w:r>
              <w:t>Max drawdown</w:t>
            </w:r>
          </w:p>
        </w:tc>
        <w:tc>
          <w:tcPr>
            <w:tcW w:w="0" w:type="auto"/>
          </w:tcPr>
          <w:p w14:paraId="4C62AB4A" w14:textId="77777777" w:rsidR="00115D45" w:rsidRDefault="00000000">
            <w:pPr>
              <w:pStyle w:val="Compact"/>
            </w:pPr>
            <w:r>
              <w:rPr>
                <w:b/>
                <w:bCs/>
              </w:rPr>
              <w:t>-4.63%</w:t>
            </w:r>
          </w:p>
        </w:tc>
        <w:tc>
          <w:tcPr>
            <w:tcW w:w="0" w:type="auto"/>
          </w:tcPr>
          <w:p w14:paraId="4C62AB4B" w14:textId="77777777" w:rsidR="00115D45" w:rsidRDefault="00000000">
            <w:pPr>
              <w:pStyle w:val="Compact"/>
            </w:pPr>
            <w:r>
              <w:t>-4.57%</w:t>
            </w:r>
          </w:p>
        </w:tc>
        <w:tc>
          <w:tcPr>
            <w:tcW w:w="0" w:type="auto"/>
          </w:tcPr>
          <w:p w14:paraId="4C62AB4C" w14:textId="77777777" w:rsidR="00115D45" w:rsidRDefault="00000000">
            <w:pPr>
              <w:pStyle w:val="Compact"/>
            </w:pPr>
            <w:r>
              <w:t>-0.06 pp</w:t>
            </w:r>
          </w:p>
        </w:tc>
      </w:tr>
      <w:tr w:rsidR="00115D45" w14:paraId="4C62AB52" w14:textId="77777777">
        <w:tc>
          <w:tcPr>
            <w:tcW w:w="0" w:type="auto"/>
          </w:tcPr>
          <w:p w14:paraId="4C62AB4E" w14:textId="77777777" w:rsidR="00115D45" w:rsidRDefault="00000000">
            <w:pPr>
              <w:pStyle w:val="Compact"/>
            </w:pPr>
            <w:r>
              <w:t>Weekly VaR (95%)</w:t>
            </w:r>
          </w:p>
        </w:tc>
        <w:tc>
          <w:tcPr>
            <w:tcW w:w="0" w:type="auto"/>
          </w:tcPr>
          <w:p w14:paraId="4C62AB4F" w14:textId="77777777" w:rsidR="00115D45" w:rsidRDefault="00000000">
            <w:pPr>
              <w:pStyle w:val="Compact"/>
            </w:pPr>
            <w:r>
              <w:t>3.64%</w:t>
            </w:r>
          </w:p>
        </w:tc>
        <w:tc>
          <w:tcPr>
            <w:tcW w:w="0" w:type="auto"/>
          </w:tcPr>
          <w:p w14:paraId="4C62AB50" w14:textId="77777777" w:rsidR="00115D45" w:rsidRDefault="00000000">
            <w:pPr>
              <w:pStyle w:val="Compact"/>
            </w:pPr>
            <w:r>
              <w:t>—</w:t>
            </w:r>
          </w:p>
        </w:tc>
        <w:tc>
          <w:tcPr>
            <w:tcW w:w="0" w:type="auto"/>
          </w:tcPr>
          <w:p w14:paraId="4C62AB51" w14:textId="77777777" w:rsidR="00115D45" w:rsidRDefault="00000000">
            <w:pPr>
              <w:pStyle w:val="Compact"/>
            </w:pPr>
            <w:r>
              <w:t>—</w:t>
            </w:r>
          </w:p>
        </w:tc>
      </w:tr>
      <w:tr w:rsidR="00115D45" w14:paraId="4C62AB57" w14:textId="77777777">
        <w:tc>
          <w:tcPr>
            <w:tcW w:w="0" w:type="auto"/>
          </w:tcPr>
          <w:p w14:paraId="4C62AB53" w14:textId="77777777" w:rsidR="00115D45" w:rsidRDefault="00000000">
            <w:pPr>
              <w:pStyle w:val="Compact"/>
            </w:pPr>
            <w:r>
              <w:t>Weekly CVaR (95%)</w:t>
            </w:r>
          </w:p>
        </w:tc>
        <w:tc>
          <w:tcPr>
            <w:tcW w:w="0" w:type="auto"/>
          </w:tcPr>
          <w:p w14:paraId="4C62AB54" w14:textId="77777777" w:rsidR="00115D45" w:rsidRDefault="00000000">
            <w:pPr>
              <w:pStyle w:val="Compact"/>
            </w:pPr>
            <w:r>
              <w:t>3.92%</w:t>
            </w:r>
          </w:p>
        </w:tc>
        <w:tc>
          <w:tcPr>
            <w:tcW w:w="0" w:type="auto"/>
          </w:tcPr>
          <w:p w14:paraId="4C62AB55" w14:textId="77777777" w:rsidR="00115D45" w:rsidRDefault="00000000">
            <w:pPr>
              <w:pStyle w:val="Compact"/>
            </w:pPr>
            <w:r>
              <w:t>—</w:t>
            </w:r>
          </w:p>
        </w:tc>
        <w:tc>
          <w:tcPr>
            <w:tcW w:w="0" w:type="auto"/>
          </w:tcPr>
          <w:p w14:paraId="4C62AB56" w14:textId="77777777" w:rsidR="00115D45" w:rsidRDefault="00000000">
            <w:pPr>
              <w:pStyle w:val="Compact"/>
            </w:pPr>
            <w:r>
              <w:t>—</w:t>
            </w:r>
          </w:p>
        </w:tc>
      </w:tr>
      <w:tr w:rsidR="00115D45" w14:paraId="4C62AB5C" w14:textId="77777777">
        <w:tc>
          <w:tcPr>
            <w:tcW w:w="0" w:type="auto"/>
          </w:tcPr>
          <w:p w14:paraId="4C62AB58" w14:textId="77777777" w:rsidR="00115D45" w:rsidRDefault="00000000">
            <w:pPr>
              <w:pStyle w:val="Compact"/>
            </w:pPr>
            <w:r>
              <w:t>Evaluation weeks</w:t>
            </w:r>
          </w:p>
        </w:tc>
        <w:tc>
          <w:tcPr>
            <w:tcW w:w="0" w:type="auto"/>
          </w:tcPr>
          <w:p w14:paraId="4C62AB59" w14:textId="77777777" w:rsidR="00115D45" w:rsidRDefault="00000000">
            <w:pPr>
              <w:pStyle w:val="Compact"/>
            </w:pPr>
            <w:r>
              <w:t>41</w:t>
            </w:r>
          </w:p>
        </w:tc>
        <w:tc>
          <w:tcPr>
            <w:tcW w:w="0" w:type="auto"/>
          </w:tcPr>
          <w:p w14:paraId="4C62AB5A" w14:textId="77777777" w:rsidR="00115D45" w:rsidRDefault="00000000">
            <w:pPr>
              <w:pStyle w:val="Compact"/>
            </w:pPr>
            <w:r>
              <w:t>41</w:t>
            </w:r>
          </w:p>
        </w:tc>
        <w:tc>
          <w:tcPr>
            <w:tcW w:w="0" w:type="auto"/>
          </w:tcPr>
          <w:p w14:paraId="4C62AB5B" w14:textId="77777777" w:rsidR="00115D45" w:rsidRDefault="00000000">
            <w:pPr>
              <w:pStyle w:val="Compact"/>
            </w:pPr>
            <w:r>
              <w:t>—</w:t>
            </w:r>
          </w:p>
        </w:tc>
      </w:tr>
      <w:tr w:rsidR="00115D45" w14:paraId="4C62AB61" w14:textId="77777777">
        <w:tc>
          <w:tcPr>
            <w:tcW w:w="0" w:type="auto"/>
          </w:tcPr>
          <w:p w14:paraId="4C62AB5D" w14:textId="77777777" w:rsidR="00115D45" w:rsidRDefault="00000000">
            <w:pPr>
              <w:pStyle w:val="Compact"/>
            </w:pPr>
            <w:r>
              <w:t>High-risk excluded</w:t>
            </w:r>
          </w:p>
        </w:tc>
        <w:tc>
          <w:tcPr>
            <w:tcW w:w="0" w:type="auto"/>
          </w:tcPr>
          <w:p w14:paraId="4C62AB5E" w14:textId="77777777" w:rsidR="00115D45" w:rsidRDefault="00000000">
            <w:pPr>
              <w:pStyle w:val="Compact"/>
            </w:pPr>
            <w:r>
              <w:t>20%</w:t>
            </w:r>
          </w:p>
        </w:tc>
        <w:tc>
          <w:tcPr>
            <w:tcW w:w="0" w:type="auto"/>
          </w:tcPr>
          <w:p w14:paraId="4C62AB5F" w14:textId="77777777" w:rsidR="00115D45" w:rsidRDefault="00000000">
            <w:pPr>
              <w:pStyle w:val="Compact"/>
            </w:pPr>
            <w:r>
              <w:t>0%</w:t>
            </w:r>
          </w:p>
        </w:tc>
        <w:tc>
          <w:tcPr>
            <w:tcW w:w="0" w:type="auto"/>
          </w:tcPr>
          <w:p w14:paraId="4C62AB60" w14:textId="77777777" w:rsidR="00115D45" w:rsidRDefault="00000000">
            <w:pPr>
              <w:pStyle w:val="Compact"/>
            </w:pPr>
            <w:r>
              <w:t>—</w:t>
            </w:r>
          </w:p>
        </w:tc>
      </w:tr>
    </w:tbl>
    <w:p w14:paraId="4C62AB62" w14:textId="77777777" w:rsidR="00115D45" w:rsidRDefault="00000000">
      <w:pPr>
        <w:pStyle w:val="BodyText"/>
      </w:pPr>
      <w:r>
        <w:lastRenderedPageBreak/>
        <w:t xml:space="preserve">The strategy delivers </w:t>
      </w:r>
      <w:r>
        <w:rPr>
          <w:b/>
          <w:bCs/>
        </w:rPr>
        <w:t>+4.26 percentage points of annualised alpha</w:t>
      </w:r>
      <w:r>
        <w:t xml:space="preserve"> over the benchmark by simply removing the 20% of stocks the model flags as High risk each week. The Sharpe ratio improvement from 0.745 to 0.991 is meaningful — it represents a 33% improvement in risk-adjusted return. The Sortino ratio of 1.60 indicates that the strategy’s return more than compensates for its downside volatility.</w:t>
      </w:r>
    </w:p>
    <w:p w14:paraId="4C62AB63" w14:textId="77777777" w:rsidR="00115D45" w:rsidRDefault="00000000">
      <w:pPr>
        <w:pStyle w:val="BodyText"/>
      </w:pPr>
      <w:r>
        <w:t>The maximum drawdown of the strategy (-4.63%) is marginally deeper than the benchmark (-4.57%). This is expected: by concentrating into the remaining 40 stocks, the strategy has slightly higher idiosyncratic concentration risk, which can manifest in drawdown even as the overall return and Sharpe improve.</w:t>
      </w:r>
    </w:p>
    <w:p w14:paraId="4C62AB64" w14:textId="77777777" w:rsidR="00115D45" w:rsidRDefault="00000000">
      <w:pPr>
        <w:pStyle w:val="Heading3"/>
      </w:pPr>
      <w:bookmarkStart w:id="34" w:name="economic-value"/>
      <w:bookmarkEnd w:id="33"/>
      <w:r>
        <w:t>4.4 Economic Value</w:t>
      </w:r>
    </w:p>
    <w:p w14:paraId="4C62AB65" w14:textId="77777777" w:rsidR="00115D45" w:rsidRDefault="00000000">
      <w:pPr>
        <w:pStyle w:val="FirstParagraph"/>
      </w:pPr>
      <w:r>
        <w:rPr>
          <w:b/>
          <w:bCs/>
        </w:rPr>
        <w:t>Annual economic gain</w:t>
      </w:r>
      <w:r>
        <w:t xml:space="preserve"> for a $1 billion AUM fund:</w:t>
      </w:r>
    </w:p>
    <w:p w14:paraId="4C62AB66" w14:textId="77777777" w:rsidR="00115D45" w:rsidRDefault="00000000">
      <w:pPr>
        <w:pStyle w:val="BodyText"/>
      </w:pPr>
      <m:oMathPara>
        <m:oMathParaPr>
          <m:jc m:val="center"/>
        </m:oMathParaPr>
        <m:oMath>
          <m:r>
            <m:rPr>
              <m:nor/>
            </m:rPr>
            <m:t>Economic Gain</m:t>
          </m:r>
          <m:r>
            <m:rPr>
              <m:sty m:val="p"/>
            </m:rPr>
            <w:rPr>
              <w:rFonts w:ascii="Cambria Math" w:hAnsi="Cambria Math"/>
            </w:rPr>
            <m:t>=</m:t>
          </m:r>
          <m:r>
            <m:rPr>
              <m:nor/>
            </m:rPr>
            <m:t>AUM</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0.0426</m:t>
          </m:r>
          <m:r>
            <m:rPr>
              <m:sty m:val="p"/>
            </m:rPr>
            <w:rPr>
              <w:rFonts w:ascii="Cambria Math" w:hAnsi="Cambria Math"/>
            </w:rPr>
            <m:t>=</m:t>
          </m:r>
          <m:r>
            <m:rPr>
              <m:sty m:val="b"/>
            </m:rPr>
            <w:rPr>
              <w:rFonts w:ascii="Cambria Math" w:hAnsi="Cambria Math"/>
            </w:rPr>
            <m:t>$42,555,513</m:t>
          </m:r>
        </m:oMath>
      </m:oMathPara>
    </w:p>
    <w:p w14:paraId="4C62AB67" w14:textId="77777777" w:rsidR="00115D45" w:rsidRDefault="00000000">
      <w:pPr>
        <w:pStyle w:val="FirstParagraph"/>
      </w:pPr>
      <w:r>
        <w:rPr>
          <w:b/>
          <w:bCs/>
        </w:rPr>
        <w:t>Illustrative Team ROI</w:t>
      </w:r>
      <w:r>
        <w:t xml:space="preserve"> (four-person implementation team at a total annual cost of $800,000):</w:t>
      </w:r>
    </w:p>
    <w:p w14:paraId="4C62AB68" w14:textId="77777777" w:rsidR="00115D45" w:rsidRDefault="00000000">
      <w:pPr>
        <w:pStyle w:val="BodyText"/>
      </w:pPr>
      <m:oMathPara>
        <m:oMathParaPr>
          <m:jc m:val="center"/>
        </m:oMathParaPr>
        <m:oMath>
          <m:r>
            <m:rPr>
              <m:nor/>
            </m:rPr>
            <m:t>Team ROI</m:t>
          </m:r>
          <m:r>
            <m:rPr>
              <m:sty m:val="p"/>
            </m:rPr>
            <w:rPr>
              <w:rFonts w:ascii="Cambria Math" w:hAnsi="Cambria Math"/>
            </w:rPr>
            <m:t>=</m:t>
          </m:r>
          <m:f>
            <m:fPr>
              <m:ctrlPr>
                <w:rPr>
                  <w:rFonts w:ascii="Cambria Math" w:hAnsi="Cambria Math"/>
                </w:rPr>
              </m:ctrlPr>
            </m:fPr>
            <m:num>
              <m:r>
                <m:rPr>
                  <m:nor/>
                </m:rPr>
                <m:t>Economic Gain</m:t>
              </m:r>
            </m:num>
            <m:den>
              <m:r>
                <m:rPr>
                  <m:nor/>
                </m:rPr>
                <m:t>Team Cost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42</m:t>
              </m:r>
              <m:r>
                <m:rPr>
                  <m:sty m:val="p"/>
                </m:rPr>
                <w:rPr>
                  <w:rFonts w:ascii="Cambria Math" w:hAnsi="Cambria Math"/>
                </w:rPr>
                <m:t>,</m:t>
              </m:r>
              <m:r>
                <w:rPr>
                  <w:rFonts w:ascii="Cambria Math" w:hAnsi="Cambria Math"/>
                </w:rPr>
                <m:t>555</m:t>
              </m:r>
              <m:r>
                <m:rPr>
                  <m:sty m:val="p"/>
                </m:rPr>
                <w:rPr>
                  <w:rFonts w:ascii="Cambria Math" w:hAnsi="Cambria Math"/>
                </w:rPr>
                <m:t>,</m:t>
              </m:r>
              <m:r>
                <w:rPr>
                  <w:rFonts w:ascii="Cambria Math" w:hAnsi="Cambria Math"/>
                </w:rPr>
                <m:t>513</m:t>
              </m:r>
            </m:num>
            <m:den>
              <m:r>
                <m:rPr>
                  <m:sty m:val="p"/>
                </m:rPr>
                <w:rPr>
                  <w:rFonts w:ascii="Cambria Math" w:hAnsi="Cambria Math"/>
                </w:rPr>
                <m:t>$</m:t>
              </m:r>
              <m:r>
                <w:rPr>
                  <w:rFonts w:ascii="Cambria Math" w:hAnsi="Cambria Math"/>
                </w:rPr>
                <m:t>800</m:t>
              </m:r>
              <m:r>
                <m:rPr>
                  <m:sty m:val="p"/>
                </m:rPr>
                <w:rPr>
                  <w:rFonts w:ascii="Cambria Math" w:hAnsi="Cambria Math"/>
                </w:rPr>
                <m:t>,</m:t>
              </m:r>
              <m:r>
                <w:rPr>
                  <w:rFonts w:ascii="Cambria Math" w:hAnsi="Cambria Math"/>
                </w:rPr>
                <m:t>000</m:t>
              </m:r>
            </m:den>
          </m:f>
          <m:r>
            <m:rPr>
              <m:sty m:val="p"/>
            </m:rPr>
            <w:rPr>
              <w:rFonts w:ascii="Cambria Math" w:hAnsi="Cambria Math"/>
            </w:rPr>
            <m:t>=</m:t>
          </m:r>
          <m:r>
            <m:rPr>
              <m:sty m:val="b"/>
            </m:rPr>
            <w:rPr>
              <w:rFonts w:ascii="Cambria Math" w:hAnsi="Cambria Math"/>
            </w:rPr>
            <m:t>53.19×</m:t>
          </m:r>
        </m:oMath>
      </m:oMathPara>
    </w:p>
    <w:p w14:paraId="4C62AB69" w14:textId="77777777" w:rsidR="00115D45" w:rsidRDefault="00000000">
      <w:pPr>
        <w:pStyle w:val="FirstParagraph"/>
      </w:pPr>
      <w:r>
        <w:t xml:space="preserve">The economic results are based on a stylised simulation and should be interpreted as illustrative rather than as a forecast of realised returns. The benchmark has $0 economic gain and no Team ROI because it is the passive reference portfolio rather than a model-driven overlay.</w:t>
      </w:r>
      <w:r>
        <w:rPr>
          <w:rStyle w:val="VerbatimChar"/>
        </w:rPr>
        <w:t/>
      </w:r>
      <w:r>
        <w:t xml:space="preserve"/>
      </w:r>
    </w:p>
    <w:p w14:paraId="4C62AB6A" w14:textId="77777777" w:rsidR="00115D45" w:rsidRDefault="00000000">
      <w:pPr>
        <w:pStyle w:val="BodyText"/>
      </w:pPr>
      <w:r>
        <w:t>In practice, transaction costs, bid-ask spreads, market impact, capacity limits, taxes, model uncertainty, and live implementation slippage would likely reduce realised returns. The estimated $42.6M gain and 53.2? Team ROI are therefore best read as an indicative gross overlay value under the project assumptions, not a production trading result.</w:t>
      </w:r>
    </w:p>
    <w:p w14:paraId="4C62AB6B" w14:textId="77777777" w:rsidR="00115D45" w:rsidRDefault="00000000">
      <w:pPr>
        <w:pStyle w:val="Heading3"/>
      </w:pPr>
      <w:bookmarkStart w:id="35" w:name="caveats"/>
      <w:bookmarkEnd w:id="34"/>
      <w:r>
        <w:t>4.5 Caveats</w:t>
      </w:r>
    </w:p>
    <w:p w14:paraId="4C62AB6C" w14:textId="77777777" w:rsidR="00115D45" w:rsidRDefault="00000000">
      <w:pPr>
        <w:pStyle w:val="FirstParagraph"/>
      </w:pPr>
      <w:r>
        <w:t>The business analysis should be interpreted with four important qualifications:</w:t>
      </w:r>
    </w:p>
    <w:p w14:paraId="4C62AB6D" w14:textId="77777777" w:rsidR="00115D45" w:rsidRDefault="00000000">
      <w:pPr>
        <w:numPr>
          <w:ilvl w:val="0"/>
          <w:numId w:val="13"/>
        </w:numPr>
      </w:pPr>
      <w:r>
        <w:rPr>
          <w:b/>
          <w:bCs/>
        </w:rPr>
        <w:t>Illustrative, not audited.</w:t>
      </w:r>
      <w:r>
        <w:t xml:space="preserve"> The 41-week evaluation window is the out-of-sample period of the </w:t>
      </w:r>
      <w:r>
        <w:rPr>
          <w:i/>
          <w:iCs/>
        </w:rPr>
        <w:t>demo</w:t>
      </w:r>
      <w:r>
        <w:t xml:space="preserve"> run. A real implementation would backtest across the full six-year history after a proper walk-forward validation.</w:t>
      </w:r>
    </w:p>
    <w:p w14:paraId="4C62AB6E" w14:textId="77777777" w:rsidR="00115D45" w:rsidRDefault="00000000">
      <w:pPr>
        <w:numPr>
          <w:ilvl w:val="0"/>
          <w:numId w:val="13"/>
        </w:numPr>
      </w:pPr>
      <w:r>
        <w:rPr>
          <w:b/>
          <w:bCs/>
        </w:rPr>
        <w:t>Gross returns only.</w:t>
      </w:r>
      <w:r>
        <w:t xml:space="preserve"> Transaction costs, bid-ask spreads, market impact, and prime brokerage fees are excluded. For an equal-weight strategy with 20% turnover per week, annual transaction costs on a $1B fund would likely absorb 40–80 basis points of the gross alpha.</w:t>
      </w:r>
    </w:p>
    <w:p w14:paraId="4C62AB6F" w14:textId="77777777" w:rsidR="00115D45" w:rsidRDefault="00000000">
      <w:pPr>
        <w:numPr>
          <w:ilvl w:val="0"/>
          <w:numId w:val="13"/>
        </w:numPr>
      </w:pPr>
      <w:r>
        <w:rPr>
          <w:b/>
          <w:bCs/>
        </w:rPr>
        <w:t>Equal-weight simplification.</w:t>
      </w:r>
      <w:r>
        <w:t xml:space="preserve"> Real fund constraints (minimum position sizes, sector limits, liquidity constraints, benchmark tracking error limits) would modify the strategy composition. A more realistic implementation would apply the crash probability as a tilt factor rather than a binary exclusion.</w:t>
      </w:r>
    </w:p>
    <w:p w14:paraId="4C62AB70" w14:textId="77777777" w:rsidR="00115D45" w:rsidRDefault="00000000">
      <w:pPr>
        <w:numPr>
          <w:ilvl w:val="0"/>
          <w:numId w:val="13"/>
        </w:numPr>
      </w:pPr>
      <w:r>
        <w:rPr>
          <w:b/>
          <w:bCs/>
        </w:rPr>
        <w:lastRenderedPageBreak/>
        <w:t>Synthetic data limitation.</w:t>
      </w:r>
      <w:r>
        <w:t xml:space="preserve"> This run was executed on simulated data. The ESG-to-crash causal channel is encoded in the data generation process. A production deployment must be re-validated on full real Bloomberg history before any capital allocation decision.</w:t>
      </w:r>
    </w:p>
    <w:p w14:paraId="4C62AB71" w14:textId="77777777" w:rsidR="00115D45" w:rsidRDefault="00000000">
      <w:r>
        <w:pict w14:anchorId="4C62AC42">
          <v:rect id="_x0000_i1031" style="width:0;height:1.5pt" o:hralign="center" o:hrstd="t" o:hr="t"/>
        </w:pict>
      </w:r>
    </w:p>
    <w:p w14:paraId="4C62AB72" w14:textId="77777777" w:rsidR="00115D45" w:rsidRDefault="00000000">
      <w:pPr>
        <w:pStyle w:val="Heading2"/>
      </w:pPr>
      <w:bookmarkStart w:id="36" w:name="appendix-a-code-architecture"/>
      <w:bookmarkEnd w:id="30"/>
      <w:bookmarkEnd w:id="35"/>
      <w:r>
        <w:t>Appendix A: Code Architecture</w:t>
      </w:r>
    </w:p>
    <w:p w14:paraId="4C62AB73" w14:textId="77777777" w:rsidR="00115D45" w:rsidRDefault="00000000">
      <w:pPr>
        <w:pStyle w:val="FirstParagraph"/>
      </w:pPr>
      <w:r>
        <w:t>The project is implemented as a Python package (</w:t>
      </w:r>
      <w:r>
        <w:rPr>
          <w:rStyle w:val="VerbatimChar"/>
        </w:rPr>
        <w:t>crashrisk/</w:t>
      </w:r>
      <w:r>
        <w:t>) with clear separation of concerns:</w:t>
      </w:r>
    </w:p>
    <w:p w14:paraId="4C62AB74" w14:textId="77777777" w:rsidR="00115D45" w:rsidRDefault="00000000">
      <w:pPr>
        <w:pStyle w:val="SourceCode"/>
      </w:pPr>
      <w:r>
        <w:rPr>
          <w:rStyle w:val="VerbatimChar"/>
        </w:rPr>
        <w:t>crashrisk/</w:t>
      </w:r>
      <w:r>
        <w:br/>
      </w:r>
      <w:r>
        <w:rPr>
          <w:rStyle w:val="VerbatimChar"/>
        </w:rPr>
        <w:t>├── config.py            CrashRiskConfig: all hyperparameters and paths</w:t>
      </w:r>
      <w:r>
        <w:br/>
      </w:r>
      <w:r>
        <w:rPr>
          <w:rStyle w:val="VerbatimChar"/>
        </w:rPr>
        <w:t>├── pipeline.py          run_mvp(): 11-step end-to-end orchestrator</w:t>
      </w:r>
      <w:r>
        <w:br/>
      </w:r>
      <w:r>
        <w:rPr>
          <w:rStyle w:val="VerbatimChar"/>
        </w:rPr>
        <w:t>├── targets.py           make_targets(): NCSKEW/DUVOL labels</w:t>
      </w:r>
      <w:r>
        <w:br/>
      </w:r>
      <w:r>
        <w:rPr>
          <w:rStyle w:val="VerbatimChar"/>
        </w:rPr>
        <w:t>├── demo.py              Demo runner using synthetic data</w:t>
      </w:r>
      <w:r>
        <w:br/>
      </w:r>
      <w:r>
        <w:rPr>
          <w:rStyle w:val="VerbatimChar"/>
        </w:rPr>
        <w:t>├── demo_data.py         Synthetic data generator</w:t>
      </w:r>
      <w:r>
        <w:br/>
      </w:r>
      <w:r>
        <w:rPr>
          <w:rStyle w:val="VerbatimChar"/>
        </w:rPr>
        <w:t>├── data/</w:t>
      </w:r>
      <w:r>
        <w:br/>
      </w:r>
      <w:r>
        <w:rPr>
          <w:rStyle w:val="VerbatimChar"/>
        </w:rPr>
        <w:t>│   ├── loaders.py       Validated CSV/Excel ingestion</w:t>
      </w:r>
      <w:r>
        <w:br/>
      </w:r>
      <w:r>
        <w:rPr>
          <w:rStyle w:val="VerbatimChar"/>
        </w:rPr>
        <w:t>│   └── validators.py    Column and type checks</w:t>
      </w:r>
      <w:r>
        <w:br/>
      </w:r>
      <w:r>
        <w:rPr>
          <w:rStyle w:val="VerbatimChar"/>
        </w:rPr>
        <w:t>├── features/</w:t>
      </w:r>
      <w:r>
        <w:br/>
      </w:r>
      <w:r>
        <w:rPr>
          <w:rStyle w:val="VerbatimChar"/>
        </w:rPr>
        <w:t>│   ├── pipeline.py      build_feature_panel(): joins all 5 feature groups</w:t>
      </w:r>
      <w:r>
        <w:br/>
      </w:r>
      <w:r>
        <w:rPr>
          <w:rStyle w:val="VerbatimChar"/>
        </w:rPr>
        <w:t>│   ├── returns.py       Weekly resampling, trailing return, realised vol</w:t>
      </w:r>
      <w:r>
        <w:br/>
      </w:r>
      <w:r>
        <w:rPr>
          <w:rStyle w:val="VerbatimChar"/>
        </w:rPr>
        <w:t>│   ├── crash_metrics.py NCSKEW and DUVOL computation</w:t>
      </w:r>
      <w:r>
        <w:br/>
      </w:r>
      <w:r>
        <w:rPr>
          <w:rStyle w:val="VerbatimChar"/>
        </w:rPr>
        <w:t>│   ├── downside.py      Beta, downside beta, relative downside beta</w:t>
      </w:r>
      <w:r>
        <w:br/>
      </w:r>
      <w:r>
        <w:rPr>
          <w:rStyle w:val="VerbatimChar"/>
        </w:rPr>
        <w:t>│   ├── turnover.py      Detrended turnover and z-score</w:t>
      </w:r>
      <w:r>
        <w:br/>
      </w:r>
      <w:r>
        <w:rPr>
          <w:rStyle w:val="VerbatimChar"/>
        </w:rPr>
        <w:t>│   └── controversy.py   ESG alignment, controversy features, spike flag</w:t>
      </w:r>
      <w:r>
        <w:br/>
      </w:r>
      <w:r>
        <w:rPr>
          <w:rStyle w:val="VerbatimChar"/>
        </w:rPr>
        <w:t>├── models/</w:t>
      </w:r>
      <w:r>
        <w:br/>
      </w:r>
      <w:r>
        <w:rPr>
          <w:rStyle w:val="VerbatimChar"/>
        </w:rPr>
        <w:t>│   ├── splits.py        Chronological 60/20/20 split</w:t>
      </w:r>
      <w:r>
        <w:br/>
      </w:r>
      <w:r>
        <w:rPr>
          <w:rStyle w:val="VerbatimChar"/>
        </w:rPr>
        <w:t>│   ├── train.py         sklearn Pipeline + GridSearchCV</w:t>
      </w:r>
      <w:r>
        <w:br/>
      </w:r>
      <w:r>
        <w:rPr>
          <w:rStyle w:val="VerbatimChar"/>
        </w:rPr>
        <w:t>│   ├── compare.py       ESG lift and algorithm comparison</w:t>
      </w:r>
      <w:r>
        <w:br/>
      </w:r>
      <w:r>
        <w:rPr>
          <w:rStyle w:val="VerbatimChar"/>
        </w:rPr>
        <w:t>│   ├── score.py         Latest-week scoring, risk buckets, driver strings</w:t>
      </w:r>
      <w:r>
        <w:br/>
      </w:r>
      <w:r>
        <w:rPr>
          <w:rStyle w:val="VerbatimChar"/>
        </w:rPr>
        <w:t>│   └── scenarios.py     13-week price scenario fan chart data</w:t>
      </w:r>
      <w:r>
        <w:br/>
      </w:r>
      <w:r>
        <w:rPr>
          <w:rStyle w:val="VerbatimChar"/>
        </w:rPr>
        <w:t>├── analysis/</w:t>
      </w:r>
      <w:r>
        <w:br/>
      </w:r>
      <w:r>
        <w:rPr>
          <w:rStyle w:val="VerbatimChar"/>
        </w:rPr>
        <w:t>│   ├── business.py      Sharpe, Sortino, MDD, VaR, CVaR, economic gain</w:t>
      </w:r>
      <w:r>
        <w:br/>
      </w:r>
      <w:r>
        <w:rPr>
          <w:rStyle w:val="VerbatimChar"/>
        </w:rPr>
        <w:t>│   └── reporting.py     SQL queries, text analysis, SVG figures, CSV artifacts</w:t>
      </w:r>
      <w:r>
        <w:br/>
      </w:r>
      <w:r>
        <w:rPr>
          <w:rStyle w:val="VerbatimChar"/>
        </w:rPr>
        <w:t>└── api/</w:t>
      </w:r>
      <w:r>
        <w:br/>
      </w:r>
      <w:r>
        <w:rPr>
          <w:rStyle w:val="VerbatimChar"/>
        </w:rPr>
        <w:t xml:space="preserve">    └── main.py          FastAPI upload endpoint for live deployment</w:t>
      </w:r>
    </w:p>
    <w:p w14:paraId="4C62AB75" w14:textId="77777777" w:rsidR="00115D45" w:rsidRDefault="00000000">
      <w:r>
        <w:pict w14:anchorId="4C62AC43">
          <v:rect id="_x0000_i1032" style="width:0;height:1.5pt" o:hralign="center" o:hrstd="t" o:hr="t"/>
        </w:pict>
      </w:r>
    </w:p>
    <w:p w14:paraId="4C62AB76" w14:textId="77777777" w:rsidR="00115D45" w:rsidRDefault="00000000">
      <w:pPr>
        <w:pStyle w:val="Heading2"/>
      </w:pPr>
      <w:bookmarkStart w:id="37" w:name="appendix-b-full-feature-definitions"/>
      <w:bookmarkEnd w:id="36"/>
      <w:r>
        <w:t>Appendix B: Full Feature Definitions</w:t>
      </w:r>
    </w:p>
    <w:tbl>
      <w:tblPr>
        <w:tblStyle w:val="Table"/>
        <w:tblW w:w="5000" w:type="pct"/>
        <w:tblLook w:val="0020" w:firstRow="1" w:lastRow="0" w:firstColumn="0" w:lastColumn="0" w:noHBand="0" w:noVBand="0"/>
      </w:tblPr>
      <w:tblGrid>
        <w:gridCol w:w="482"/>
        <w:gridCol w:w="3724"/>
        <w:gridCol w:w="4285"/>
        <w:gridCol w:w="1085"/>
      </w:tblGrid>
      <w:tr w:rsidR="00115D45" w14:paraId="4C62AB7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B77" w14:textId="77777777" w:rsidR="00115D45" w:rsidRDefault="00000000">
            <w:pPr>
              <w:pStyle w:val="Compact"/>
            </w:pPr>
            <w:r>
              <w:t>#</w:t>
            </w:r>
          </w:p>
        </w:tc>
        <w:tc>
          <w:tcPr>
            <w:tcW w:w="0" w:type="auto"/>
          </w:tcPr>
          <w:p w14:paraId="4C62AB78" w14:textId="77777777" w:rsidR="00115D45" w:rsidRDefault="00000000">
            <w:pPr>
              <w:pStyle w:val="Compact"/>
            </w:pPr>
            <w:r>
              <w:t>Feature</w:t>
            </w:r>
          </w:p>
        </w:tc>
        <w:tc>
          <w:tcPr>
            <w:tcW w:w="0" w:type="auto"/>
          </w:tcPr>
          <w:p w14:paraId="4C62AB79" w14:textId="77777777" w:rsidR="00115D45" w:rsidRDefault="00000000">
            <w:pPr>
              <w:pStyle w:val="Compact"/>
            </w:pPr>
            <w:r>
              <w:t>Formula / Definition</w:t>
            </w:r>
          </w:p>
        </w:tc>
        <w:tc>
          <w:tcPr>
            <w:tcW w:w="0" w:type="auto"/>
          </w:tcPr>
          <w:p w14:paraId="4C62AB7A" w14:textId="77777777" w:rsidR="00115D45" w:rsidRDefault="00000000">
            <w:pPr>
              <w:pStyle w:val="Compact"/>
            </w:pPr>
            <w:r>
              <w:t>Window</w:t>
            </w:r>
          </w:p>
        </w:tc>
      </w:tr>
      <w:tr w:rsidR="00115D45" w14:paraId="4C62AB80" w14:textId="77777777">
        <w:tc>
          <w:tcPr>
            <w:tcW w:w="0" w:type="auto"/>
          </w:tcPr>
          <w:p w14:paraId="4C62AB7C" w14:textId="77777777" w:rsidR="00115D45" w:rsidRDefault="00000000">
            <w:pPr>
              <w:pStyle w:val="Compact"/>
            </w:pPr>
            <w:r>
              <w:t>1</w:t>
            </w:r>
          </w:p>
        </w:tc>
        <w:tc>
          <w:tcPr>
            <w:tcW w:w="0" w:type="auto"/>
          </w:tcPr>
          <w:p w14:paraId="4C62AB7D" w14:textId="77777777" w:rsidR="00115D45" w:rsidRDefault="00000000">
            <w:pPr>
              <w:pStyle w:val="Compact"/>
            </w:pPr>
            <w:r>
              <w:rPr>
                <w:rStyle w:val="VerbatimChar"/>
              </w:rPr>
              <w:t>lagged_ncskew</w:t>
            </w:r>
          </w:p>
        </w:tc>
        <w:tc>
          <w:tcPr>
            <w:tcW w:w="0" w:type="auto"/>
          </w:tcPr>
          <w:p w14:paraId="4C62AB7E" w14:textId="77777777" w:rsidR="00115D45" w:rsidRDefault="00000000">
            <w:pPr>
              <w:pStyle w:val="Compact"/>
            </w:pPr>
            <m:oMathPara>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3</m:t>
                    </m:r>
                    <m:r>
                      <m:rPr>
                        <m:sty m:val="p"/>
                      </m:rPr>
                      <w:rPr>
                        <w:rFonts w:ascii="Cambria Math" w:hAnsi="Cambria Math"/>
                      </w:rPr>
                      <m:t>/</m:t>
                    </m:r>
                    <m:r>
                      <w:rPr>
                        <w:rFonts w:ascii="Cambria Math" w:hAnsi="Cambria Math"/>
                      </w:rPr>
                      <m:t>2</m:t>
                    </m:r>
                  </m:sup>
                </m:sSup>
                <m:r>
                  <w:rPr>
                    <w:rFonts w:ascii="Cambria Math" w:hAnsi="Cambria Math"/>
                  </w:rPr>
                  <m:t>Σ</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Σ</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3</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tc>
        <w:tc>
          <w:tcPr>
            <w:tcW w:w="0" w:type="auto"/>
          </w:tcPr>
          <w:p w14:paraId="4C62AB7F" w14:textId="77777777" w:rsidR="00115D45" w:rsidRDefault="00000000">
            <w:pPr>
              <w:pStyle w:val="Compact"/>
            </w:pPr>
            <w:r>
              <w:t>26w</w:t>
            </w:r>
          </w:p>
        </w:tc>
      </w:tr>
      <w:tr w:rsidR="00115D45" w14:paraId="4C62AB85" w14:textId="77777777">
        <w:tc>
          <w:tcPr>
            <w:tcW w:w="0" w:type="auto"/>
          </w:tcPr>
          <w:p w14:paraId="4C62AB81" w14:textId="77777777" w:rsidR="00115D45" w:rsidRDefault="00000000">
            <w:pPr>
              <w:pStyle w:val="Compact"/>
            </w:pPr>
            <w:r>
              <w:t>2</w:t>
            </w:r>
          </w:p>
        </w:tc>
        <w:tc>
          <w:tcPr>
            <w:tcW w:w="0" w:type="auto"/>
          </w:tcPr>
          <w:p w14:paraId="4C62AB82" w14:textId="77777777" w:rsidR="00115D45" w:rsidRDefault="00000000">
            <w:pPr>
              <w:pStyle w:val="Compact"/>
            </w:pPr>
            <w:r>
              <w:rPr>
                <w:rStyle w:val="VerbatimChar"/>
              </w:rPr>
              <w:t>lagged_duvol</w:t>
            </w:r>
          </w:p>
        </w:tc>
        <w:tc>
          <w:tcPr>
            <w:tcW w:w="0" w:type="auto"/>
          </w:tcPr>
          <w:p w14:paraId="4C62AB83" w14:textId="77777777" w:rsidR="00115D45" w:rsidRDefault="00000000">
            <w:pPr>
              <w:pStyle w:val="Compact"/>
            </w:pPr>
            <m:oMathPara>
              <m:oMath>
                <m:r>
                  <m:rPr>
                    <m:nor/>
                  </m:rPr>
                  <m:t>ln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down</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up</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oMath>
            </m:oMathPara>
          </w:p>
        </w:tc>
        <w:tc>
          <w:tcPr>
            <w:tcW w:w="0" w:type="auto"/>
          </w:tcPr>
          <w:p w14:paraId="4C62AB84" w14:textId="77777777" w:rsidR="00115D45" w:rsidRDefault="00000000">
            <w:pPr>
              <w:pStyle w:val="Compact"/>
            </w:pPr>
            <w:r>
              <w:t>26w</w:t>
            </w:r>
          </w:p>
        </w:tc>
      </w:tr>
      <w:tr w:rsidR="00115D45" w14:paraId="4C62AB8A" w14:textId="77777777">
        <w:tc>
          <w:tcPr>
            <w:tcW w:w="0" w:type="auto"/>
          </w:tcPr>
          <w:p w14:paraId="4C62AB86" w14:textId="77777777" w:rsidR="00115D45" w:rsidRDefault="00000000">
            <w:pPr>
              <w:pStyle w:val="Compact"/>
            </w:pPr>
            <w:r>
              <w:lastRenderedPageBreak/>
              <w:t>3</w:t>
            </w:r>
          </w:p>
        </w:tc>
        <w:tc>
          <w:tcPr>
            <w:tcW w:w="0" w:type="auto"/>
          </w:tcPr>
          <w:p w14:paraId="4C62AB87" w14:textId="77777777" w:rsidR="00115D45" w:rsidRDefault="00000000">
            <w:pPr>
              <w:pStyle w:val="Compact"/>
            </w:pPr>
            <w:r>
              <w:rPr>
                <w:rStyle w:val="VerbatimChar"/>
              </w:rPr>
              <w:t>detrended_turnover</w:t>
            </w:r>
          </w:p>
        </w:tc>
        <w:tc>
          <w:tcPr>
            <w:tcW w:w="0" w:type="auto"/>
          </w:tcPr>
          <w:p w14:paraId="4C62AB88" w14:textId="77777777" w:rsidR="00115D45" w:rsidRDefault="00000000">
            <w:pPr>
              <w:pStyle w:val="Compact"/>
            </w:pPr>
            <m:oMathPara>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m:rPr>
                    <m:nor/>
                  </m:rPr>
                  <m:t>shares</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26w</m:t>
                    </m:r>
                  </m:sub>
                </m:sSub>
                <m:r>
                  <m:rPr>
                    <m:sty m:val="p"/>
                  </m:rPr>
                  <w:rPr>
                    <w:rFonts w:ascii="Cambria Math" w:hAnsi="Cambria Math"/>
                  </w:rPr>
                  <m:t>/</m:t>
                </m:r>
                <m:r>
                  <m:rPr>
                    <m:nor/>
                  </m:rPr>
                  <m:t>shares</m:t>
                </m:r>
              </m:oMath>
            </m:oMathPara>
          </w:p>
        </w:tc>
        <w:tc>
          <w:tcPr>
            <w:tcW w:w="0" w:type="auto"/>
          </w:tcPr>
          <w:p w14:paraId="4C62AB89" w14:textId="77777777" w:rsidR="00115D45" w:rsidRDefault="00000000">
            <w:pPr>
              <w:pStyle w:val="Compact"/>
            </w:pPr>
            <w:r>
              <w:t>26w</w:t>
            </w:r>
          </w:p>
        </w:tc>
      </w:tr>
      <w:tr w:rsidR="00115D45" w14:paraId="4C62AB8F" w14:textId="77777777">
        <w:tc>
          <w:tcPr>
            <w:tcW w:w="0" w:type="auto"/>
          </w:tcPr>
          <w:p w14:paraId="4C62AB8B" w14:textId="77777777" w:rsidR="00115D45" w:rsidRDefault="00000000">
            <w:pPr>
              <w:pStyle w:val="Compact"/>
            </w:pPr>
            <w:r>
              <w:t>4</w:t>
            </w:r>
          </w:p>
        </w:tc>
        <w:tc>
          <w:tcPr>
            <w:tcW w:w="0" w:type="auto"/>
          </w:tcPr>
          <w:p w14:paraId="4C62AB8C" w14:textId="77777777" w:rsidR="00115D45" w:rsidRDefault="00000000">
            <w:pPr>
              <w:pStyle w:val="Compact"/>
            </w:pPr>
            <w:r>
              <w:rPr>
                <w:rStyle w:val="VerbatimChar"/>
              </w:rPr>
              <w:t>trailing_return</w:t>
            </w:r>
          </w:p>
        </w:tc>
        <w:tc>
          <w:tcPr>
            <w:tcW w:w="0" w:type="auto"/>
          </w:tcPr>
          <w:p w14:paraId="4C62AB8D" w14:textId="77777777" w:rsidR="00115D45" w:rsidRDefault="00000000">
            <w:pPr>
              <w:pStyle w:val="Compact"/>
            </w:pPr>
            <m:oMathPara>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25</m:t>
                    </m:r>
                  </m:sub>
                  <m:sup>
                    <m:r>
                      <w:rPr>
                        <w:rFonts w:ascii="Cambria Math" w:hAnsi="Cambria Math"/>
                      </w:rPr>
                      <m:t>t</m:t>
                    </m:r>
                  </m:sup>
                  <m:e>
                    <m:r>
                      <m:rPr>
                        <m:sty m:val="p"/>
                      </m:rPr>
                      <w:rPr>
                        <w:rFonts w:ascii="Cambria Math" w:hAnsi="Cambria Math"/>
                      </w:rPr>
                      <m:t>(</m:t>
                    </m:r>
                  </m:e>
                </m:nary>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1</m:t>
                </m:r>
              </m:oMath>
            </m:oMathPara>
          </w:p>
        </w:tc>
        <w:tc>
          <w:tcPr>
            <w:tcW w:w="0" w:type="auto"/>
          </w:tcPr>
          <w:p w14:paraId="4C62AB8E" w14:textId="77777777" w:rsidR="00115D45" w:rsidRDefault="00000000">
            <w:pPr>
              <w:pStyle w:val="Compact"/>
            </w:pPr>
            <w:r>
              <w:t>26w</w:t>
            </w:r>
          </w:p>
        </w:tc>
      </w:tr>
      <w:tr w:rsidR="00115D45" w14:paraId="4C62AB94" w14:textId="77777777">
        <w:tc>
          <w:tcPr>
            <w:tcW w:w="0" w:type="auto"/>
          </w:tcPr>
          <w:p w14:paraId="4C62AB90" w14:textId="77777777" w:rsidR="00115D45" w:rsidRDefault="00000000">
            <w:pPr>
              <w:pStyle w:val="Compact"/>
            </w:pPr>
            <w:r>
              <w:t>5</w:t>
            </w:r>
          </w:p>
        </w:tc>
        <w:tc>
          <w:tcPr>
            <w:tcW w:w="0" w:type="auto"/>
          </w:tcPr>
          <w:p w14:paraId="4C62AB91" w14:textId="77777777" w:rsidR="00115D45" w:rsidRDefault="00000000">
            <w:pPr>
              <w:pStyle w:val="Compact"/>
            </w:pPr>
            <w:r>
              <w:rPr>
                <w:rStyle w:val="VerbatimChar"/>
              </w:rPr>
              <w:t>realized_volatility</w:t>
            </w:r>
          </w:p>
        </w:tc>
        <w:tc>
          <w:tcPr>
            <w:tcW w:w="0" w:type="auto"/>
          </w:tcPr>
          <w:p w14:paraId="4C62AB92" w14:textId="77777777" w:rsidR="00115D45" w:rsidRDefault="00000000">
            <w:pPr>
              <w:pStyle w:val="Compact"/>
            </w:pPr>
            <m:oMathPara>
              <m:oMath>
                <m:sSubSup>
                  <m:sSubSupPr>
                    <m:ctrlPr>
                      <w:rPr>
                        <w:rFonts w:ascii="Cambria Math" w:hAnsi="Cambria Math"/>
                      </w:rPr>
                    </m:ctrlPr>
                  </m:sSubSupPr>
                  <m:e>
                    <m:r>
                      <w:rPr>
                        <w:rFonts w:ascii="Cambria Math" w:hAnsi="Cambria Math"/>
                      </w:rPr>
                      <m:t>σ</m:t>
                    </m:r>
                  </m:e>
                  <m:sub>
                    <m:r>
                      <w:rPr>
                        <w:rFonts w:ascii="Cambria Math" w:hAnsi="Cambria Math"/>
                      </w:rPr>
                      <m:t>26w</m:t>
                    </m:r>
                  </m:sub>
                  <m:sup>
                    <m:r>
                      <m:rPr>
                        <m:nor/>
                      </m:rPr>
                      <m:t>weekly</m:t>
                    </m:r>
                  </m:sup>
                </m:sSubSup>
                <m:r>
                  <m:rPr>
                    <m:sty m:val="p"/>
                  </m:rPr>
                  <w:rPr>
                    <w:rFonts w:ascii="Cambria Math" w:hAnsi="Cambria Math"/>
                  </w:rPr>
                  <m:t>×</m:t>
                </m:r>
                <m:rad>
                  <m:radPr>
                    <m:degHide m:val="1"/>
                    <m:ctrlPr>
                      <w:rPr>
                        <w:rFonts w:ascii="Cambria Math" w:hAnsi="Cambria Math"/>
                      </w:rPr>
                    </m:ctrlPr>
                  </m:radPr>
                  <m:deg/>
                  <m:e>
                    <m:r>
                      <w:rPr>
                        <w:rFonts w:ascii="Cambria Math" w:hAnsi="Cambria Math"/>
                      </w:rPr>
                      <m:t>52</m:t>
                    </m:r>
                  </m:e>
                </m:rad>
              </m:oMath>
            </m:oMathPara>
          </w:p>
        </w:tc>
        <w:tc>
          <w:tcPr>
            <w:tcW w:w="0" w:type="auto"/>
          </w:tcPr>
          <w:p w14:paraId="4C62AB93" w14:textId="77777777" w:rsidR="00115D45" w:rsidRDefault="00000000">
            <w:pPr>
              <w:pStyle w:val="Compact"/>
            </w:pPr>
            <w:r>
              <w:t>26w</w:t>
            </w:r>
          </w:p>
        </w:tc>
      </w:tr>
      <w:tr w:rsidR="00115D45" w14:paraId="4C62AB99" w14:textId="77777777">
        <w:tc>
          <w:tcPr>
            <w:tcW w:w="0" w:type="auto"/>
          </w:tcPr>
          <w:p w14:paraId="4C62AB95" w14:textId="77777777" w:rsidR="00115D45" w:rsidRDefault="00000000">
            <w:pPr>
              <w:pStyle w:val="Compact"/>
            </w:pPr>
            <w:r>
              <w:t>6</w:t>
            </w:r>
          </w:p>
        </w:tc>
        <w:tc>
          <w:tcPr>
            <w:tcW w:w="0" w:type="auto"/>
          </w:tcPr>
          <w:p w14:paraId="4C62AB96" w14:textId="77777777" w:rsidR="00115D45" w:rsidRDefault="00000000">
            <w:pPr>
              <w:pStyle w:val="Compact"/>
            </w:pPr>
            <w:r>
              <w:rPr>
                <w:rStyle w:val="VerbatimChar"/>
              </w:rPr>
              <w:t>beta</w:t>
            </w:r>
          </w:p>
        </w:tc>
        <w:tc>
          <w:tcPr>
            <w:tcW w:w="0" w:type="auto"/>
          </w:tcPr>
          <w:p w14:paraId="4C62AB97" w14:textId="77777777" w:rsidR="00115D45" w:rsidRPr="00D03335" w:rsidRDefault="00000000">
            <w:pPr>
              <w:pStyle w:val="Compact"/>
              <w:rPr>
                <w:lang w:val="pt-BR"/>
              </w:rPr>
            </w:pPr>
            <m:oMathPara>
              <m:oMath>
                <m:r>
                  <m:rPr>
                    <m:nor/>
                  </m:rPr>
                  <w:rPr>
                    <w:lang w:val="pt-BR"/>
                  </w:rPr>
                  <m:t>Cov</m:t>
                </m:r>
                <m:r>
                  <m:rPr>
                    <m:sty m:val="p"/>
                  </m:rPr>
                  <w:rPr>
                    <w:rFonts w:ascii="Cambria Math" w:hAnsi="Cambria Math"/>
                    <w:lang w:val="pt-BR"/>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lang w:val="pt-BR"/>
                  </w:rPr>
                  <m:t>,</m:t>
                </m:r>
                <m:sSub>
                  <m:sSubPr>
                    <m:ctrlPr>
                      <w:rPr>
                        <w:rFonts w:ascii="Cambria Math" w:hAnsi="Cambria Math"/>
                      </w:rPr>
                    </m:ctrlPr>
                  </m:sSubPr>
                  <m:e>
                    <m:r>
                      <w:rPr>
                        <w:rFonts w:ascii="Cambria Math" w:hAnsi="Cambria Math"/>
                      </w:rPr>
                      <m:t>r</m:t>
                    </m:r>
                  </m:e>
                  <m:sub>
                    <m:r>
                      <w:rPr>
                        <w:rFonts w:ascii="Cambria Math" w:hAnsi="Cambria Math"/>
                      </w:rPr>
                      <m:t>m</m:t>
                    </m:r>
                  </m:sub>
                </m:sSub>
                <m:sSub>
                  <m:sSubPr>
                    <m:ctrlPr>
                      <w:rPr>
                        <w:rFonts w:ascii="Cambria Math" w:hAnsi="Cambria Math"/>
                      </w:rPr>
                    </m:ctrlPr>
                  </m:sSubPr>
                  <m:e>
                    <m:r>
                      <m:rPr>
                        <m:sty m:val="p"/>
                      </m:rPr>
                      <w:rPr>
                        <w:rFonts w:ascii="Cambria Math" w:hAnsi="Cambria Math"/>
                        <w:lang w:val="pt-BR"/>
                      </w:rPr>
                      <m:t>)</m:t>
                    </m:r>
                  </m:e>
                  <m:sub>
                    <m:r>
                      <w:rPr>
                        <w:rFonts w:ascii="Cambria Math" w:hAnsi="Cambria Math"/>
                        <w:lang w:val="pt-BR"/>
                      </w:rPr>
                      <m:t>26</m:t>
                    </m:r>
                    <m:r>
                      <w:rPr>
                        <w:rFonts w:ascii="Cambria Math" w:hAnsi="Cambria Math"/>
                      </w:rPr>
                      <m:t>w</m:t>
                    </m:r>
                  </m:sub>
                </m:sSub>
                <m:r>
                  <m:rPr>
                    <m:sty m:val="p"/>
                  </m:rPr>
                  <w:rPr>
                    <w:rFonts w:ascii="Cambria Math" w:hAnsi="Cambria Math"/>
                    <w:lang w:val="pt-BR"/>
                  </w:rPr>
                  <m:t>/</m:t>
                </m:r>
                <m:r>
                  <m:rPr>
                    <m:nor/>
                  </m:rPr>
                  <w:rPr>
                    <w:lang w:val="pt-BR"/>
                  </w:rPr>
                  <m:t>Var</m:t>
                </m:r>
                <m:r>
                  <m:rPr>
                    <m:sty m:val="p"/>
                  </m:rPr>
                  <w:rPr>
                    <w:rFonts w:ascii="Cambria Math" w:hAnsi="Cambria Math"/>
                    <w:lang w:val="pt-BR"/>
                  </w:rPr>
                  <m:t>(</m:t>
                </m:r>
                <m:sSub>
                  <m:sSubPr>
                    <m:ctrlPr>
                      <w:rPr>
                        <w:rFonts w:ascii="Cambria Math" w:hAnsi="Cambria Math"/>
                      </w:rPr>
                    </m:ctrlPr>
                  </m:sSubPr>
                  <m:e>
                    <m:r>
                      <w:rPr>
                        <w:rFonts w:ascii="Cambria Math" w:hAnsi="Cambria Math"/>
                      </w:rPr>
                      <m:t>r</m:t>
                    </m:r>
                  </m:e>
                  <m:sub>
                    <m:r>
                      <w:rPr>
                        <w:rFonts w:ascii="Cambria Math" w:hAnsi="Cambria Math"/>
                      </w:rPr>
                      <m:t>m</m:t>
                    </m:r>
                  </m:sub>
                </m:sSub>
                <m:sSub>
                  <m:sSubPr>
                    <m:ctrlPr>
                      <w:rPr>
                        <w:rFonts w:ascii="Cambria Math" w:hAnsi="Cambria Math"/>
                      </w:rPr>
                    </m:ctrlPr>
                  </m:sSubPr>
                  <m:e>
                    <m:r>
                      <m:rPr>
                        <m:sty m:val="p"/>
                      </m:rPr>
                      <w:rPr>
                        <w:rFonts w:ascii="Cambria Math" w:hAnsi="Cambria Math"/>
                        <w:lang w:val="pt-BR"/>
                      </w:rPr>
                      <m:t>)</m:t>
                    </m:r>
                  </m:e>
                  <m:sub>
                    <m:r>
                      <w:rPr>
                        <w:rFonts w:ascii="Cambria Math" w:hAnsi="Cambria Math"/>
                        <w:lang w:val="pt-BR"/>
                      </w:rPr>
                      <m:t>26</m:t>
                    </m:r>
                    <m:r>
                      <w:rPr>
                        <w:rFonts w:ascii="Cambria Math" w:hAnsi="Cambria Math"/>
                      </w:rPr>
                      <m:t>w</m:t>
                    </m:r>
                  </m:sub>
                </m:sSub>
              </m:oMath>
            </m:oMathPara>
          </w:p>
        </w:tc>
        <w:tc>
          <w:tcPr>
            <w:tcW w:w="0" w:type="auto"/>
          </w:tcPr>
          <w:p w14:paraId="4C62AB98" w14:textId="77777777" w:rsidR="00115D45" w:rsidRDefault="00000000">
            <w:pPr>
              <w:pStyle w:val="Compact"/>
            </w:pPr>
            <w:r>
              <w:t>26w</w:t>
            </w:r>
          </w:p>
        </w:tc>
      </w:tr>
      <w:tr w:rsidR="00115D45" w14:paraId="4C62AB9E" w14:textId="77777777">
        <w:tc>
          <w:tcPr>
            <w:tcW w:w="0" w:type="auto"/>
          </w:tcPr>
          <w:p w14:paraId="4C62AB9A" w14:textId="77777777" w:rsidR="00115D45" w:rsidRDefault="00000000">
            <w:pPr>
              <w:pStyle w:val="Compact"/>
            </w:pPr>
            <w:r>
              <w:t>7</w:t>
            </w:r>
          </w:p>
        </w:tc>
        <w:tc>
          <w:tcPr>
            <w:tcW w:w="0" w:type="auto"/>
          </w:tcPr>
          <w:p w14:paraId="4C62AB9B" w14:textId="77777777" w:rsidR="00115D45" w:rsidRDefault="00000000">
            <w:pPr>
              <w:pStyle w:val="Compact"/>
            </w:pPr>
            <w:r>
              <w:rPr>
                <w:rStyle w:val="VerbatimChar"/>
              </w:rPr>
              <w:t>downside_beta</w:t>
            </w:r>
          </w:p>
        </w:tc>
        <w:tc>
          <w:tcPr>
            <w:tcW w:w="0" w:type="auto"/>
          </w:tcPr>
          <w:p w14:paraId="4C62AB9C" w14:textId="77777777" w:rsidR="00115D45" w:rsidRPr="00D03335" w:rsidRDefault="00000000">
            <w:pPr>
              <w:pStyle w:val="Compact"/>
              <w:rPr>
                <w:lang w:val="pt-BR"/>
              </w:rPr>
            </w:pPr>
            <m:oMathPara>
              <m:oMath>
                <m:r>
                  <m:rPr>
                    <m:nor/>
                  </m:rPr>
                  <w:rPr>
                    <w:lang w:val="pt-BR"/>
                  </w:rPr>
                  <m:t>Cov</m:t>
                </m:r>
                <m:r>
                  <m:rPr>
                    <m:sty m:val="p"/>
                  </m:rPr>
                  <w:rPr>
                    <w:rFonts w:ascii="Cambria Math" w:hAnsi="Cambria Math"/>
                    <w:lang w:val="pt-BR"/>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lang w:val="pt-BR"/>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lang w:val="pt-BR"/>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lang w:val="pt-BR"/>
                  </w:rPr>
                  <m:t>&lt;</m:t>
                </m:r>
                <m:r>
                  <w:rPr>
                    <w:rFonts w:ascii="Cambria Math" w:hAnsi="Cambria Math"/>
                    <w:lang w:val="pt-BR"/>
                  </w:rPr>
                  <m:t>0</m:t>
                </m:r>
                <m:sSub>
                  <m:sSubPr>
                    <m:ctrlPr>
                      <w:rPr>
                        <w:rFonts w:ascii="Cambria Math" w:hAnsi="Cambria Math"/>
                      </w:rPr>
                    </m:ctrlPr>
                  </m:sSubPr>
                  <m:e>
                    <m:r>
                      <m:rPr>
                        <m:sty m:val="p"/>
                      </m:rPr>
                      <w:rPr>
                        <w:rFonts w:ascii="Cambria Math" w:hAnsi="Cambria Math"/>
                        <w:lang w:val="pt-BR"/>
                      </w:rPr>
                      <m:t>)</m:t>
                    </m:r>
                  </m:e>
                  <m:sub>
                    <m:r>
                      <w:rPr>
                        <w:rFonts w:ascii="Cambria Math" w:hAnsi="Cambria Math"/>
                        <w:lang w:val="pt-BR"/>
                      </w:rPr>
                      <m:t>26</m:t>
                    </m:r>
                    <m:r>
                      <w:rPr>
                        <w:rFonts w:ascii="Cambria Math" w:hAnsi="Cambria Math"/>
                      </w:rPr>
                      <m:t>w</m:t>
                    </m:r>
                  </m:sub>
                </m:sSub>
                <m:r>
                  <m:rPr>
                    <m:sty m:val="p"/>
                  </m:rPr>
                  <w:rPr>
                    <w:rFonts w:ascii="Cambria Math" w:hAnsi="Cambria Math"/>
                    <w:lang w:val="pt-BR"/>
                  </w:rPr>
                  <m:t>/</m:t>
                </m:r>
                <m:r>
                  <m:rPr>
                    <m:nor/>
                  </m:rPr>
                  <w:rPr>
                    <w:lang w:val="pt-BR"/>
                  </w:rPr>
                  <m:t>Var</m:t>
                </m:r>
                <m:r>
                  <m:rPr>
                    <m:sty m:val="p"/>
                  </m:rPr>
                  <w:rPr>
                    <w:rFonts w:ascii="Cambria Math" w:hAnsi="Cambria Math"/>
                    <w:lang w:val="pt-BR"/>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lang w:val="pt-BR"/>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lang w:val="pt-BR"/>
                  </w:rPr>
                  <m:t>&lt;</m:t>
                </m:r>
                <m:r>
                  <w:rPr>
                    <w:rFonts w:ascii="Cambria Math" w:hAnsi="Cambria Math"/>
                    <w:lang w:val="pt-BR"/>
                  </w:rPr>
                  <m:t>0</m:t>
                </m:r>
                <m:sSub>
                  <m:sSubPr>
                    <m:ctrlPr>
                      <w:rPr>
                        <w:rFonts w:ascii="Cambria Math" w:hAnsi="Cambria Math"/>
                      </w:rPr>
                    </m:ctrlPr>
                  </m:sSubPr>
                  <m:e>
                    <m:r>
                      <m:rPr>
                        <m:sty m:val="p"/>
                      </m:rPr>
                      <w:rPr>
                        <w:rFonts w:ascii="Cambria Math" w:hAnsi="Cambria Math"/>
                        <w:lang w:val="pt-BR"/>
                      </w:rPr>
                      <m:t>)</m:t>
                    </m:r>
                  </m:e>
                  <m:sub>
                    <m:r>
                      <w:rPr>
                        <w:rFonts w:ascii="Cambria Math" w:hAnsi="Cambria Math"/>
                        <w:lang w:val="pt-BR"/>
                      </w:rPr>
                      <m:t>26</m:t>
                    </m:r>
                    <m:r>
                      <w:rPr>
                        <w:rFonts w:ascii="Cambria Math" w:hAnsi="Cambria Math"/>
                      </w:rPr>
                      <m:t>w</m:t>
                    </m:r>
                  </m:sub>
                </m:sSub>
              </m:oMath>
            </m:oMathPara>
          </w:p>
        </w:tc>
        <w:tc>
          <w:tcPr>
            <w:tcW w:w="0" w:type="auto"/>
          </w:tcPr>
          <w:p w14:paraId="4C62AB9D" w14:textId="77777777" w:rsidR="00115D45" w:rsidRDefault="00000000">
            <w:pPr>
              <w:pStyle w:val="Compact"/>
            </w:pPr>
            <w:r>
              <w:t>26w</w:t>
            </w:r>
          </w:p>
        </w:tc>
      </w:tr>
      <w:tr w:rsidR="00115D45" w14:paraId="4C62ABA3" w14:textId="77777777">
        <w:tc>
          <w:tcPr>
            <w:tcW w:w="0" w:type="auto"/>
          </w:tcPr>
          <w:p w14:paraId="4C62AB9F" w14:textId="77777777" w:rsidR="00115D45" w:rsidRDefault="00000000">
            <w:pPr>
              <w:pStyle w:val="Compact"/>
            </w:pPr>
            <w:r>
              <w:t>8</w:t>
            </w:r>
          </w:p>
        </w:tc>
        <w:tc>
          <w:tcPr>
            <w:tcW w:w="0" w:type="auto"/>
          </w:tcPr>
          <w:p w14:paraId="4C62ABA0" w14:textId="77777777" w:rsidR="00115D45" w:rsidRDefault="00000000">
            <w:pPr>
              <w:pStyle w:val="Compact"/>
            </w:pPr>
            <w:r>
              <w:rPr>
                <w:rStyle w:val="VerbatimChar"/>
              </w:rPr>
              <w:t>relative_downside_beta</w:t>
            </w:r>
          </w:p>
        </w:tc>
        <w:tc>
          <w:tcPr>
            <w:tcW w:w="0" w:type="auto"/>
          </w:tcPr>
          <w:p w14:paraId="4C62ABA1" w14:textId="77777777" w:rsidR="00115D45" w:rsidRDefault="00000000">
            <w:pPr>
              <w:pStyle w:val="Compact"/>
            </w:pPr>
            <m:oMathPara>
              <m:oMath>
                <m:sSup>
                  <m:sSupPr>
                    <m:ctrlPr>
                      <w:rPr>
                        <w:rFonts w:ascii="Cambria Math" w:hAnsi="Cambria Math"/>
                      </w:rPr>
                    </m:ctrlPr>
                  </m:sSupPr>
                  <m:e>
                    <m:r>
                      <w:rPr>
                        <w:rFonts w:ascii="Cambria Math" w:hAnsi="Cambria Math"/>
                      </w:rPr>
                      <m:t>β</m:t>
                    </m:r>
                  </m:e>
                  <m:sup>
                    <m:r>
                      <m:rPr>
                        <m:sty m:val="p"/>
                      </m:rPr>
                      <w:rPr>
                        <w:rFonts w:ascii="Cambria Math" w:hAnsi="Cambria Math"/>
                      </w:rPr>
                      <m:t>-</m:t>
                    </m:r>
                  </m:sup>
                </m:sSup>
                <m:r>
                  <m:rPr>
                    <m:sty m:val="p"/>
                  </m:rPr>
                  <w:rPr>
                    <w:rFonts w:ascii="Cambria Math" w:hAnsi="Cambria Math"/>
                  </w:rPr>
                  <m:t>-</m:t>
                </m:r>
                <m:r>
                  <w:rPr>
                    <w:rFonts w:ascii="Cambria Math" w:hAnsi="Cambria Math"/>
                  </w:rPr>
                  <m:t>β</m:t>
                </m:r>
              </m:oMath>
            </m:oMathPara>
          </w:p>
        </w:tc>
        <w:tc>
          <w:tcPr>
            <w:tcW w:w="0" w:type="auto"/>
          </w:tcPr>
          <w:p w14:paraId="4C62ABA2" w14:textId="77777777" w:rsidR="00115D45" w:rsidRDefault="00000000">
            <w:pPr>
              <w:pStyle w:val="Compact"/>
            </w:pPr>
            <w:r>
              <w:t>26w</w:t>
            </w:r>
          </w:p>
        </w:tc>
      </w:tr>
      <w:tr w:rsidR="00115D45" w14:paraId="4C62ABA8" w14:textId="77777777">
        <w:tc>
          <w:tcPr>
            <w:tcW w:w="0" w:type="auto"/>
          </w:tcPr>
          <w:p w14:paraId="4C62ABA4" w14:textId="77777777" w:rsidR="00115D45" w:rsidRDefault="00000000">
            <w:pPr>
              <w:pStyle w:val="Compact"/>
            </w:pPr>
            <w:r>
              <w:t>9</w:t>
            </w:r>
          </w:p>
        </w:tc>
        <w:tc>
          <w:tcPr>
            <w:tcW w:w="0" w:type="auto"/>
          </w:tcPr>
          <w:p w14:paraId="4C62ABA5" w14:textId="77777777" w:rsidR="00115D45" w:rsidRDefault="00000000">
            <w:pPr>
              <w:pStyle w:val="Compact"/>
            </w:pPr>
            <w:r>
              <w:rPr>
                <w:rStyle w:val="VerbatimChar"/>
              </w:rPr>
              <w:t>market_cap</w:t>
            </w:r>
          </w:p>
        </w:tc>
        <w:tc>
          <w:tcPr>
            <w:tcW w:w="0" w:type="auto"/>
          </w:tcPr>
          <w:p w14:paraId="4C62ABA6" w14:textId="77777777" w:rsidR="00115D45" w:rsidRDefault="00000000">
            <w:pPr>
              <w:pStyle w:val="Compact"/>
            </w:pPr>
            <w:r>
              <w:t>Shares × price (USD), lagged 45d</w:t>
            </w:r>
          </w:p>
        </w:tc>
        <w:tc>
          <w:tcPr>
            <w:tcW w:w="0" w:type="auto"/>
          </w:tcPr>
          <w:p w14:paraId="4C62ABA7" w14:textId="77777777" w:rsidR="00115D45" w:rsidRDefault="00000000">
            <w:pPr>
              <w:pStyle w:val="Compact"/>
            </w:pPr>
            <w:r>
              <w:t>Current</w:t>
            </w:r>
          </w:p>
        </w:tc>
      </w:tr>
      <w:tr w:rsidR="00115D45" w14:paraId="4C62ABAD" w14:textId="77777777">
        <w:tc>
          <w:tcPr>
            <w:tcW w:w="0" w:type="auto"/>
          </w:tcPr>
          <w:p w14:paraId="4C62ABA9" w14:textId="77777777" w:rsidR="00115D45" w:rsidRDefault="00000000">
            <w:pPr>
              <w:pStyle w:val="Compact"/>
            </w:pPr>
            <w:r>
              <w:t>10</w:t>
            </w:r>
          </w:p>
        </w:tc>
        <w:tc>
          <w:tcPr>
            <w:tcW w:w="0" w:type="auto"/>
          </w:tcPr>
          <w:p w14:paraId="4C62ABAA" w14:textId="77777777" w:rsidR="00115D45" w:rsidRDefault="00000000">
            <w:pPr>
              <w:pStyle w:val="Compact"/>
            </w:pPr>
            <w:r>
              <w:rPr>
                <w:rStyle w:val="VerbatimChar"/>
              </w:rPr>
              <w:t>market_to_book</w:t>
            </w:r>
          </w:p>
        </w:tc>
        <w:tc>
          <w:tcPr>
            <w:tcW w:w="0" w:type="auto"/>
          </w:tcPr>
          <w:p w14:paraId="4C62ABAB" w14:textId="77777777" w:rsidR="00115D45" w:rsidRDefault="00000000">
            <w:pPr>
              <w:pStyle w:val="Compact"/>
            </w:pPr>
            <w:r>
              <w:t>Market cap / book equity, lagged 45d</w:t>
            </w:r>
          </w:p>
        </w:tc>
        <w:tc>
          <w:tcPr>
            <w:tcW w:w="0" w:type="auto"/>
          </w:tcPr>
          <w:p w14:paraId="4C62ABAC" w14:textId="77777777" w:rsidR="00115D45" w:rsidRDefault="00000000">
            <w:pPr>
              <w:pStyle w:val="Compact"/>
            </w:pPr>
            <w:r>
              <w:t>Annual</w:t>
            </w:r>
          </w:p>
        </w:tc>
      </w:tr>
      <w:tr w:rsidR="00115D45" w14:paraId="4C62ABB2" w14:textId="77777777">
        <w:tc>
          <w:tcPr>
            <w:tcW w:w="0" w:type="auto"/>
          </w:tcPr>
          <w:p w14:paraId="4C62ABAE" w14:textId="77777777" w:rsidR="00115D45" w:rsidRDefault="00000000">
            <w:pPr>
              <w:pStyle w:val="Compact"/>
            </w:pPr>
            <w:r>
              <w:t>11</w:t>
            </w:r>
          </w:p>
        </w:tc>
        <w:tc>
          <w:tcPr>
            <w:tcW w:w="0" w:type="auto"/>
          </w:tcPr>
          <w:p w14:paraId="4C62ABAF" w14:textId="77777777" w:rsidR="00115D45" w:rsidRDefault="00000000">
            <w:pPr>
              <w:pStyle w:val="Compact"/>
            </w:pPr>
            <w:r>
              <w:rPr>
                <w:rStyle w:val="VerbatimChar"/>
              </w:rPr>
              <w:t>leverage</w:t>
            </w:r>
          </w:p>
        </w:tc>
        <w:tc>
          <w:tcPr>
            <w:tcW w:w="0" w:type="auto"/>
          </w:tcPr>
          <w:p w14:paraId="4C62ABB0" w14:textId="77777777" w:rsidR="00115D45" w:rsidRDefault="00000000">
            <w:pPr>
              <w:pStyle w:val="Compact"/>
            </w:pPr>
            <w:r>
              <w:t>Total debt / total assets, lagged 45d</w:t>
            </w:r>
          </w:p>
        </w:tc>
        <w:tc>
          <w:tcPr>
            <w:tcW w:w="0" w:type="auto"/>
          </w:tcPr>
          <w:p w14:paraId="4C62ABB1" w14:textId="77777777" w:rsidR="00115D45" w:rsidRDefault="00000000">
            <w:pPr>
              <w:pStyle w:val="Compact"/>
            </w:pPr>
            <w:r>
              <w:t>Annual</w:t>
            </w:r>
          </w:p>
        </w:tc>
      </w:tr>
      <w:tr w:rsidR="00115D45" w14:paraId="4C62ABB7" w14:textId="77777777">
        <w:tc>
          <w:tcPr>
            <w:tcW w:w="0" w:type="auto"/>
          </w:tcPr>
          <w:p w14:paraId="4C62ABB3" w14:textId="77777777" w:rsidR="00115D45" w:rsidRDefault="00000000">
            <w:pPr>
              <w:pStyle w:val="Compact"/>
            </w:pPr>
            <w:r>
              <w:t>12</w:t>
            </w:r>
          </w:p>
        </w:tc>
        <w:tc>
          <w:tcPr>
            <w:tcW w:w="0" w:type="auto"/>
          </w:tcPr>
          <w:p w14:paraId="4C62ABB4" w14:textId="77777777" w:rsidR="00115D45" w:rsidRDefault="00000000">
            <w:pPr>
              <w:pStyle w:val="Compact"/>
            </w:pPr>
            <w:r>
              <w:rPr>
                <w:rStyle w:val="VerbatimChar"/>
              </w:rPr>
              <w:t>roa</w:t>
            </w:r>
          </w:p>
        </w:tc>
        <w:tc>
          <w:tcPr>
            <w:tcW w:w="0" w:type="auto"/>
          </w:tcPr>
          <w:p w14:paraId="4C62ABB5" w14:textId="77777777" w:rsidR="00115D45" w:rsidRDefault="00000000">
            <w:pPr>
              <w:pStyle w:val="Compact"/>
            </w:pPr>
            <w:r>
              <w:t>Net income / total assets (TTM), lagged 45d</w:t>
            </w:r>
          </w:p>
        </w:tc>
        <w:tc>
          <w:tcPr>
            <w:tcW w:w="0" w:type="auto"/>
          </w:tcPr>
          <w:p w14:paraId="4C62ABB6" w14:textId="77777777" w:rsidR="00115D45" w:rsidRDefault="00000000">
            <w:pPr>
              <w:pStyle w:val="Compact"/>
            </w:pPr>
            <w:r>
              <w:t>Trailing</w:t>
            </w:r>
          </w:p>
        </w:tc>
      </w:tr>
      <w:tr w:rsidR="00115D45" w14:paraId="4C62ABBC" w14:textId="77777777">
        <w:tc>
          <w:tcPr>
            <w:tcW w:w="0" w:type="auto"/>
          </w:tcPr>
          <w:p w14:paraId="4C62ABB8" w14:textId="77777777" w:rsidR="00115D45" w:rsidRDefault="00000000">
            <w:pPr>
              <w:pStyle w:val="Compact"/>
            </w:pPr>
            <w:r>
              <w:t>13</w:t>
            </w:r>
          </w:p>
        </w:tc>
        <w:tc>
          <w:tcPr>
            <w:tcW w:w="0" w:type="auto"/>
          </w:tcPr>
          <w:p w14:paraId="4C62ABB9" w14:textId="77777777" w:rsidR="00115D45" w:rsidRDefault="00000000">
            <w:pPr>
              <w:pStyle w:val="Compact"/>
            </w:pPr>
            <w:r>
              <w:rPr>
                <w:rStyle w:val="VerbatimChar"/>
              </w:rPr>
              <w:t>controversy_score</w:t>
            </w:r>
          </w:p>
        </w:tc>
        <w:tc>
          <w:tcPr>
            <w:tcW w:w="0" w:type="auto"/>
          </w:tcPr>
          <w:p w14:paraId="4C62ABBA" w14:textId="77777777" w:rsidR="00115D45" w:rsidRDefault="00000000">
            <w:pPr>
              <w:pStyle w:val="Compact"/>
            </w:pPr>
            <w:r>
              <w:t>Vendor ESG controversy score (0–10)</w:t>
            </w:r>
          </w:p>
        </w:tc>
        <w:tc>
          <w:tcPr>
            <w:tcW w:w="0" w:type="auto"/>
          </w:tcPr>
          <w:p w14:paraId="4C62ABBB" w14:textId="77777777" w:rsidR="00115D45" w:rsidRDefault="00000000">
            <w:pPr>
              <w:pStyle w:val="Compact"/>
            </w:pPr>
            <w:r>
              <w:t>Monthly</w:t>
            </w:r>
          </w:p>
        </w:tc>
      </w:tr>
      <w:tr w:rsidR="00115D45" w14:paraId="4C62ABC1" w14:textId="77777777">
        <w:tc>
          <w:tcPr>
            <w:tcW w:w="0" w:type="auto"/>
          </w:tcPr>
          <w:p w14:paraId="4C62ABBD" w14:textId="77777777" w:rsidR="00115D45" w:rsidRDefault="00000000">
            <w:pPr>
              <w:pStyle w:val="Compact"/>
            </w:pPr>
            <w:r>
              <w:t>14</w:t>
            </w:r>
          </w:p>
        </w:tc>
        <w:tc>
          <w:tcPr>
            <w:tcW w:w="0" w:type="auto"/>
          </w:tcPr>
          <w:p w14:paraId="4C62ABBE" w14:textId="77777777" w:rsidR="00115D45" w:rsidRDefault="00000000">
            <w:pPr>
              <w:pStyle w:val="Compact"/>
            </w:pPr>
            <w:r>
              <w:rPr>
                <w:rStyle w:val="VerbatimChar"/>
              </w:rPr>
              <w:t>controversy_change_4w</w:t>
            </w:r>
          </w:p>
        </w:tc>
        <w:tc>
          <w:tcPr>
            <w:tcW w:w="0" w:type="auto"/>
          </w:tcPr>
          <w:p w14:paraId="4C62ABBF" w14:textId="77777777" w:rsidR="00115D45"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4</m:t>
                    </m:r>
                  </m:sub>
                </m:sSub>
              </m:oMath>
            </m:oMathPara>
          </w:p>
        </w:tc>
        <w:tc>
          <w:tcPr>
            <w:tcW w:w="0" w:type="auto"/>
          </w:tcPr>
          <w:p w14:paraId="4C62ABC0" w14:textId="77777777" w:rsidR="00115D45" w:rsidRDefault="00000000">
            <w:pPr>
              <w:pStyle w:val="Compact"/>
            </w:pPr>
            <w:r>
              <w:t>4w</w:t>
            </w:r>
          </w:p>
        </w:tc>
      </w:tr>
      <w:tr w:rsidR="00115D45" w14:paraId="4C62ABC6" w14:textId="77777777">
        <w:tc>
          <w:tcPr>
            <w:tcW w:w="0" w:type="auto"/>
          </w:tcPr>
          <w:p w14:paraId="4C62ABC2" w14:textId="77777777" w:rsidR="00115D45" w:rsidRDefault="00000000">
            <w:pPr>
              <w:pStyle w:val="Compact"/>
            </w:pPr>
            <w:r>
              <w:t>15</w:t>
            </w:r>
          </w:p>
        </w:tc>
        <w:tc>
          <w:tcPr>
            <w:tcW w:w="0" w:type="auto"/>
          </w:tcPr>
          <w:p w14:paraId="4C62ABC3" w14:textId="77777777" w:rsidR="00115D45" w:rsidRDefault="00000000">
            <w:pPr>
              <w:pStyle w:val="Compact"/>
            </w:pPr>
            <w:r>
              <w:rPr>
                <w:rStyle w:val="VerbatimChar"/>
              </w:rPr>
              <w:t>controversy_change_13w</w:t>
            </w:r>
          </w:p>
        </w:tc>
        <w:tc>
          <w:tcPr>
            <w:tcW w:w="0" w:type="auto"/>
          </w:tcPr>
          <w:p w14:paraId="4C62ABC4" w14:textId="77777777" w:rsidR="00115D45"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13</m:t>
                    </m:r>
                  </m:sub>
                </m:sSub>
              </m:oMath>
            </m:oMathPara>
          </w:p>
        </w:tc>
        <w:tc>
          <w:tcPr>
            <w:tcW w:w="0" w:type="auto"/>
          </w:tcPr>
          <w:p w14:paraId="4C62ABC5" w14:textId="77777777" w:rsidR="00115D45" w:rsidRDefault="00000000">
            <w:pPr>
              <w:pStyle w:val="Compact"/>
            </w:pPr>
            <w:r>
              <w:t>13w</w:t>
            </w:r>
          </w:p>
        </w:tc>
      </w:tr>
      <w:tr w:rsidR="00115D45" w14:paraId="4C62ABCB" w14:textId="77777777">
        <w:tc>
          <w:tcPr>
            <w:tcW w:w="0" w:type="auto"/>
          </w:tcPr>
          <w:p w14:paraId="4C62ABC7" w14:textId="77777777" w:rsidR="00115D45" w:rsidRDefault="00000000">
            <w:pPr>
              <w:pStyle w:val="Compact"/>
            </w:pPr>
            <w:r>
              <w:t>16</w:t>
            </w:r>
          </w:p>
        </w:tc>
        <w:tc>
          <w:tcPr>
            <w:tcW w:w="0" w:type="auto"/>
          </w:tcPr>
          <w:p w14:paraId="4C62ABC8" w14:textId="77777777" w:rsidR="00115D45" w:rsidRDefault="00000000">
            <w:pPr>
              <w:pStyle w:val="Compact"/>
            </w:pPr>
            <w:r>
              <w:rPr>
                <w:rStyle w:val="VerbatimChar"/>
              </w:rPr>
              <w:t>controversy_change_26w</w:t>
            </w:r>
          </w:p>
        </w:tc>
        <w:tc>
          <w:tcPr>
            <w:tcW w:w="0" w:type="auto"/>
          </w:tcPr>
          <w:p w14:paraId="4C62ABC9" w14:textId="77777777" w:rsidR="00115D45"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26</m:t>
                    </m:r>
                  </m:sub>
                </m:sSub>
              </m:oMath>
            </m:oMathPara>
          </w:p>
        </w:tc>
        <w:tc>
          <w:tcPr>
            <w:tcW w:w="0" w:type="auto"/>
          </w:tcPr>
          <w:p w14:paraId="4C62ABCA" w14:textId="77777777" w:rsidR="00115D45" w:rsidRDefault="00000000">
            <w:pPr>
              <w:pStyle w:val="Compact"/>
            </w:pPr>
            <w:r>
              <w:t>26w</w:t>
            </w:r>
          </w:p>
        </w:tc>
      </w:tr>
      <w:tr w:rsidR="00115D45" w14:paraId="4C62ABD0" w14:textId="77777777">
        <w:tc>
          <w:tcPr>
            <w:tcW w:w="0" w:type="auto"/>
          </w:tcPr>
          <w:p w14:paraId="4C62ABCC" w14:textId="77777777" w:rsidR="00115D45" w:rsidRDefault="00000000">
            <w:pPr>
              <w:pStyle w:val="Compact"/>
            </w:pPr>
            <w:r>
              <w:t>17</w:t>
            </w:r>
          </w:p>
        </w:tc>
        <w:tc>
          <w:tcPr>
            <w:tcW w:w="0" w:type="auto"/>
          </w:tcPr>
          <w:p w14:paraId="4C62ABCD" w14:textId="77777777" w:rsidR="00115D45" w:rsidRDefault="00000000">
            <w:pPr>
              <w:pStyle w:val="Compact"/>
            </w:pPr>
            <w:r>
              <w:rPr>
                <w:rStyle w:val="VerbatimChar"/>
              </w:rPr>
              <w:t>controversy_rolling_mean_13w</w:t>
            </w:r>
          </w:p>
        </w:tc>
        <w:tc>
          <w:tcPr>
            <w:tcW w:w="0" w:type="auto"/>
          </w:tcPr>
          <w:p w14:paraId="4C62ABCE" w14:textId="77777777" w:rsidR="00115D45" w:rsidRDefault="00000000">
            <w:pPr>
              <w:pStyle w:val="Compac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13w</m:t>
                    </m:r>
                  </m:sub>
                </m:sSub>
              </m:oMath>
            </m:oMathPara>
          </w:p>
        </w:tc>
        <w:tc>
          <w:tcPr>
            <w:tcW w:w="0" w:type="auto"/>
          </w:tcPr>
          <w:p w14:paraId="4C62ABCF" w14:textId="77777777" w:rsidR="00115D45" w:rsidRDefault="00000000">
            <w:pPr>
              <w:pStyle w:val="Compact"/>
            </w:pPr>
            <w:r>
              <w:t>13w</w:t>
            </w:r>
          </w:p>
        </w:tc>
      </w:tr>
      <w:tr w:rsidR="00115D45" w14:paraId="4C62ABD5" w14:textId="77777777">
        <w:tc>
          <w:tcPr>
            <w:tcW w:w="0" w:type="auto"/>
          </w:tcPr>
          <w:p w14:paraId="4C62ABD1" w14:textId="77777777" w:rsidR="00115D45" w:rsidRDefault="00000000">
            <w:pPr>
              <w:pStyle w:val="Compact"/>
            </w:pPr>
            <w:r>
              <w:t>18</w:t>
            </w:r>
          </w:p>
        </w:tc>
        <w:tc>
          <w:tcPr>
            <w:tcW w:w="0" w:type="auto"/>
          </w:tcPr>
          <w:p w14:paraId="4C62ABD2" w14:textId="77777777" w:rsidR="00115D45" w:rsidRDefault="00000000">
            <w:pPr>
              <w:pStyle w:val="Compact"/>
            </w:pPr>
            <w:r>
              <w:rPr>
                <w:rStyle w:val="VerbatimChar"/>
              </w:rPr>
              <w:t>controversy_rolling_std_13w</w:t>
            </w:r>
          </w:p>
        </w:tc>
        <w:tc>
          <w:tcPr>
            <w:tcW w:w="0" w:type="auto"/>
          </w:tcPr>
          <w:p w14:paraId="4C62ABD3" w14:textId="77777777" w:rsidR="00115D45" w:rsidRDefault="00000000">
            <w:pPr>
              <w:pStyle w:val="Compact"/>
            </w:pPr>
            <m:oMathPara>
              <m:oMath>
                <m:sSubSup>
                  <m:sSubSupPr>
                    <m:ctrlPr>
                      <w:rPr>
                        <w:rFonts w:ascii="Cambria Math" w:hAnsi="Cambria Math"/>
                      </w:rPr>
                    </m:ctrlPr>
                  </m:sSubSupPr>
                  <m:e>
                    <m:r>
                      <w:rPr>
                        <w:rFonts w:ascii="Cambria Math" w:hAnsi="Cambria Math"/>
                      </w:rPr>
                      <m:t>σ</m:t>
                    </m:r>
                  </m:e>
                  <m:sub>
                    <m:r>
                      <w:rPr>
                        <w:rFonts w:ascii="Cambria Math" w:hAnsi="Cambria Math"/>
                      </w:rPr>
                      <m:t>13w</m:t>
                    </m:r>
                  </m:sub>
                  <m:sup>
                    <m:r>
                      <w:rPr>
                        <w:rFonts w:ascii="Cambria Math" w:hAnsi="Cambria Math"/>
                      </w:rPr>
                      <m:t>c</m:t>
                    </m:r>
                  </m:sup>
                </m:sSubSup>
              </m:oMath>
            </m:oMathPara>
          </w:p>
        </w:tc>
        <w:tc>
          <w:tcPr>
            <w:tcW w:w="0" w:type="auto"/>
          </w:tcPr>
          <w:p w14:paraId="4C62ABD4" w14:textId="77777777" w:rsidR="00115D45" w:rsidRDefault="00000000">
            <w:pPr>
              <w:pStyle w:val="Compact"/>
            </w:pPr>
            <w:r>
              <w:t>13w</w:t>
            </w:r>
          </w:p>
        </w:tc>
      </w:tr>
      <w:tr w:rsidR="00115D45" w14:paraId="4C62ABDA" w14:textId="77777777">
        <w:tc>
          <w:tcPr>
            <w:tcW w:w="0" w:type="auto"/>
          </w:tcPr>
          <w:p w14:paraId="4C62ABD6" w14:textId="77777777" w:rsidR="00115D45" w:rsidRDefault="00000000">
            <w:pPr>
              <w:pStyle w:val="Compact"/>
            </w:pPr>
            <w:r>
              <w:t>19</w:t>
            </w:r>
          </w:p>
        </w:tc>
        <w:tc>
          <w:tcPr>
            <w:tcW w:w="0" w:type="auto"/>
          </w:tcPr>
          <w:p w14:paraId="4C62ABD7" w14:textId="77777777" w:rsidR="00115D45" w:rsidRDefault="00000000">
            <w:pPr>
              <w:pStyle w:val="Compact"/>
            </w:pPr>
            <w:r>
              <w:rPr>
                <w:rStyle w:val="VerbatimChar"/>
              </w:rPr>
              <w:t>controversy_spike_flag</w:t>
            </w:r>
          </w:p>
        </w:tc>
        <w:tc>
          <w:tcPr>
            <w:tcW w:w="0" w:type="auto"/>
          </w:tcPr>
          <w:p w14:paraId="4C62ABD8" w14:textId="77777777" w:rsidR="00115D45" w:rsidRDefault="00000000">
            <w:pPr>
              <w:pStyle w:val="Compact"/>
            </w:pPr>
            <m:oMathPara>
              <m:oMath>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26w</m:t>
                    </m:r>
                  </m:sub>
                </m:sSub>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26w</m:t>
                    </m:r>
                  </m:sub>
                  <m:sup>
                    <m:r>
                      <w:rPr>
                        <w:rFonts w:ascii="Cambria Math" w:hAnsi="Cambria Math"/>
                      </w:rPr>
                      <m:t>c</m:t>
                    </m:r>
                  </m:sup>
                </m:sSubSup>
                <m:r>
                  <m:rPr>
                    <m:sty m:val="p"/>
                  </m:rPr>
                  <w:rPr>
                    <w:rFonts w:ascii="Cambria Math" w:hAnsi="Cambria Math"/>
                  </w:rPr>
                  <m:t>]</m:t>
                </m:r>
              </m:oMath>
            </m:oMathPara>
          </w:p>
        </w:tc>
        <w:tc>
          <w:tcPr>
            <w:tcW w:w="0" w:type="auto"/>
          </w:tcPr>
          <w:p w14:paraId="4C62ABD9" w14:textId="77777777" w:rsidR="00115D45" w:rsidRDefault="00000000">
            <w:pPr>
              <w:pStyle w:val="Compact"/>
            </w:pPr>
            <w:r>
              <w:t>26w</w:t>
            </w:r>
          </w:p>
        </w:tc>
      </w:tr>
      <w:tr w:rsidR="00115D45" w14:paraId="4C62ABDF" w14:textId="77777777">
        <w:tc>
          <w:tcPr>
            <w:tcW w:w="0" w:type="auto"/>
          </w:tcPr>
          <w:p w14:paraId="4C62ABDB" w14:textId="77777777" w:rsidR="00115D45" w:rsidRDefault="00000000">
            <w:pPr>
              <w:pStyle w:val="Compact"/>
            </w:pPr>
            <w:r>
              <w:t>20</w:t>
            </w:r>
          </w:p>
        </w:tc>
        <w:tc>
          <w:tcPr>
            <w:tcW w:w="0" w:type="auto"/>
          </w:tcPr>
          <w:p w14:paraId="4C62ABDC" w14:textId="77777777" w:rsidR="00115D45" w:rsidRDefault="00000000">
            <w:pPr>
              <w:pStyle w:val="Compact"/>
            </w:pPr>
            <w:r>
              <w:rPr>
                <w:rStyle w:val="VerbatimChar"/>
              </w:rPr>
              <w:t>controversy_sector_percentile</w:t>
            </w:r>
          </w:p>
        </w:tc>
        <w:tc>
          <w:tcPr>
            <w:tcW w:w="0" w:type="auto"/>
          </w:tcPr>
          <w:p w14:paraId="4C62ABDD" w14:textId="77777777" w:rsidR="00115D45" w:rsidRDefault="00000000">
            <w:pPr>
              <w:pStyle w:val="Compact"/>
            </w:pPr>
            <w:r>
              <w:t>Rank</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oMath>
            <w:r>
              <w:t xml:space="preserve"> within sector-week peer group</w:t>
            </w:r>
          </w:p>
        </w:tc>
        <w:tc>
          <w:tcPr>
            <w:tcW w:w="0" w:type="auto"/>
          </w:tcPr>
          <w:p w14:paraId="4C62ABDE" w14:textId="77777777" w:rsidR="00115D45" w:rsidRDefault="00000000">
            <w:pPr>
              <w:pStyle w:val="Compact"/>
            </w:pPr>
            <w:r>
              <w:t>Current</w:t>
            </w:r>
          </w:p>
        </w:tc>
      </w:tr>
    </w:tbl>
    <w:p w14:paraId="4C62ABE0" w14:textId="77777777" w:rsidR="00115D45" w:rsidRDefault="00000000">
      <w:r>
        <w:pict w14:anchorId="4C62AC44">
          <v:rect id="_x0000_i1033" style="width:0;height:1.5pt" o:hralign="center" o:hrstd="t" o:hr="t"/>
        </w:pict>
      </w:r>
    </w:p>
    <w:p w14:paraId="4C62ABE1" w14:textId="77777777" w:rsidR="00115D45" w:rsidRDefault="00000000">
      <w:pPr>
        <w:pStyle w:val="Heading2"/>
      </w:pPr>
      <w:bookmarkStart w:id="38" w:name="appendix-c-bloomberg-data-guide"/>
      <w:bookmarkEnd w:id="37"/>
      <w:r>
        <w:t>Appendix C: Bloomberg Data Guide</w:t>
      </w:r>
    </w:p>
    <w:p w14:paraId="4C62ABE2" w14:textId="77777777" w:rsidR="00115D45" w:rsidRDefault="00000000">
      <w:pPr>
        <w:pStyle w:val="FirstParagraph"/>
      </w:pPr>
      <w:r>
        <w:t>To replicate this project with real Bloomberg data, download four CSV files with the following field mappings:</w:t>
      </w:r>
    </w:p>
    <w:p w14:paraId="4C62ABE3" w14:textId="77777777" w:rsidR="00115D45" w:rsidRDefault="00000000">
      <w:pPr>
        <w:pStyle w:val="BodyText"/>
      </w:pPr>
      <w:r>
        <w:rPr>
          <w:b/>
          <w:bCs/>
        </w:rPr>
        <w:t>File 1: prices.csv</w:t>
      </w:r>
      <w:r>
        <w:t xml:space="preserve"> — Bloomberg equity price history (BDUMP or BDH)</w:t>
      </w:r>
    </w:p>
    <w:tbl>
      <w:tblPr>
        <w:tblStyle w:val="Table"/>
        <w:tblW w:w="5000" w:type="pct"/>
        <w:tblLook w:val="0020" w:firstRow="1" w:lastRow="0" w:firstColumn="0" w:lastColumn="0" w:noHBand="0" w:noVBand="0"/>
      </w:tblPr>
      <w:tblGrid>
        <w:gridCol w:w="1305"/>
        <w:gridCol w:w="3772"/>
        <w:gridCol w:w="4499"/>
      </w:tblGrid>
      <w:tr w:rsidR="00115D45" w14:paraId="4C62ABE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BE4" w14:textId="77777777" w:rsidR="00115D45" w:rsidRDefault="00000000">
            <w:pPr>
              <w:pStyle w:val="Compact"/>
            </w:pPr>
            <w:r>
              <w:t>Column</w:t>
            </w:r>
          </w:p>
        </w:tc>
        <w:tc>
          <w:tcPr>
            <w:tcW w:w="0" w:type="auto"/>
          </w:tcPr>
          <w:p w14:paraId="4C62ABE5" w14:textId="77777777" w:rsidR="00115D45" w:rsidRDefault="00000000">
            <w:pPr>
              <w:pStyle w:val="Compact"/>
            </w:pPr>
            <w:r>
              <w:t>Bloomberg Field</w:t>
            </w:r>
          </w:p>
        </w:tc>
        <w:tc>
          <w:tcPr>
            <w:tcW w:w="0" w:type="auto"/>
          </w:tcPr>
          <w:p w14:paraId="4C62ABE6" w14:textId="77777777" w:rsidR="00115D45" w:rsidRDefault="00000000">
            <w:pPr>
              <w:pStyle w:val="Compact"/>
            </w:pPr>
            <w:r>
              <w:t>Notes</w:t>
            </w:r>
          </w:p>
        </w:tc>
      </w:tr>
      <w:tr w:rsidR="00115D45" w14:paraId="4C62ABEB" w14:textId="77777777">
        <w:tc>
          <w:tcPr>
            <w:tcW w:w="0" w:type="auto"/>
          </w:tcPr>
          <w:p w14:paraId="4C62ABE8" w14:textId="77777777" w:rsidR="00115D45" w:rsidRDefault="00000000">
            <w:pPr>
              <w:pStyle w:val="Compact"/>
            </w:pPr>
            <w:r>
              <w:rPr>
                <w:rStyle w:val="VerbatimChar"/>
              </w:rPr>
              <w:t>ticker</w:t>
            </w:r>
          </w:p>
        </w:tc>
        <w:tc>
          <w:tcPr>
            <w:tcW w:w="0" w:type="auto"/>
          </w:tcPr>
          <w:p w14:paraId="4C62ABE9" w14:textId="77777777" w:rsidR="00115D45" w:rsidRDefault="00000000">
            <w:pPr>
              <w:pStyle w:val="Compact"/>
            </w:pPr>
            <w:r>
              <w:t>Ticker symbol (e.g., AAPL US Equity)</w:t>
            </w:r>
          </w:p>
        </w:tc>
        <w:tc>
          <w:tcPr>
            <w:tcW w:w="0" w:type="auto"/>
          </w:tcPr>
          <w:p w14:paraId="4C62ABEA" w14:textId="77777777" w:rsidR="00115D45" w:rsidRDefault="00000000">
            <w:pPr>
              <w:pStyle w:val="Compact"/>
            </w:pPr>
            <w:r>
              <w:t>Standardise to base ticker</w:t>
            </w:r>
          </w:p>
        </w:tc>
      </w:tr>
      <w:tr w:rsidR="00115D45" w14:paraId="4C62ABEF" w14:textId="77777777">
        <w:tc>
          <w:tcPr>
            <w:tcW w:w="0" w:type="auto"/>
          </w:tcPr>
          <w:p w14:paraId="4C62ABEC" w14:textId="77777777" w:rsidR="00115D45" w:rsidRDefault="00000000">
            <w:pPr>
              <w:pStyle w:val="Compact"/>
            </w:pPr>
            <w:r>
              <w:rPr>
                <w:rStyle w:val="VerbatimChar"/>
              </w:rPr>
              <w:t>date</w:t>
            </w:r>
          </w:p>
        </w:tc>
        <w:tc>
          <w:tcPr>
            <w:tcW w:w="0" w:type="auto"/>
          </w:tcPr>
          <w:p w14:paraId="4C62ABED" w14:textId="77777777" w:rsidR="00115D45" w:rsidRDefault="00000000">
            <w:pPr>
              <w:pStyle w:val="Compact"/>
            </w:pPr>
            <w:r>
              <w:t>Date</w:t>
            </w:r>
          </w:p>
        </w:tc>
        <w:tc>
          <w:tcPr>
            <w:tcW w:w="0" w:type="auto"/>
          </w:tcPr>
          <w:p w14:paraId="4C62ABEE" w14:textId="77777777" w:rsidR="00115D45" w:rsidRDefault="00000000">
            <w:pPr>
              <w:pStyle w:val="Compact"/>
            </w:pPr>
            <w:r>
              <w:t>Daily, 2019-01-01 to present</w:t>
            </w:r>
          </w:p>
        </w:tc>
      </w:tr>
      <w:tr w:rsidR="00115D45" w14:paraId="4C62ABF3" w14:textId="77777777">
        <w:tc>
          <w:tcPr>
            <w:tcW w:w="0" w:type="auto"/>
          </w:tcPr>
          <w:p w14:paraId="4C62ABF0" w14:textId="77777777" w:rsidR="00115D45" w:rsidRDefault="00000000">
            <w:pPr>
              <w:pStyle w:val="Compact"/>
            </w:pPr>
            <w:r>
              <w:rPr>
                <w:rStyle w:val="VerbatimChar"/>
              </w:rPr>
              <w:t>adj_close</w:t>
            </w:r>
          </w:p>
        </w:tc>
        <w:tc>
          <w:tcPr>
            <w:tcW w:w="0" w:type="auto"/>
          </w:tcPr>
          <w:p w14:paraId="4C62ABF1" w14:textId="77777777" w:rsidR="00115D45" w:rsidRDefault="00000000">
            <w:pPr>
              <w:pStyle w:val="Compact"/>
            </w:pPr>
            <w:r>
              <w:t>PX_LAST adjusted for dividends/splits</w:t>
            </w:r>
          </w:p>
        </w:tc>
        <w:tc>
          <w:tcPr>
            <w:tcW w:w="0" w:type="auto"/>
          </w:tcPr>
          <w:p w14:paraId="4C62ABF2" w14:textId="77777777" w:rsidR="00115D45" w:rsidRDefault="00000000">
            <w:pPr>
              <w:pStyle w:val="Compact"/>
            </w:pPr>
            <w:r>
              <w:t>Use ADJUSTMENT_SPLIT_AND_DIV_REINV</w:t>
            </w:r>
          </w:p>
        </w:tc>
      </w:tr>
      <w:tr w:rsidR="00115D45" w14:paraId="4C62ABF7" w14:textId="77777777">
        <w:tc>
          <w:tcPr>
            <w:tcW w:w="0" w:type="auto"/>
          </w:tcPr>
          <w:p w14:paraId="4C62ABF4" w14:textId="77777777" w:rsidR="00115D45" w:rsidRDefault="00000000">
            <w:pPr>
              <w:pStyle w:val="Compact"/>
            </w:pPr>
            <w:r>
              <w:rPr>
                <w:rStyle w:val="VerbatimChar"/>
              </w:rPr>
              <w:t>volume</w:t>
            </w:r>
          </w:p>
        </w:tc>
        <w:tc>
          <w:tcPr>
            <w:tcW w:w="0" w:type="auto"/>
          </w:tcPr>
          <w:p w14:paraId="4C62ABF5" w14:textId="77777777" w:rsidR="00115D45" w:rsidRDefault="00000000">
            <w:pPr>
              <w:pStyle w:val="Compact"/>
            </w:pPr>
            <w:r>
              <w:t>VOLUME</w:t>
            </w:r>
          </w:p>
        </w:tc>
        <w:tc>
          <w:tcPr>
            <w:tcW w:w="0" w:type="auto"/>
          </w:tcPr>
          <w:p w14:paraId="4C62ABF6" w14:textId="77777777" w:rsidR="00115D45" w:rsidRDefault="00000000">
            <w:pPr>
              <w:pStyle w:val="Compact"/>
            </w:pPr>
            <w:r>
              <w:t>Daily share volume</w:t>
            </w:r>
          </w:p>
        </w:tc>
      </w:tr>
    </w:tbl>
    <w:p w14:paraId="4C62ABF8" w14:textId="77777777" w:rsidR="00115D45" w:rsidRDefault="00000000">
      <w:pPr>
        <w:pStyle w:val="BodyText"/>
      </w:pPr>
      <w:r>
        <w:rPr>
          <w:b/>
          <w:bCs/>
        </w:rPr>
        <w:t>File 2: benchmark_prices.csv</w:t>
      </w:r>
      <w:r>
        <w:t xml:space="preserve"> — S&amp;P 500 benchmark (SPX Index or SPI Index)</w:t>
      </w:r>
    </w:p>
    <w:p w14:paraId="4C62ABF9" w14:textId="77777777" w:rsidR="00115D45" w:rsidRDefault="00000000">
      <w:pPr>
        <w:pStyle w:val="BodyText"/>
      </w:pPr>
      <w:r>
        <w:lastRenderedPageBreak/>
        <w:t>Same columns as prices.csv for a single index ticker.</w:t>
      </w:r>
    </w:p>
    <w:p w14:paraId="4C62ABFA" w14:textId="77777777" w:rsidR="00115D45" w:rsidRDefault="00000000">
      <w:pPr>
        <w:pStyle w:val="BodyText"/>
      </w:pPr>
      <w:r>
        <w:rPr>
          <w:b/>
          <w:bCs/>
        </w:rPr>
        <w:t>File 3: fundamentals.csv</w:t>
      </w:r>
      <w:r>
        <w:t xml:space="preserve"> — Firm-level accounting data (Bloomberg BSRP/EMRP)</w:t>
      </w:r>
    </w:p>
    <w:tbl>
      <w:tblPr>
        <w:tblStyle w:val="Table"/>
        <w:tblW w:w="5000" w:type="pct"/>
        <w:tblLook w:val="0020" w:firstRow="1" w:lastRow="0" w:firstColumn="0" w:lastColumn="0" w:noHBand="0" w:noVBand="0"/>
      </w:tblPr>
      <w:tblGrid>
        <w:gridCol w:w="2394"/>
        <w:gridCol w:w="3951"/>
        <w:gridCol w:w="3231"/>
      </w:tblGrid>
      <w:tr w:rsidR="00115D45" w14:paraId="4C62ABF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BFB" w14:textId="77777777" w:rsidR="00115D45" w:rsidRDefault="00000000">
            <w:pPr>
              <w:pStyle w:val="Compact"/>
            </w:pPr>
            <w:r>
              <w:t>Column</w:t>
            </w:r>
          </w:p>
        </w:tc>
        <w:tc>
          <w:tcPr>
            <w:tcW w:w="0" w:type="auto"/>
          </w:tcPr>
          <w:p w14:paraId="4C62ABFC" w14:textId="77777777" w:rsidR="00115D45" w:rsidRDefault="00000000">
            <w:pPr>
              <w:pStyle w:val="Compact"/>
            </w:pPr>
            <w:r>
              <w:t>Bloomberg Field</w:t>
            </w:r>
          </w:p>
        </w:tc>
        <w:tc>
          <w:tcPr>
            <w:tcW w:w="0" w:type="auto"/>
          </w:tcPr>
          <w:p w14:paraId="4C62ABFD" w14:textId="77777777" w:rsidR="00115D45" w:rsidRDefault="00000000">
            <w:pPr>
              <w:pStyle w:val="Compact"/>
            </w:pPr>
            <w:r>
              <w:t>Notes</w:t>
            </w:r>
          </w:p>
        </w:tc>
      </w:tr>
      <w:tr w:rsidR="00115D45" w14:paraId="4C62AC02" w14:textId="77777777">
        <w:tc>
          <w:tcPr>
            <w:tcW w:w="0" w:type="auto"/>
          </w:tcPr>
          <w:p w14:paraId="4C62ABFF" w14:textId="77777777" w:rsidR="00115D45" w:rsidRDefault="00000000">
            <w:pPr>
              <w:pStyle w:val="Compact"/>
            </w:pPr>
            <w:r>
              <w:rPr>
                <w:rStyle w:val="VerbatimChar"/>
              </w:rPr>
              <w:t>ticker</w:t>
            </w:r>
          </w:p>
        </w:tc>
        <w:tc>
          <w:tcPr>
            <w:tcW w:w="0" w:type="auto"/>
          </w:tcPr>
          <w:p w14:paraId="4C62AC00" w14:textId="77777777" w:rsidR="00115D45" w:rsidRDefault="00000000">
            <w:pPr>
              <w:pStyle w:val="Compact"/>
            </w:pPr>
            <w:r>
              <w:t>Ticker</w:t>
            </w:r>
          </w:p>
        </w:tc>
        <w:tc>
          <w:tcPr>
            <w:tcW w:w="0" w:type="auto"/>
          </w:tcPr>
          <w:p w14:paraId="4C62AC01" w14:textId="77777777" w:rsidR="00115D45" w:rsidRDefault="00000000">
            <w:pPr>
              <w:pStyle w:val="Compact"/>
            </w:pPr>
            <w:r>
              <w:t>One row per ticker per fiscal period</w:t>
            </w:r>
          </w:p>
        </w:tc>
      </w:tr>
      <w:tr w:rsidR="00115D45" w14:paraId="4C62AC06" w14:textId="77777777">
        <w:tc>
          <w:tcPr>
            <w:tcW w:w="0" w:type="auto"/>
          </w:tcPr>
          <w:p w14:paraId="4C62AC03" w14:textId="77777777" w:rsidR="00115D45" w:rsidRDefault="00000000">
            <w:pPr>
              <w:pStyle w:val="Compact"/>
            </w:pPr>
            <w:r>
              <w:rPr>
                <w:rStyle w:val="VerbatimChar"/>
              </w:rPr>
              <w:t>period_end</w:t>
            </w:r>
          </w:p>
        </w:tc>
        <w:tc>
          <w:tcPr>
            <w:tcW w:w="0" w:type="auto"/>
          </w:tcPr>
          <w:p w14:paraId="4C62AC04" w14:textId="77777777" w:rsidR="00115D45" w:rsidRDefault="00000000">
            <w:pPr>
              <w:pStyle w:val="Compact"/>
            </w:pPr>
            <w:r>
              <w:t>ANNOUNCEMENT_DT or FISCAL_YEAR_END</w:t>
            </w:r>
          </w:p>
        </w:tc>
        <w:tc>
          <w:tcPr>
            <w:tcW w:w="0" w:type="auto"/>
          </w:tcPr>
          <w:p w14:paraId="4C62AC05" w14:textId="77777777" w:rsidR="00115D45" w:rsidRDefault="00000000">
            <w:pPr>
              <w:pStyle w:val="Compact"/>
            </w:pPr>
            <w:r>
              <w:t>Used to compute 45-day availability lag</w:t>
            </w:r>
          </w:p>
        </w:tc>
      </w:tr>
      <w:tr w:rsidR="00115D45" w14:paraId="4C62AC0A" w14:textId="77777777">
        <w:tc>
          <w:tcPr>
            <w:tcW w:w="0" w:type="auto"/>
          </w:tcPr>
          <w:p w14:paraId="4C62AC07" w14:textId="77777777" w:rsidR="00115D45" w:rsidRDefault="00000000">
            <w:pPr>
              <w:pStyle w:val="Compact"/>
            </w:pPr>
            <w:r>
              <w:rPr>
                <w:rStyle w:val="VerbatimChar"/>
              </w:rPr>
              <w:t>shares_outstanding</w:t>
            </w:r>
          </w:p>
        </w:tc>
        <w:tc>
          <w:tcPr>
            <w:tcW w:w="0" w:type="auto"/>
          </w:tcPr>
          <w:p w14:paraId="4C62AC08" w14:textId="77777777" w:rsidR="00115D45" w:rsidRDefault="00000000">
            <w:pPr>
              <w:pStyle w:val="Compact"/>
            </w:pPr>
            <w:r>
              <w:t>BS_SH_OUT</w:t>
            </w:r>
          </w:p>
        </w:tc>
        <w:tc>
          <w:tcPr>
            <w:tcW w:w="0" w:type="auto"/>
          </w:tcPr>
          <w:p w14:paraId="4C62AC09" w14:textId="77777777" w:rsidR="00115D45" w:rsidRDefault="00000000">
            <w:pPr>
              <w:pStyle w:val="Compact"/>
            </w:pPr>
            <w:r>
              <w:t>For turnover calculation</w:t>
            </w:r>
          </w:p>
        </w:tc>
      </w:tr>
      <w:tr w:rsidR="00115D45" w14:paraId="4C62AC0E" w14:textId="77777777">
        <w:tc>
          <w:tcPr>
            <w:tcW w:w="0" w:type="auto"/>
          </w:tcPr>
          <w:p w14:paraId="4C62AC0B" w14:textId="77777777" w:rsidR="00115D45" w:rsidRDefault="00000000">
            <w:pPr>
              <w:pStyle w:val="Compact"/>
            </w:pPr>
            <w:r>
              <w:rPr>
                <w:rStyle w:val="VerbatimChar"/>
              </w:rPr>
              <w:t>market_cap</w:t>
            </w:r>
          </w:p>
        </w:tc>
        <w:tc>
          <w:tcPr>
            <w:tcW w:w="0" w:type="auto"/>
          </w:tcPr>
          <w:p w14:paraId="4C62AC0C" w14:textId="77777777" w:rsidR="00115D45" w:rsidRDefault="00000000">
            <w:pPr>
              <w:pStyle w:val="Compact"/>
            </w:pPr>
            <w:r>
              <w:t>CUR_MKT_CAP</w:t>
            </w:r>
          </w:p>
        </w:tc>
        <w:tc>
          <w:tcPr>
            <w:tcW w:w="0" w:type="auto"/>
          </w:tcPr>
          <w:p w14:paraId="4C62AC0D" w14:textId="77777777" w:rsidR="00115D45" w:rsidRDefault="00000000">
            <w:pPr>
              <w:pStyle w:val="Compact"/>
            </w:pPr>
            <w:r>
              <w:t>Or compute as shares × price</w:t>
            </w:r>
          </w:p>
        </w:tc>
      </w:tr>
      <w:tr w:rsidR="00115D45" w14:paraId="4C62AC12" w14:textId="77777777">
        <w:tc>
          <w:tcPr>
            <w:tcW w:w="0" w:type="auto"/>
          </w:tcPr>
          <w:p w14:paraId="4C62AC0F" w14:textId="77777777" w:rsidR="00115D45" w:rsidRDefault="00000000">
            <w:pPr>
              <w:pStyle w:val="Compact"/>
            </w:pPr>
            <w:r>
              <w:rPr>
                <w:rStyle w:val="VerbatimChar"/>
              </w:rPr>
              <w:t>book_value</w:t>
            </w:r>
          </w:p>
        </w:tc>
        <w:tc>
          <w:tcPr>
            <w:tcW w:w="0" w:type="auto"/>
          </w:tcPr>
          <w:p w14:paraId="4C62AC10" w14:textId="77777777" w:rsidR="00115D45" w:rsidRDefault="00000000">
            <w:pPr>
              <w:pStyle w:val="Compact"/>
            </w:pPr>
            <w:r>
              <w:t>BOOK_VAL_PER_SH × shares</w:t>
            </w:r>
          </w:p>
        </w:tc>
        <w:tc>
          <w:tcPr>
            <w:tcW w:w="0" w:type="auto"/>
          </w:tcPr>
          <w:p w14:paraId="4C62AC11" w14:textId="77777777" w:rsidR="00115D45" w:rsidRDefault="00000000">
            <w:pPr>
              <w:pStyle w:val="Compact"/>
            </w:pPr>
            <w:r>
              <w:t>For market-to-book</w:t>
            </w:r>
          </w:p>
        </w:tc>
      </w:tr>
      <w:tr w:rsidR="00115D45" w14:paraId="4C62AC16" w14:textId="77777777">
        <w:tc>
          <w:tcPr>
            <w:tcW w:w="0" w:type="auto"/>
          </w:tcPr>
          <w:p w14:paraId="4C62AC13" w14:textId="77777777" w:rsidR="00115D45" w:rsidRDefault="00000000">
            <w:pPr>
              <w:pStyle w:val="Compact"/>
            </w:pPr>
            <w:r>
              <w:rPr>
                <w:rStyle w:val="VerbatimChar"/>
              </w:rPr>
              <w:t>total_debt</w:t>
            </w:r>
          </w:p>
        </w:tc>
        <w:tc>
          <w:tcPr>
            <w:tcW w:w="0" w:type="auto"/>
          </w:tcPr>
          <w:p w14:paraId="4C62AC14" w14:textId="77777777" w:rsidR="00115D45" w:rsidRDefault="00000000">
            <w:pPr>
              <w:pStyle w:val="Compact"/>
            </w:pPr>
            <w:r>
              <w:t>BS_TOT_LIAB2</w:t>
            </w:r>
          </w:p>
        </w:tc>
        <w:tc>
          <w:tcPr>
            <w:tcW w:w="0" w:type="auto"/>
          </w:tcPr>
          <w:p w14:paraId="4C62AC15" w14:textId="77777777" w:rsidR="00115D45" w:rsidRDefault="00000000">
            <w:pPr>
              <w:pStyle w:val="Compact"/>
            </w:pPr>
            <w:r>
              <w:t>For leverage</w:t>
            </w:r>
          </w:p>
        </w:tc>
      </w:tr>
      <w:tr w:rsidR="00115D45" w14:paraId="4C62AC1A" w14:textId="77777777">
        <w:tc>
          <w:tcPr>
            <w:tcW w:w="0" w:type="auto"/>
          </w:tcPr>
          <w:p w14:paraId="4C62AC17" w14:textId="77777777" w:rsidR="00115D45" w:rsidRDefault="00000000">
            <w:pPr>
              <w:pStyle w:val="Compact"/>
            </w:pPr>
            <w:r>
              <w:rPr>
                <w:rStyle w:val="VerbatimChar"/>
              </w:rPr>
              <w:t>total_assets</w:t>
            </w:r>
          </w:p>
        </w:tc>
        <w:tc>
          <w:tcPr>
            <w:tcW w:w="0" w:type="auto"/>
          </w:tcPr>
          <w:p w14:paraId="4C62AC18" w14:textId="77777777" w:rsidR="00115D45" w:rsidRDefault="00000000">
            <w:pPr>
              <w:pStyle w:val="Compact"/>
            </w:pPr>
            <w:r>
              <w:t>BS_TOT_ASSET</w:t>
            </w:r>
          </w:p>
        </w:tc>
        <w:tc>
          <w:tcPr>
            <w:tcW w:w="0" w:type="auto"/>
          </w:tcPr>
          <w:p w14:paraId="4C62AC19" w14:textId="77777777" w:rsidR="00115D45" w:rsidRDefault="00000000">
            <w:pPr>
              <w:pStyle w:val="Compact"/>
            </w:pPr>
            <w:r>
              <w:t>For leverage and ROA</w:t>
            </w:r>
          </w:p>
        </w:tc>
      </w:tr>
      <w:tr w:rsidR="00115D45" w14:paraId="4C62AC1E" w14:textId="77777777">
        <w:tc>
          <w:tcPr>
            <w:tcW w:w="0" w:type="auto"/>
          </w:tcPr>
          <w:p w14:paraId="4C62AC1B" w14:textId="77777777" w:rsidR="00115D45" w:rsidRDefault="00000000">
            <w:pPr>
              <w:pStyle w:val="Compact"/>
            </w:pPr>
            <w:r>
              <w:rPr>
                <w:rStyle w:val="VerbatimChar"/>
              </w:rPr>
              <w:t>net_income</w:t>
            </w:r>
          </w:p>
        </w:tc>
        <w:tc>
          <w:tcPr>
            <w:tcW w:w="0" w:type="auto"/>
          </w:tcPr>
          <w:p w14:paraId="4C62AC1C" w14:textId="77777777" w:rsidR="00115D45" w:rsidRDefault="00000000">
            <w:pPr>
              <w:pStyle w:val="Compact"/>
            </w:pPr>
            <w:r>
              <w:t>NET_INCOME</w:t>
            </w:r>
          </w:p>
        </w:tc>
        <w:tc>
          <w:tcPr>
            <w:tcW w:w="0" w:type="auto"/>
          </w:tcPr>
          <w:p w14:paraId="4C62AC1D" w14:textId="77777777" w:rsidR="00115D45" w:rsidRDefault="00000000">
            <w:pPr>
              <w:pStyle w:val="Compact"/>
            </w:pPr>
            <w:r>
              <w:t>Trailing twelve months</w:t>
            </w:r>
          </w:p>
        </w:tc>
      </w:tr>
    </w:tbl>
    <w:p w14:paraId="4C62AC1F" w14:textId="77777777" w:rsidR="00115D45" w:rsidRDefault="00000000">
      <w:pPr>
        <w:pStyle w:val="BodyText"/>
      </w:pPr>
      <w:r>
        <w:rPr>
          <w:b/>
          <w:bCs/>
        </w:rPr>
        <w:t>File 4: controversies.csv</w:t>
      </w:r>
      <w:r>
        <w:t xml:space="preserve"> — ESG controversy scores (Bloomberg ESG EVIC panel)</w:t>
      </w:r>
    </w:p>
    <w:tbl>
      <w:tblPr>
        <w:tblStyle w:val="Table"/>
        <w:tblW w:w="5000" w:type="pct"/>
        <w:tblLook w:val="0020" w:firstRow="1" w:lastRow="0" w:firstColumn="0" w:lastColumn="0" w:noHBand="0" w:noVBand="0"/>
      </w:tblPr>
      <w:tblGrid>
        <w:gridCol w:w="2273"/>
        <w:gridCol w:w="3087"/>
        <w:gridCol w:w="4216"/>
      </w:tblGrid>
      <w:tr w:rsidR="00115D45" w14:paraId="4C62AC2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62AC20" w14:textId="77777777" w:rsidR="00115D45" w:rsidRDefault="00000000">
            <w:pPr>
              <w:pStyle w:val="Compact"/>
            </w:pPr>
            <w:r>
              <w:t>Column</w:t>
            </w:r>
          </w:p>
        </w:tc>
        <w:tc>
          <w:tcPr>
            <w:tcW w:w="0" w:type="auto"/>
          </w:tcPr>
          <w:p w14:paraId="4C62AC21" w14:textId="77777777" w:rsidR="00115D45" w:rsidRDefault="00000000">
            <w:pPr>
              <w:pStyle w:val="Compact"/>
            </w:pPr>
            <w:r>
              <w:t>Bloomberg Field</w:t>
            </w:r>
          </w:p>
        </w:tc>
        <w:tc>
          <w:tcPr>
            <w:tcW w:w="0" w:type="auto"/>
          </w:tcPr>
          <w:p w14:paraId="4C62AC22" w14:textId="77777777" w:rsidR="00115D45" w:rsidRDefault="00000000">
            <w:pPr>
              <w:pStyle w:val="Compact"/>
            </w:pPr>
            <w:r>
              <w:t>Notes</w:t>
            </w:r>
          </w:p>
        </w:tc>
      </w:tr>
      <w:tr w:rsidR="00115D45" w14:paraId="4C62AC27" w14:textId="77777777">
        <w:tc>
          <w:tcPr>
            <w:tcW w:w="0" w:type="auto"/>
          </w:tcPr>
          <w:p w14:paraId="4C62AC24" w14:textId="77777777" w:rsidR="00115D45" w:rsidRDefault="00000000">
            <w:pPr>
              <w:pStyle w:val="Compact"/>
            </w:pPr>
            <w:r>
              <w:rPr>
                <w:rStyle w:val="VerbatimChar"/>
              </w:rPr>
              <w:t>ticker</w:t>
            </w:r>
          </w:p>
        </w:tc>
        <w:tc>
          <w:tcPr>
            <w:tcW w:w="0" w:type="auto"/>
          </w:tcPr>
          <w:p w14:paraId="4C62AC25" w14:textId="77777777" w:rsidR="00115D45" w:rsidRDefault="00000000">
            <w:pPr>
              <w:pStyle w:val="Compact"/>
            </w:pPr>
            <w:r>
              <w:t>Ticker</w:t>
            </w:r>
          </w:p>
        </w:tc>
        <w:tc>
          <w:tcPr>
            <w:tcW w:w="0" w:type="auto"/>
          </w:tcPr>
          <w:p w14:paraId="4C62AC26" w14:textId="77777777" w:rsidR="00115D45" w:rsidRDefault="00115D45"/>
        </w:tc>
      </w:tr>
      <w:tr w:rsidR="00115D45" w14:paraId="4C62AC2B" w14:textId="77777777">
        <w:tc>
          <w:tcPr>
            <w:tcW w:w="0" w:type="auto"/>
          </w:tcPr>
          <w:p w14:paraId="4C62AC28" w14:textId="77777777" w:rsidR="00115D45" w:rsidRDefault="00000000">
            <w:pPr>
              <w:pStyle w:val="Compact"/>
            </w:pPr>
            <w:r>
              <w:rPr>
                <w:rStyle w:val="VerbatimChar"/>
              </w:rPr>
              <w:t>date</w:t>
            </w:r>
          </w:p>
        </w:tc>
        <w:tc>
          <w:tcPr>
            <w:tcW w:w="0" w:type="auto"/>
          </w:tcPr>
          <w:p w14:paraId="4C62AC29" w14:textId="77777777" w:rsidR="00115D45" w:rsidRDefault="00000000">
            <w:pPr>
              <w:pStyle w:val="Compact"/>
            </w:pPr>
            <w:r>
              <w:t>Date</w:t>
            </w:r>
          </w:p>
        </w:tc>
        <w:tc>
          <w:tcPr>
            <w:tcW w:w="0" w:type="auto"/>
          </w:tcPr>
          <w:p w14:paraId="4C62AC2A" w14:textId="77777777" w:rsidR="00115D45" w:rsidRDefault="00000000">
            <w:pPr>
              <w:pStyle w:val="Compact"/>
            </w:pPr>
            <w:r>
              <w:t>Monthly (last business day)</w:t>
            </w:r>
          </w:p>
        </w:tc>
      </w:tr>
      <w:tr w:rsidR="00115D45" w14:paraId="4C62AC2F" w14:textId="77777777">
        <w:tc>
          <w:tcPr>
            <w:tcW w:w="0" w:type="auto"/>
          </w:tcPr>
          <w:p w14:paraId="4C62AC2C" w14:textId="77777777" w:rsidR="00115D45" w:rsidRDefault="00000000">
            <w:pPr>
              <w:pStyle w:val="Compact"/>
            </w:pPr>
            <w:r>
              <w:rPr>
                <w:rStyle w:val="VerbatimChar"/>
              </w:rPr>
              <w:t>controversy_score</w:t>
            </w:r>
          </w:p>
        </w:tc>
        <w:tc>
          <w:tcPr>
            <w:tcW w:w="0" w:type="auto"/>
          </w:tcPr>
          <w:p w14:paraId="4C62AC2D" w14:textId="77777777" w:rsidR="00115D45" w:rsidRDefault="00000000">
            <w:pPr>
              <w:pStyle w:val="Compact"/>
            </w:pPr>
            <w:r>
              <w:t>ESG_CONTROVERSY_SCORE</w:t>
            </w:r>
          </w:p>
        </w:tc>
        <w:tc>
          <w:tcPr>
            <w:tcW w:w="0" w:type="auto"/>
          </w:tcPr>
          <w:p w14:paraId="4C62AC2E" w14:textId="77777777" w:rsidR="00115D45" w:rsidRDefault="00000000">
            <w:pPr>
              <w:pStyle w:val="Compact"/>
            </w:pPr>
            <w:r>
              <w:t>Range 0–10, higher = more controversial</w:t>
            </w:r>
          </w:p>
        </w:tc>
      </w:tr>
      <w:tr w:rsidR="00115D45" w14:paraId="4C62AC33" w14:textId="77777777">
        <w:tc>
          <w:tcPr>
            <w:tcW w:w="0" w:type="auto"/>
          </w:tcPr>
          <w:p w14:paraId="4C62AC30" w14:textId="77777777" w:rsidR="00115D45" w:rsidRDefault="00000000">
            <w:pPr>
              <w:pStyle w:val="Compact"/>
            </w:pPr>
            <w:r>
              <w:rPr>
                <w:rStyle w:val="VerbatimChar"/>
              </w:rPr>
              <w:t>sector</w:t>
            </w:r>
          </w:p>
        </w:tc>
        <w:tc>
          <w:tcPr>
            <w:tcW w:w="0" w:type="auto"/>
          </w:tcPr>
          <w:p w14:paraId="4C62AC31" w14:textId="77777777" w:rsidR="00115D45" w:rsidRDefault="00000000">
            <w:pPr>
              <w:pStyle w:val="Compact"/>
            </w:pPr>
            <w:r>
              <w:t>GICS_SECTOR_NAME</w:t>
            </w:r>
          </w:p>
        </w:tc>
        <w:tc>
          <w:tcPr>
            <w:tcW w:w="0" w:type="auto"/>
          </w:tcPr>
          <w:p w14:paraId="4C62AC32" w14:textId="77777777" w:rsidR="00115D45" w:rsidRDefault="00000000">
            <w:pPr>
              <w:pStyle w:val="Compact"/>
            </w:pPr>
            <w:r>
              <w:t>For sector-percentile computation</w:t>
            </w:r>
          </w:p>
        </w:tc>
      </w:tr>
    </w:tbl>
    <w:p w14:paraId="4C62AC34" w14:textId="77777777" w:rsidR="00115D45" w:rsidRDefault="00000000">
      <w:r>
        <w:pict w14:anchorId="4C62AC45">
          <v:rect id="_x0000_i1034" style="width:0;height:1.5pt" o:hralign="center" o:hrstd="t" o:hr="t"/>
        </w:pict>
      </w:r>
    </w:p>
    <w:p w14:paraId="4C62AC35" w14:textId="77777777" w:rsidR="00115D45" w:rsidRDefault="00000000">
      <w:pPr>
        <w:pStyle w:val="Heading2"/>
      </w:pPr>
      <w:bookmarkStart w:id="39" w:name="references"/>
      <w:bookmarkEnd w:id="38"/>
      <w:r>
        <w:t>References</w:t>
      </w:r>
    </w:p>
    <w:p w14:paraId="4C62AC36" w14:textId="77777777" w:rsidR="00115D45" w:rsidRDefault="00000000">
      <w:pPr>
        <w:pStyle w:val="FirstParagraph"/>
      </w:pPr>
      <w:r>
        <w:t xml:space="preserve">Chen, J., Hong, H. and Stein, J.C. (2001) ‘Forecasting crashes: trading volume, past returns, and conditional skewness in stock prices’, </w:t>
      </w:r>
      <w:r>
        <w:rPr>
          <w:i/>
          <w:iCs/>
        </w:rPr>
        <w:t>Journal of Financial Economics</w:t>
      </w:r>
      <w:r>
        <w:t>, 61(3), pp. 345–381.</w:t>
      </w:r>
    </w:p>
    <w:p w14:paraId="4C62AC37" w14:textId="77777777" w:rsidR="00115D45" w:rsidRDefault="00000000">
      <w:pPr>
        <w:pStyle w:val="BodyText"/>
      </w:pPr>
      <w:r>
        <w:t xml:space="preserve">Duffee, G.R. (1995) ‘Stock returns and volatility: a firm-level analysis’, </w:t>
      </w:r>
      <w:r>
        <w:rPr>
          <w:i/>
          <w:iCs/>
        </w:rPr>
        <w:t>Journal of Financial Economics</w:t>
      </w:r>
      <w:r>
        <w:t>, 37(3), pp. 399–420.</w:t>
      </w:r>
    </w:p>
    <w:p w14:paraId="4C62AC38" w14:textId="77777777" w:rsidR="00115D45" w:rsidRDefault="00000000">
      <w:pPr>
        <w:pStyle w:val="BodyText"/>
      </w:pPr>
      <w:r>
        <w:t xml:space="preserve">Harvey, C.R. and Siddique, A. (2000) ‘Conditional skewness in asset pricing tests’, </w:t>
      </w:r>
      <w:r>
        <w:rPr>
          <w:i/>
          <w:iCs/>
        </w:rPr>
        <w:t>Journal of Finance</w:t>
      </w:r>
      <w:r>
        <w:t>, 55(3), pp. 1263–1295.</w:t>
      </w:r>
    </w:p>
    <w:p w14:paraId="4C62AC39" w14:textId="77777777" w:rsidR="00115D45" w:rsidRDefault="00000000">
      <w:pPr>
        <w:pStyle w:val="BodyText"/>
      </w:pPr>
      <w:r>
        <w:t xml:space="preserve">Kim, J.B., Li, Y. and Zhang, L. (2014) ‘Corporate tax avoidance and stock price crash risk: firm-level analysis’, </w:t>
      </w:r>
      <w:r>
        <w:rPr>
          <w:i/>
          <w:iCs/>
        </w:rPr>
        <w:t>Journal of Financial Economics</w:t>
      </w:r>
      <w:r>
        <w:t>, 100(3), pp. 639–662.</w:t>
      </w:r>
    </w:p>
    <w:p w14:paraId="4C62AC3A" w14:textId="77777777" w:rsidR="00115D45" w:rsidRDefault="00000000">
      <w:pPr>
        <w:pStyle w:val="BodyText"/>
      </w:pPr>
      <w:r>
        <w:t xml:space="preserve">Loughran, T. and McDonald, B. (2011) ‘When is a liability not a liability? Textual analysis, dictionaries, and 10-Ks’, </w:t>
      </w:r>
      <w:r>
        <w:rPr>
          <w:i/>
          <w:iCs/>
        </w:rPr>
        <w:t>Journal of Finance</w:t>
      </w:r>
      <w:r>
        <w:t>, 66(1), pp. 35–65.</w:t>
      </w:r>
    </w:p>
    <w:p w14:paraId="4C62AC3B" w14:textId="77777777" w:rsidR="00115D45" w:rsidRDefault="00000000">
      <w:pPr>
        <w:pStyle w:val="BodyText"/>
      </w:pPr>
      <w:r>
        <w:lastRenderedPageBreak/>
        <w:t xml:space="preserve">scikit-learn developers (2024) </w:t>
      </w:r>
      <w:r>
        <w:rPr>
          <w:i/>
          <w:iCs/>
        </w:rPr>
        <w:t>scikit-learn: Machine Learning in Python</w:t>
      </w:r>
      <w:r>
        <w:t>, version 1.5. Available at: https://scikit-learn.org (Accessed: April 2026).</w:t>
      </w:r>
      <w:bookmarkEnd w:id="0"/>
      <w:bookmarkEnd w:id="39"/>
    </w:p>
    <w:sectPr w:rsidR="00115D4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E68B8" w14:textId="77777777" w:rsidR="00810EC6" w:rsidRDefault="00810EC6">
      <w:pPr>
        <w:spacing w:after="0"/>
      </w:pPr>
      <w:r>
        <w:separator/>
      </w:r>
    </w:p>
  </w:endnote>
  <w:endnote w:type="continuationSeparator" w:id="0">
    <w:p w14:paraId="60F970DA" w14:textId="77777777" w:rsidR="00810EC6" w:rsidRDefault="00810E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95017" w14:textId="77777777" w:rsidR="00810EC6" w:rsidRDefault="00810EC6">
      <w:r>
        <w:separator/>
      </w:r>
    </w:p>
  </w:footnote>
  <w:footnote w:type="continuationSeparator" w:id="0">
    <w:p w14:paraId="10FD8B39" w14:textId="77777777" w:rsidR="00810EC6" w:rsidRDefault="00810E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5240EF6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FF0AC32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D7A677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29672618">
    <w:abstractNumId w:val="1"/>
  </w:num>
  <w:num w:numId="2" w16cid:durableId="13446987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0744664">
    <w:abstractNumId w:val="2"/>
  </w:num>
  <w:num w:numId="4" w16cid:durableId="1653485604">
    <w:abstractNumId w:val="2"/>
  </w:num>
  <w:num w:numId="5" w16cid:durableId="458499630">
    <w:abstractNumId w:val="2"/>
  </w:num>
  <w:num w:numId="6" w16cid:durableId="1697196753">
    <w:abstractNumId w:val="2"/>
  </w:num>
  <w:num w:numId="7" w16cid:durableId="643968457">
    <w:abstractNumId w:val="2"/>
  </w:num>
  <w:num w:numId="8" w16cid:durableId="8937375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4476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55169933">
    <w:abstractNumId w:val="2"/>
  </w:num>
  <w:num w:numId="11" w16cid:durableId="18744150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07258">
    <w:abstractNumId w:val="2"/>
  </w:num>
  <w:num w:numId="13" w16cid:durableId="11488608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15D45"/>
    <w:rsid w:val="002935DC"/>
    <w:rsid w:val="004E29B3"/>
    <w:rsid w:val="00590D07"/>
    <w:rsid w:val="00784D58"/>
    <w:rsid w:val="00810EC6"/>
    <w:rsid w:val="008D6863"/>
    <w:rsid w:val="00B86B75"/>
    <w:rsid w:val="00BC48D5"/>
    <w:rsid w:val="00C36279"/>
    <w:rsid w:val="00D03335"/>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2A7DA"/>
  <w15:docId w15:val="{02AE2D77-3495-43F6-AD6E-B7137E46E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24</Pages>
  <Words>6548</Words>
  <Characters>37327</Characters>
  <Application>Microsoft Office Word</Application>
  <DocSecurity>0</DocSecurity>
  <Lines>311</Lines>
  <Paragraphs>87</Paragraphs>
  <ScaleCrop>false</ScaleCrop>
  <Company/>
  <LinksUpToDate>false</LinksUpToDate>
  <CharactersWithSpaces>43788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abhishek nair</cp:lastModifiedBy>
  <cp:revision>2</cp:revision>
  <dcterms:created xsi:type="dcterms:W3CDTF">2026-04-14T18:37:00Z</dcterms:created>
  <dcterms:modified xsi:type="dcterms:W3CDTF">2026-04-14T18:39:00Z</dcterms:modified>
</cp:coreProperties>
</file>