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SOP: Code Review and Git Workflow</w:t>
      </w:r>
    </w:p>
    <w:p>
      <w:pPr>
        <w:pStyle w:val="Heading2"/>
      </w:pPr>
      <w:r>
        <w:t>1. Branching Strategy</w:t>
      </w:r>
    </w:p>
    <w:p>
      <w:r>
        <w:t xml:space="preserve">All engineering work must originate from isolated short-lived branches. Use the convention </w:t>
      </w:r>
      <w:r>
        <w:rPr>
          <w:b/>
        </w:rPr>
        <w:t>feature/your-feature-name</w:t>
      </w:r>
      <w:r>
        <w:t>. Do not push direct commits onto the dev or main branch pathways.</w:t>
      </w:r>
    </w:p>
    <w:p>
      <w:pPr>
        <w:pStyle w:val="Heading2"/>
      </w:pPr>
      <w:r>
        <w:t>2. Pull Request Guidelines</w:t>
      </w:r>
    </w:p>
    <w:p>
      <w:r>
        <w:t>Before requesting a merge from feature/* into dev, ensure that all unit tests execute and pass successfully locally. A minimum of two peer code reviews is required to clear the quality gate before ultimate branch merging.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