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60" w:line="264" w:lineRule="auto"/>
        <w:jc w:val="left"/>
      </w:pPr>
      <w:r>
        <w:rPr>
          <w:rFonts w:ascii="Liberation Sans" w:hAnsi="Liberation Sans"/>
          <w:b/>
          <w:color w:val="A27D42"/>
          <w:sz w:val="16"/>
        </w:rPr>
        <w:t>BEST HACKS 2026   /   SZTUKA · HISTORIA · TRADYCJA</w:t>
      </w:r>
    </w:p>
    <w:p>
      <w:pPr>
        <w:widowControl/>
        <w:spacing w:before="0" w:after="40" w:line="240" w:lineRule="auto"/>
        <w:jc w:val="left"/>
      </w:pPr>
      <w:r>
        <w:rPr>
          <w:rFonts w:ascii="Liberation Sans" w:hAnsi="Liberation Sans"/>
          <w:b/>
          <w:color w:val="203D34"/>
          <w:sz w:val="58"/>
        </w:rPr>
        <w:t>DZIEDZICTWO</w:t>
      </w:r>
    </w:p>
    <w:p>
      <w:pPr>
        <w:widowControl/>
        <w:spacing w:before="0" w:after="120" w:line="264" w:lineRule="auto"/>
        <w:jc w:val="left"/>
      </w:pPr>
      <w:r>
        <w:rPr>
          <w:rFonts w:ascii="Liberation Sans" w:hAnsi="Liberation Sans"/>
          <w:b/>
          <w:color w:val="203D34"/>
          <w:sz w:val="24"/>
        </w:rPr>
        <w:t>Pokoloruj sztukę. Odkryj historię. Ożyw swój dom.</w:t>
      </w:r>
    </w:p>
    <w:p>
      <w:pPr>
        <w:widowControl/>
        <w:spacing w:before="0" w:after="120" w:line="278" w:lineRule="auto"/>
        <w:jc w:val="both"/>
      </w:pPr>
      <w:r>
        <w:rPr>
          <w:rFonts w:ascii="Liberation Sans" w:hAnsi="Liberation Sans"/>
          <w:b w:val="0"/>
          <w:color w:val="28332D"/>
          <w:sz w:val="20"/>
        </w:rPr>
        <w:t>Gra przeglądarkowa, która łączy odkrywanie polskiego malarstwa z kolorowaniem po numerach i rozwojem własnego wirtualnego domu. Każde ukończone dzieło staje się częścią osobistej kolekcji i przybliża jego historię.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rPr>
          <w:cantSplit/>
        </w:trPr>
        <w:tc>
          <w:tcPr>
            <w:tcW w:type="dxa" w:w="10431"/>
            <w:tcMar>
              <w:top w:w="0" w:type="dxa"/>
              <w:start w:w="0" w:type="dxa"/>
              <w:bottom w:w="0" w:type="dxa"/>
              <w:end w:w="0" w:type="dxa"/>
            </w:tcMar>
            <w:vAlign w:val="top"/>
            <w:shd w:fill="EEF1EA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8"/>
              </w:rPr>
              <w:t>83 DZIEŁA     •     4 EPOKI     •     47 DEKORACJI     •     PLANSZE 32×32</w:t>
            </w:r>
          </w:p>
        </w:tc>
      </w:tr>
    </w:tbl>
    <w:p>
      <w:pPr>
        <w:keepNext/>
        <w:widowControl/>
        <w:spacing w:before="120" w:after="80" w:line="264" w:lineRule="auto"/>
        <w:jc w:val="left"/>
      </w:pPr>
      <w:r>
        <w:rPr>
          <w:rFonts w:ascii="Liberation Sans" w:hAnsi="Liberation Sans"/>
          <w:b/>
          <w:color w:val="203D34"/>
          <w:sz w:val="21"/>
        </w:rPr>
        <w:t>Od pustego pokoju do własnego muzeum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73"/>
        <w:gridCol w:w="142"/>
        <w:gridCol w:w="1973"/>
        <w:gridCol w:w="142"/>
        <w:gridCol w:w="1973"/>
        <w:gridCol w:w="142"/>
        <w:gridCol w:w="1973"/>
        <w:gridCol w:w="142"/>
        <w:gridCol w:w="1973"/>
      </w:tblGrid>
      <w:tr>
        <w:trPr>
          <w:cantSplit/>
        </w:trPr>
        <w:tc>
          <w:tcPr>
            <w:tcW w:type="dxa" w:w="197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9573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star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95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5"/>
              </w:rPr>
              <w:t>01  POCZĄTEK</w:t>
            </w:r>
          </w:p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 w:val="0"/>
                <w:color w:val="687368"/>
                <w:sz w:val="14"/>
              </w:rPr>
              <w:t>Pokój czeka na odnowienie.</w:t>
            </w:r>
          </w:p>
        </w:tc>
        <w:tc>
          <w:tcPr>
            <w:tcW w:type="dxa" w:w="14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/>
              <w:spacing w:before="1420" w:after="0" w:line="264" w:lineRule="auto"/>
              <w:jc w:val="center"/>
            </w:pPr>
            <w:r>
              <w:rPr>
                <w:rFonts w:ascii="Liberation Sans" w:hAnsi="Liberation Sans"/>
                <w:b/>
                <w:color w:val="A27D42"/>
                <w:sz w:val="22"/>
              </w:rPr>
              <w:t>›</w:t>
            </w:r>
          </w:p>
        </w:tc>
        <w:tc>
          <w:tcPr>
            <w:tcW w:type="dxa" w:w="197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95739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color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95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5"/>
              </w:rPr>
              <w:t>02  KOLOROWANIE</w:t>
            </w:r>
          </w:p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 w:val="0"/>
                <w:color w:val="687368"/>
                <w:sz w:val="14"/>
              </w:rPr>
              <w:t>Przywracasz kolory dziełu.</w:t>
            </w:r>
          </w:p>
        </w:tc>
        <w:tc>
          <w:tcPr>
            <w:tcW w:type="dxa" w:w="14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/>
              <w:spacing w:before="1420" w:after="0" w:line="264" w:lineRule="auto"/>
              <w:jc w:val="center"/>
            </w:pPr>
            <w:r>
              <w:rPr>
                <w:rFonts w:ascii="Liberation Sans" w:hAnsi="Liberation Sans"/>
                <w:b/>
                <w:color w:val="A27D42"/>
                <w:sz w:val="22"/>
              </w:rPr>
              <w:t>›</w:t>
            </w:r>
          </w:p>
        </w:tc>
        <w:tc>
          <w:tcPr>
            <w:tcW w:type="dxa" w:w="197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9573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tor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95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5"/>
              </w:rPr>
              <w:t>03  OPOWIEŚĆ</w:t>
            </w:r>
          </w:p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 w:val="0"/>
                <w:color w:val="687368"/>
                <w:sz w:val="14"/>
              </w:rPr>
              <w:t>Poznajesz historię obrazu.</w:t>
            </w:r>
          </w:p>
        </w:tc>
        <w:tc>
          <w:tcPr>
            <w:tcW w:type="dxa" w:w="14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/>
              <w:spacing w:before="1420" w:after="0" w:line="264" w:lineRule="auto"/>
              <w:jc w:val="center"/>
            </w:pPr>
            <w:r>
              <w:rPr>
                <w:rFonts w:ascii="Liberation Sans" w:hAnsi="Liberation Sans"/>
                <w:b/>
                <w:color w:val="A27D42"/>
                <w:sz w:val="22"/>
              </w:rPr>
              <w:t>›</w:t>
            </w:r>
          </w:p>
        </w:tc>
        <w:tc>
          <w:tcPr>
            <w:tcW w:type="dxa" w:w="197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95739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librar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95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5"/>
              </w:rPr>
              <w:t>04  KOLEKCJA</w:t>
            </w:r>
          </w:p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 w:val="0"/>
                <w:color w:val="687368"/>
                <w:sz w:val="14"/>
              </w:rPr>
              <w:t>Zachowujesz odkryte dzieło.</w:t>
            </w:r>
          </w:p>
        </w:tc>
        <w:tc>
          <w:tcPr>
            <w:tcW w:type="dxa" w:w="142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widowControl/>
              <w:spacing w:before="1420" w:after="0" w:line="264" w:lineRule="auto"/>
              <w:jc w:val="center"/>
            </w:pPr>
            <w:r>
              <w:rPr>
                <w:rFonts w:ascii="Liberation Sans" w:hAnsi="Liberation Sans"/>
                <w:b/>
                <w:color w:val="A27D42"/>
                <w:sz w:val="22"/>
              </w:rPr>
              <w:t>›</w:t>
            </w:r>
          </w:p>
        </w:tc>
        <w:tc>
          <w:tcPr>
            <w:tcW w:type="dxa" w:w="1973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8000" cy="195739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fin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957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0" w:after="40" w:line="240" w:lineRule="auto"/>
              <w:jc w:val="center"/>
            </w:pPr>
            <w:r>
              <w:rPr>
                <w:rFonts w:ascii="Liberation Sans" w:hAnsi="Liberation Sans"/>
                <w:b/>
                <w:color w:val="203D34"/>
                <w:sz w:val="15"/>
              </w:rPr>
              <w:t>05  EFEKT</w:t>
            </w:r>
          </w:p>
          <w:p>
            <w:pPr>
              <w:widowControl/>
              <w:spacing w:before="0" w:after="0" w:line="264" w:lineRule="auto"/>
              <w:jc w:val="center"/>
            </w:pPr>
            <w:r>
              <w:rPr>
                <w:rFonts w:ascii="Liberation Sans" w:hAnsi="Liberation Sans"/>
                <w:b w:val="0"/>
                <w:color w:val="687368"/>
                <w:sz w:val="14"/>
              </w:rPr>
              <w:t>Urządzasz pokój epoki.</w:t>
            </w:r>
          </w:p>
        </w:tc>
      </w:tr>
    </w:tbl>
    <w:p>
      <w:pPr>
        <w:spacing w:after="20" w:before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46"/>
        <w:gridCol w:w="340"/>
        <w:gridCol w:w="5046"/>
      </w:tblGrid>
      <w:tr>
        <w:trPr>
          <w:cantSplit/>
        </w:trP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widowControl/>
              <w:spacing w:before="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Problem, na który odpowiadamy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Kontakt ze sztuką bywa bierny: oglądamy reprodukcję lub czytamy opis, ale brakuje nam powodu, żeby zatrzymać się przy dziele. Rozbudowane teksty, specjalistyczne pojęcia i brak kontekstu mogą utrudniać pierwszy krok. Projekt odpowiada na trzy bariery: wysoki próg wejścia, małą sprawczość odbiorcy i brak widocznego postępu. Kierujemy go do młodzieży i młodych dorosłych, zwłaszcza osób rozpoczynających przygodę ze sztuką i lubiących kreatywne gry mobilne.</w:t>
            </w:r>
          </w:p>
          <w:p>
            <w:pPr>
              <w:keepNext/>
              <w:widowControl/>
              <w:spacing w:before="12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Cel projektu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Chcemy rozbudzić ciekawość polskiego dziedzictwa i ułatwić poznawanie malarstwa bez wcześniejszej wiedzy. Łączymy spokojną, twórczą aktywność z krótką opowieścią o dziele oraz nagrodą widoczną we własnym domu. Dom jest metaforą odkrywanej kultury: im więcej obrazów poznajesz, tym bogatsza staje się Twoja przestrzeń.</w:t>
            </w:r>
          </w:p>
          <w:p>
            <w:pPr>
              <w:keepNext/>
              <w:widowControl/>
              <w:spacing w:before="12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Rozwiązanie i przebieg gry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Gracz wchodzi do domu, przechodzi przez hol i wybiera jeden z czterech pokojów: Oświecenie, Romantyzm, Pozytywizm lub Młoda Polska. W pracowni dobiera kolory i wypełnia piksele planszy 32×32. Ukończenie odsłania reprodukcję oraz historię i ciekawostkę. Dzieło trafia do kolekcji, a gracz wybiera jego miejsce na ścianie. Kolejne ukończone obrazy podnoszą poziom pokoju od 0 do 9 i odblokowują wyposażenie. Ukończenie kolekcji epoki zmienia także wygląd domu i holu.</w:t>
            </w:r>
          </w:p>
        </w:tc>
        <w:tc>
          <w:tcPr>
            <w:tcW w:type="dxa" w:w="340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/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keepNext/>
              <w:widowControl/>
              <w:spacing w:before="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Korzyści dla użytkownika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Użytkownik otrzymuje relaksującą aktywność, którą wykonuje we własnym tempie, oraz prosty sposób na poznanie autorów, dzieł i ich kontekstu. Obraz obserwowany podczas kolorowania zyskuje znaczenie dzięki opowieści. Własna kolekcja, wybór ekspozycji i nowe dekoracje dają poczucie sprawczości oraz satysfakcję z postępu. Gra działa na telefonie i komputerze, bez instalacji i zakładania konta. Ukończone dzieła i układ ścian zapisują się lokalnie w przeglądarce, więc można wrócić do swojej kolekcji.</w:t>
            </w:r>
          </w:p>
          <w:p>
            <w:pPr>
              <w:keepNext/>
              <w:widowControl/>
              <w:spacing w:before="12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Co wyróżnia Dziedzictwo?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Jedna pętla łączy autentyczne polskie malarstwo, kreatywne kolorowanie, opowieść i trwałą nagrodę w postaci rozwijającego się wnętrza. Dekoracje również mają ciekawostki związane z epoką. Inspiracje to przystępność nauki Duolingo, mechanika kolorowania Pixel Art i rozwój przestrzeni znany z Garden Keeper.</w:t>
            </w:r>
          </w:p>
          <w:p>
            <w:pPr>
              <w:keepNext/>
              <w:widowControl/>
              <w:spacing w:before="120" w:after="80" w:line="264" w:lineRule="auto"/>
              <w:jc w:val="left"/>
            </w:pPr>
            <w:r>
              <w:rPr>
                <w:rFonts w:ascii="Liberation Sans" w:hAnsi="Liberation Sans"/>
                <w:b/>
                <w:color w:val="203D34"/>
                <w:sz w:val="21"/>
              </w:rPr>
              <w:t>Gotowy prototyp i dalszy rozwój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Prototyp obejmuje 83 dzieła, cztery pokoje epok, 47 dekoracji, wyszukiwanie i filtry biblioteki oraz powiększanie i przesuwanie planszy. Interfejs obsługuje PL/EN; opisy dzieł są obecnie po polsku.</w:t>
            </w:r>
          </w:p>
          <w:p>
            <w:pPr>
              <w:widowControl/>
              <w:spacing w:before="0" w:after="60" w:line="264" w:lineRule="auto"/>
              <w:jc w:val="both"/>
            </w:pPr>
            <w:r>
              <w:rPr>
                <w:rFonts w:ascii="Liberation Sans" w:hAnsi="Liberation Sans"/>
                <w:b w:val="0"/>
                <w:color w:val="28332D"/>
                <w:sz w:val="19"/>
              </w:rPr>
              <w:t>Następny krok to testy z użytkownikami: ukończenie pierwszego obrazu, chęć powrotu i zapamiętanie ciekawostki. Planujemy tłumaczenia treści oraz pilotaże ze szkołami i muzeami; kolekcje tematyczne mogą stać się ofertą dla instytucji kultury.</w:t>
            </w:r>
          </w:p>
        </w:tc>
      </w:tr>
    </w:tbl>
    <w:p>
      <w:pPr>
        <w:keepNext/>
        <w:widowControl/>
        <w:spacing w:before="120" w:after="80" w:line="264" w:lineRule="auto"/>
        <w:jc w:val="left"/>
      </w:pPr>
      <w:r>
        <w:rPr>
          <w:rFonts w:ascii="Liberation Sans" w:hAnsi="Liberation Sans"/>
          <w:b/>
          <w:color w:val="203D34"/>
          <w:sz w:val="21"/>
        </w:rPr>
        <w:t>Tech stack i realizacja</w:t>
      </w:r>
    </w:p>
    <w:p>
      <w:pPr>
        <w:widowControl/>
        <w:spacing w:before="0" w:after="0" w:line="276" w:lineRule="auto"/>
        <w:jc w:val="both"/>
      </w:pPr>
      <w:r>
        <w:rPr>
          <w:rFonts w:ascii="Liberation Sans" w:hAnsi="Liberation Sans"/>
          <w:b w:val="0"/>
          <w:color w:val="28332D"/>
          <w:sz w:val="18"/>
        </w:rPr>
        <w:t>Next.js 16 i React 19 • TypeScript • Tailwind CSS 4 • Zustand + localStorage • SVG • Framer Motion / Motion • dane JSON • eksport statyczny. Plansze i palety przygotowuje algorytm zespołu; jakość kodu wspierają Vitest i Playwright.</w:t>
      </w:r>
    </w:p>
    <w:sectPr w:rsidR="00FC693F" w:rsidRPr="0006063C" w:rsidSect="00034616">
      <w:footerReference w:type="default" r:id="rId14"/>
      <w:pgSz w:w="11906" w:h="16838"/>
      <w:pgMar w:top="624" w:right="737" w:bottom="567" w:left="73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tabs>
        <w:tab w:pos="10431" w:val="right"/>
      </w:tabs>
      <w:spacing w:before="60" w:after="0" w:line="264" w:lineRule="auto"/>
      <w:jc w:val="left"/>
      <w:pBdr>
        <w:top w:val="single" w:sz="4" w:color="D5DCD3" w:space="5"/>
      </w:pBdr>
    </w:pPr>
    <w:r>
      <w:rPr>
        <w:rFonts w:ascii="Liberation Sans" w:hAnsi="Liberation Sans"/>
        <w:b w:val="0"/>
        <w:color w:val="687368"/>
        <w:sz w:val="14"/>
      </w:rPr>
      <w:t>DZIEDZICTWO  /  PROTOTYP HACKATHONOWY</w:t>
      <w:tab/>
      <w:t>BEST HACKS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  <w:hyphenationZone w:val="1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8" w:lineRule="auto"/>
    </w:pPr>
    <w:rPr>
      <w:rFonts w:ascii="Liberation Sans" w:hAnsi="Liberation Sans"/>
      <w:sz w:val="19"/>
      <w:lang w:val="pl-P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Dziedzictwo — one-pager projektu</dc:title>
  <dc:subject>Cel, problem, korzyści, przebieg gry i technologie</dc:subject>
  <dc:creator>Zespół Dziedzictwo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