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237200" cy="1738313"/>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237200" cy="1738313"/>
                    </a:xfrm>
                    <a:prstGeom prst="rect"/>
                    <a:ln/>
                  </pic:spPr>
                </pic:pic>
              </a:graphicData>
            </a:graphic>
          </wp:inline>
        </w:drawing>
      </w:r>
      <w:r w:rsidDel="00000000" w:rsidR="00000000" w:rsidRPr="00000000">
        <w:rPr>
          <w:rFonts w:ascii="Times New Roman" w:cs="Times New Roman" w:eastAsia="Times New Roman" w:hAnsi="Times New Roman"/>
          <w:sz w:val="30"/>
          <w:szCs w:val="30"/>
        </w:rPr>
        <w:drawing>
          <wp:inline distB="114300" distT="114300" distL="114300" distR="114300">
            <wp:extent cx="3614166" cy="17002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4166"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Team Members and Contributions</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1011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620"/>
        <w:tblGridChange w:id="0">
          <w:tblGrid>
            <w:gridCol w:w="2490"/>
            <w:gridCol w:w="762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Ajay Vishwanatha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Exploration, LightGBM, Text Engineering, Business Feature Engineering, Report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Chia-Hsuan Chang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Exploration, HistGradientBoosting, Linear Model, Compile/Comment and Clean up code, User Feature Engineering</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Lourie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exploration, Gradient Boosting and Random Forest model, Text Mining, Tip Feature Engineering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Kurumi Sato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Exploration, Random Forest, XGBoost, Feature Engineering, Business Feature Engineering, Report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Yuzhe Tian</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Exploration, Ensemble Models, and User Feature Engineering</w:t>
            </w:r>
          </w:p>
        </w:tc>
      </w:tr>
    </w:tbl>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 Business Understanding</w:t>
      </w:r>
      <w:r w:rsidDel="00000000" w:rsidR="00000000" w:rsidRPr="00000000">
        <w:rPr>
          <w:rtl w:val="0"/>
        </w:rPr>
      </w:r>
    </w:p>
    <w:p w:rsidR="00000000" w:rsidDel="00000000" w:rsidP="00000000" w:rsidRDefault="00000000" w:rsidRPr="00000000" w14:paraId="0000001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review platforms have changed how consumers make purchasing decisions and how businesses attract customers. Yelp uses hundreds of millions of reviews to help customers rate businesses, but not all reviews carry equal weight. Roughly 15% of reviews were identified as highly useful and they help guide decisions and carry stronger influence. </w:t>
      </w:r>
    </w:p>
    <w:p w:rsidR="00000000" w:rsidDel="00000000" w:rsidP="00000000" w:rsidRDefault="00000000" w:rsidRPr="00000000" w14:paraId="0000001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model predicts whether a Yelp review is likely to earn a highly useful tag. Factors such as the reviewer's review history, the business category, the review’s lengt and text quality contribute to whether a review is ultimately flagged as highly useful. This capability has significant value for businesses across many industries. For business owners, a single highly useful negative review can suppress foot traffic for weeks to months. Additionally, this can also impact digital marketing agencies and Yelp itself. </w:t>
      </w:r>
    </w:p>
    <w:p w:rsidR="00000000" w:rsidDel="00000000" w:rsidP="00000000" w:rsidRDefault="00000000" w:rsidRPr="00000000" w14:paraId="0000001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users of this model are Yelp’s data science and product teams. The constraint on FPR being less than 10% reflects the need for a consistently reliable model. This is to prevent incorrectly promoting low-quality reviews, which damages user trust and hurts business reputations. Yelp could use real-time usefulness predictions to re-rank reviews shown to browsing users, showing the most informative content first rather than relying solely on recency. It will also prevent customers from navigating through unhelpful reviews, which wastes time and slowly creates distrust within the platform. </w:t>
      </w:r>
    </w:p>
    <w:p w:rsidR="00000000" w:rsidDel="00000000" w:rsidP="00000000" w:rsidRDefault="00000000" w:rsidRPr="00000000" w14:paraId="0000001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companies running other businesses' Yelp profiles and creating paid reviews could use the model's feature importances to understand what makes a review compelling and craft their own customer review templates accordingly. If the model reveals that reviews mentioning specific service attributes, staffing quality, or value comparisons tend to become highly useful, a marketing team can let the business know to include those elements when soliciting organic reviews to improve their rating. </w:t>
      </w:r>
    </w:p>
    <w:p w:rsidR="00000000" w:rsidDel="00000000" w:rsidP="00000000" w:rsidRDefault="00000000" w:rsidRPr="00000000" w14:paraId="00000017">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model for predicting top-useful reviews creates value for not only Yelp but also businesses. As a company, Yelp finds value in the model as it automates the decision on whether a review is considered useful and can bring the review higher to the business's review page, rather than waiting for other users’ votes on whether that review was helpful. Yelp can push better reviews, making it more reliable, and can help speed up its decision-making time. For Yelp users, improve the content they see, which can compound over time. If the most helpful reviews are consistently shown first, users make better decisions, trust the platform more, and have a desire to contribute higher-quality content themselves. Lastly, for businesses, bad reviews can affect the growth of their business, and good reviews can attract more customers. </w:t>
      </w:r>
    </w:p>
    <w:p w:rsidR="00000000" w:rsidDel="00000000" w:rsidP="00000000" w:rsidRDefault="00000000" w:rsidRPr="00000000" w14:paraId="00000018">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review usefulness helps business owners build consumer trust. Our model converts an observable community signal into a predictive asset that can be deployed in real time, generating value for platforms, businesses, and end users alike. We can address every industry sector present on Yelp, but the underlying methodology is transferable to any review ecosystem where usefulness, helpfulness, or quality signals are collected.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Data Understanding and Data Preparation</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Yelp Dataset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025"/>
        <w:gridCol w:w="4650"/>
        <w:gridCol w:w="2145"/>
        <w:tblGridChange w:id="0">
          <w:tblGrid>
            <w:gridCol w:w="540"/>
            <w:gridCol w:w="2025"/>
            <w:gridCol w:w="4650"/>
            <w:gridCol w:w="2145"/>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 Name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Brief Description</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Block &amp; Code Line</w:t>
            </w:r>
          </w:p>
        </w:tc>
      </w:tr>
      <w:tr>
        <w:trPr>
          <w:cantSplit w:val="0"/>
          <w:trHeight w:val="45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BusinessAcceptsCreditCards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67-142</w:t>
            </w:r>
          </w:p>
        </w:tc>
      </w:tr>
      <w:tr>
        <w:trPr>
          <w:cantSplit w:val="0"/>
          <w:trHeight w:val="45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BikeParking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 67-142</w:t>
            </w:r>
          </w:p>
        </w:tc>
      </w:tr>
      <w:tr>
        <w:trPr>
          <w:cantSplit w:val="0"/>
          <w:trHeight w:val="45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ByAppointmentOnly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67-142</w:t>
            </w:r>
          </w:p>
        </w:tc>
      </w:tr>
      <w:tr>
        <w:trPr>
          <w:cantSplit w:val="0"/>
          <w:trHeight w:val="45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RestaurantsReservations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67-142</w:t>
            </w:r>
          </w:p>
        </w:tc>
      </w:tr>
      <w:tr>
        <w:trPr>
          <w:cantSplit w:val="0"/>
          <w:trHeight w:val="45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RestaurantsGoodForGroups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67-142</w:t>
            </w:r>
          </w:p>
        </w:tc>
      </w:tr>
      <w:tr>
        <w:trPr>
          <w:cantSplit w:val="0"/>
          <w:trHeight w:val="45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RestaurantsTakeOut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67-142</w:t>
            </w:r>
          </w:p>
        </w:tc>
      </w:tr>
      <w:tr>
        <w:trPr>
          <w:cantSplit w:val="0"/>
          <w:trHeight w:val="45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GoodForKids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 67-142</w:t>
            </w:r>
          </w:p>
        </w:tc>
      </w:tr>
      <w:tr>
        <w:trPr>
          <w:cantSplit w:val="0"/>
          <w:trHeight w:val="45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 67-142</w:t>
            </w:r>
          </w:p>
        </w:tc>
      </w:tr>
      <w:tr>
        <w:trPr>
          <w:cantSplit w:val="0"/>
          <w:trHeight w:val="47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 67-142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RestaurantsDelivery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67-142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RestaurantsTableService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67-142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WheelchairAccessible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67-142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DogsAllowed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 67-142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OutdoorSeating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 67-142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HappyHour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 67-142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log_business_review_count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of the number of reviews the business 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77</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RestaurantsAttire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hot encoding of original feature from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144-154</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hot encoding of original feature from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145-157</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hot encoding of original feature from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146-161</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days_open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days each week business is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 167-208</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hot encoding of original feature from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147-165</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attr_RestaurantsPriceRange2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feature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150-231</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compliment_count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compliment tips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9, Line 15-34</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log_user_friend_count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of the number of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15</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star_diff_from_business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 difference between the business and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7</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user_star_diff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 difference between the review and the average stars the user gives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8</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abs_star_diff_from_business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Absolute difference between the average stars for the business and the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10</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abs_user_star_diff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Absolute difference between the average stars given by the user and the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11</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review_len_x_user_review_count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of the number of user reviews multiplied by the log of text length of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13-46</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log_user_fans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of the user 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14</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log_user_elite_count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of the user elite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16</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user_tip_x_text_len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of user tip count multiplied by the log of the text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65</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is_extreme_star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rating is below 2 or above 5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91</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is_positive_star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rating is at or above 4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92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is_negative_star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rating is at or below 2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93</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review_dayofweek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of years the user has been labeled elite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72-78</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log_text_x_log_business_reviews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of text length multiplied by log of the number of business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54</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log_word_x_log_business_reviews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of word count multiplied by log of the number of business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11, Line 55</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avg_hours_per_day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Average hours that the business is open each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197-209</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yelping_since_year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year the user joined Yelp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8, Line 8</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user_elite_count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years the user has been labeled elite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8, Line 20-29</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positive_word_count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positive words in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6, Line 57-65</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negative_word_count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negative words in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6, Line 61-66</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business_stars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stars the business 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71</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business_review_count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reviews a business has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72</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categories a business 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84-219</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location’s 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74-217</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longittude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location’s longitude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7, Line 75-218</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is_weekend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 whether the review was written on a weekend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6, Line 78-84</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review_dayofweek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of the week the review was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6, Line 76-82</w:t>
            </w:r>
          </w:p>
        </w:tc>
      </w:tr>
    </w:tbl>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Holiday Dataset</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040"/>
        <w:gridCol w:w="4440"/>
        <w:gridCol w:w="2340"/>
        <w:tblGridChange w:id="0">
          <w:tblGrid>
            <w:gridCol w:w="540"/>
            <w:gridCol w:w="2040"/>
            <w:gridCol w:w="4440"/>
            <w:gridCol w:w="234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 Name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Brief Description</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Block &amp; Code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is_us_holiday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 this Yelp review written on a U.S. 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days_to_nearest_holiday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days between Yelp review and the nearest 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days_since_previous_holiday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days between Yelp review and the previous 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days_until_next_holiday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days between Yelp review and next 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is_holiday_window_3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 this Yelp review written within a 3-day window of a U.S. 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is_holiday_window_7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 this Yelp review written within a 7-day window of a U.S. 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5, Line 8-78</w:t>
            </w:r>
          </w:p>
        </w:tc>
      </w:tr>
    </w:tbl>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Graphs or tables demonstrating useful or interesting insights regarding features in the dataset</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 that the lower the review stars, the higher the rate it has for top usefulness</w:t>
      </w:r>
      <w:r w:rsidDel="00000000" w:rsidR="00000000" w:rsidRPr="00000000">
        <w:rPr>
          <w:rFonts w:ascii="Times New Roman" w:cs="Times New Roman" w:eastAsia="Times New Roman" w:hAnsi="Times New Roman"/>
          <w:sz w:val="24"/>
          <w:szCs w:val="24"/>
        </w:rPr>
        <w:drawing>
          <wp:inline distB="114300" distT="114300" distL="114300" distR="114300">
            <wp:extent cx="3850702" cy="2351150"/>
            <wp:effectExtent b="0" l="0" r="0" t="0"/>
            <wp:docPr id="1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850702" cy="23511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businesses on Yelp are categorized as food or restaurants, and very few do not have a category. </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Breakdown of different businesses. Interestingly, most businesses seem like they are Mexican restaurants, and the next are pizza and then Chinese restaurants. </w:t>
      </w:r>
      <w:r w:rsidDel="00000000" w:rsidR="00000000" w:rsidRPr="00000000">
        <w:rPr>
          <w:rFonts w:ascii="Times New Roman" w:cs="Times New Roman" w:eastAsia="Times New Roman" w:hAnsi="Times New Roman"/>
          <w:sz w:val="24"/>
          <w:szCs w:val="24"/>
        </w:rPr>
        <w:drawing>
          <wp:inline distB="114300" distT="114300" distL="114300" distR="114300">
            <wp:extent cx="5943600" cy="1130300"/>
            <wp:effectExtent b="0" l="0" r="0" t="0"/>
            <wp:docPr id="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our standard deviation, we found that the average stars for all Yelp reviews are 6.19 stars. This might give us some insights that many reviews left on Yelp steer negatively, or that many users have high standards. Looking at the review count feature, the standard deviation is quite large. </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7248" cy="1462088"/>
            <wp:effectExtent b="0" l="0" r="0" t="0"/>
            <wp:docPr id="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707248"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with the largest number of missing hours is automotive, pets, and salons/sppas</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8563" cy="2156475"/>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738563" cy="21564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 has more than double the number of businesses than the 3rd highest state. FL is second with about 70% of the number PA has. The rest of the states in the top 10 fall within a close range</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7613" cy="2143766"/>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757613" cy="214376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difference between when a model is and is not useful. We found that the range is the largest for the user review count. The mean is barely affected between useful or not during the holiday window for 7 days. </w:t>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4213" cy="2175310"/>
            <wp:effectExtent b="0" l="0" r="0" t="0"/>
            <wp:docPr id="1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224213" cy="217531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binning our elite years, we found that over 92% of users were not classified as elite. However, among the elites, most have been holding the status for 3-5 years.  </w:t>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27502" cy="2172742"/>
            <wp:effectExtent b="0" l="0" r="0" t="0"/>
            <wp:docPr id="1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627502" cy="2172742"/>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comments about the data or the steps you undertook for data preparation.</w:t>
      </w:r>
    </w:p>
    <w:p w:rsidR="00000000" w:rsidDel="00000000" w:rsidP="00000000" w:rsidRDefault="00000000" w:rsidRPr="00000000" w14:paraId="000001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data preparation, we cleaned each individual CSV file to reorganize the columns so that the data was easier to manipulate, and also selected any important features and completed any necessary feature engineering. We created bins, cleaned any NA values, and found a general distribution of all of the features we were using to note any columns that could be useful or would affect the accuracy of our model. We did one-hot encoding to ensure that any categories that used text, such as noise level we made into an integer scale where each noise level was associated with an integer. We did a final check to make sure all columns and attributes did not have similar or is a duplicate </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also created many other features, such as differences in review stars between what the business usually receives, what customers typically rate businesses, and what rating that specific review gave. This gives us a better understanding of what the rating actually means, since many reviewers have a different scale and understanding of what 4 vs 5 stars means. </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cleaning our data, we found it interesting that there were only two missing postal codes compared to the 145 businesses that were missing addresses entirely. We were able to find the postal codes since the two missing postal code rows had an address! </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539" cy="2517391"/>
            <wp:effectExtent b="0" l="0" r="0" t="0"/>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838539" cy="251739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Summary of the ten features we explored: </w:t>
      </w:r>
    </w:p>
    <w:p w:rsidR="00000000" w:rsidDel="00000000" w:rsidP="00000000" w:rsidRDefault="00000000" w:rsidRPr="00000000" w14:paraId="0000012E">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Lower-star reviews had a higher top-useful rate.</w:t>
      </w:r>
    </w:p>
    <w:p w:rsidR="00000000" w:rsidDel="00000000" w:rsidP="00000000" w:rsidRDefault="00000000" w:rsidRPr="00000000" w14:paraId="0000012F">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 and restaurant businesses dominated the dataset.</w:t>
      </w:r>
    </w:p>
    <w:p w:rsidR="00000000" w:rsidDel="00000000" w:rsidP="00000000" w:rsidRDefault="00000000" w:rsidRPr="00000000" w14:paraId="00000130">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Mexican, pizza, and Chinese restaurants were among the most common categories.</w:t>
      </w:r>
    </w:p>
    <w:p w:rsidR="00000000" w:rsidDel="00000000" w:rsidP="00000000" w:rsidRDefault="00000000" w:rsidRPr="00000000" w14:paraId="00000131">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 review count had high variability.</w:t>
      </w:r>
    </w:p>
    <w:p w:rsidR="00000000" w:rsidDel="00000000" w:rsidP="00000000" w:rsidRDefault="00000000" w:rsidRPr="00000000" w14:paraId="00000132">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Missing business hours were concentrated in automotive, pets, and salons/spas.</w:t>
      </w:r>
    </w:p>
    <w:p w:rsidR="00000000" w:rsidDel="00000000" w:rsidP="00000000" w:rsidRDefault="00000000" w:rsidRPr="00000000" w14:paraId="00000133">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Pennsylvania had the largest number of businesses.</w:t>
      </w:r>
    </w:p>
    <w:p w:rsidR="00000000" w:rsidDel="00000000" w:rsidP="00000000" w:rsidRDefault="00000000" w:rsidRPr="00000000" w14:paraId="00000134">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review count showed the largest difference between useful and non-useful reviews.</w:t>
      </w:r>
    </w:p>
    <w:p w:rsidR="00000000" w:rsidDel="00000000" w:rsidP="00000000" w:rsidRDefault="00000000" w:rsidRPr="00000000" w14:paraId="00000135">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Holiday-window indicators showed a limited difference between useful and non-useful reviews.</w:t>
      </w:r>
    </w:p>
    <w:p w:rsidR="00000000" w:rsidDel="00000000" w:rsidP="00000000" w:rsidRDefault="00000000" w:rsidRPr="00000000" w14:paraId="00000136">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 92% of users were not elite.</w:t>
      </w:r>
    </w:p>
    <w:p w:rsidR="00000000" w:rsidDel="00000000" w:rsidP="00000000" w:rsidRDefault="00000000" w:rsidRPr="00000000" w14:paraId="00000137">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Among elite users, most held elite status for 3 to 5 years.</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Evaluation and Modeling</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summarizes the main results reported in the draft. Metrics are interpreted using the positive class as the target event. TPR measures the share of actual positive cases correctly identified, while FPR measures the share of negative cases incorrectly flagged as positive. Because the project emphasizes performance at or below a 10% false-positive rate, TPR at approximately 10% FPR is the most important comparison metric across models.</w:t>
      </w:r>
    </w:p>
    <w:p w:rsidR="00000000" w:rsidDel="00000000" w:rsidP="00000000" w:rsidRDefault="00000000" w:rsidRPr="00000000" w14:paraId="0000013B">
      <w:pPr>
        <w:spacing w:after="120" w:line="256.8" w:lineRule="auto"/>
        <w:rPr>
          <w:rFonts w:ascii="Times New Roman" w:cs="Times New Roman" w:eastAsia="Times New Roman" w:hAnsi="Times New Roman"/>
          <w:sz w:val="24"/>
          <w:szCs w:val="24"/>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40"/>
        <w:gridCol w:w="1230"/>
        <w:gridCol w:w="1080"/>
        <w:gridCol w:w="1080"/>
        <w:gridCol w:w="2070"/>
        <w:tblGridChange w:id="0">
          <w:tblGrid>
            <w:gridCol w:w="1995"/>
            <w:gridCol w:w="1440"/>
            <w:gridCol w:w="1230"/>
            <w:gridCol w:w="1080"/>
            <w:gridCol w:w="1080"/>
            <w:gridCol w:w="207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3C">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 / Experiment</w:t>
            </w:r>
          </w:p>
        </w:tc>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3D">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 Set</w:t>
            </w:r>
          </w:p>
        </w:tc>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3E">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w:t>
            </w:r>
          </w:p>
        </w:tc>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3F">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FPR</w:t>
            </w:r>
          </w:p>
        </w:tc>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40">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TPR / Recall</w:t>
            </w:r>
          </w:p>
        </w:tc>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41">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Business-only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0.5938</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0.2020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Weak baseline; limited signal from business only features.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Tree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Business-only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over logistic regression, but still limited.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merged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0.0436 default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0.4267 default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 AUC; ROC thresholding can raise recall near 10% FPR.</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LightGBM CV with improved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full engineered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0.9109 mean CV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0.1000 target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0.7054 mean CV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standalone LightGBM; higher AUC and TPR than the earlier LightGBM CV run.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HistGradientBoosting CV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engineered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0.8953 mean / OOF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0.0950 mean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0.6469 mean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Competitive gradient boosting model, but below LightGBM CV TPR.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merged features, no external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engineering dramatically improved linear baseline.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merged features + external dataset holidays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Nearly unchanged from no-holiday version; holiday features had a small but meaningful lift for this model.</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Top-K Blended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pipeline + model zoo blend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0.879 validation / 0.8953 OOF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final operating point.</w:t>
            </w:r>
          </w:p>
        </w:tc>
      </w:tr>
    </w:tbl>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1"/>
        <w:keepNext w:val="0"/>
        <w:keepLines w:val="0"/>
        <w:numPr>
          <w:ilvl w:val="0"/>
          <w:numId w:val="1"/>
        </w:numPr>
        <w:spacing w:after="0" w:before="0" w:line="360" w:lineRule="auto"/>
        <w:ind w:left="720" w:hanging="360"/>
        <w:jc w:val="left"/>
        <w:rPr>
          <w:rFonts w:ascii="Times New Roman" w:cs="Times New Roman" w:eastAsia="Times New Roman" w:hAnsi="Times New Roman"/>
          <w:b w:val="1"/>
          <w:bCs w:val="1"/>
          <w:sz w:val="24"/>
          <w:szCs w:val="24"/>
          <w:u w:val="none"/>
        </w:rPr>
      </w:pPr>
      <w:bookmarkStart w:colFirst="0" w:colLast="0" w:name="_rnvucrgmuju6" w:id="0"/>
      <w:bookmarkEnd w:id="0"/>
      <w:r w:rsidDel="00000000" w:rsidR="00000000" w:rsidRPr="00000000">
        <w:rPr>
          <w:rFonts w:ascii="Times New Roman" w:cs="Times New Roman" w:eastAsia="Times New Roman" w:hAnsi="Times New Roman"/>
          <w:b w:val="1"/>
          <w:bCs w:val="1"/>
          <w:sz w:val="24"/>
          <w:szCs w:val="24"/>
          <w:rtl w:val="0"/>
        </w:rPr>
        <w:t xml:space="preserve">Business-Only Baseline Models</w:t>
      </w:r>
    </w:p>
    <w:p w:rsidR="00000000" w:rsidDel="00000000" w:rsidP="00000000" w:rsidRDefault="00000000" w:rsidRPr="00000000" w14:paraId="00000174">
      <w:pPr>
        <w:pStyle w:val="Heading2"/>
        <w:keepNext w:val="0"/>
        <w:keepLines w:val="0"/>
        <w:spacing w:after="0" w:before="0" w:line="360" w:lineRule="auto"/>
        <w:rPr>
          <w:rFonts w:ascii="Times New Roman" w:cs="Times New Roman" w:eastAsia="Times New Roman" w:hAnsi="Times New Roman"/>
          <w:sz w:val="24"/>
          <w:szCs w:val="24"/>
        </w:rPr>
      </w:pPr>
      <w:bookmarkStart w:colFirst="0" w:colLast="0" w:name="_w2jhvotq5ruj" w:id="1"/>
      <w:bookmarkEnd w:id="1"/>
      <w:r w:rsidDel="00000000" w:rsidR="00000000" w:rsidRPr="00000000">
        <w:rPr>
          <w:rtl w:val="0"/>
        </w:rPr>
      </w:r>
    </w:p>
    <w:p w:rsidR="00000000" w:rsidDel="00000000" w:rsidP="00000000" w:rsidRDefault="00000000" w:rsidRPr="00000000" w14:paraId="00000175">
      <w:pPr>
        <w:pStyle w:val="Heading2"/>
        <w:keepNext w:val="0"/>
        <w:keepLines w:val="0"/>
        <w:spacing w:after="0" w:before="0" w:line="360" w:lineRule="auto"/>
        <w:rPr>
          <w:rFonts w:ascii="Times New Roman" w:cs="Times New Roman" w:eastAsia="Times New Roman" w:hAnsi="Times New Roman"/>
          <w:sz w:val="24"/>
          <w:szCs w:val="24"/>
        </w:rPr>
      </w:pPr>
      <w:bookmarkStart w:colFirst="0" w:colLast="0" w:name="_a169r8uj4w6g" w:id="2"/>
      <w:bookmarkEnd w:id="2"/>
      <w:r w:rsidDel="00000000" w:rsidR="00000000" w:rsidRPr="00000000">
        <w:rPr>
          <w:rFonts w:ascii="Times New Roman" w:cs="Times New Roman" w:eastAsia="Times New Roman" w:hAnsi="Times New Roman"/>
          <w:sz w:val="24"/>
          <w:szCs w:val="24"/>
          <w:rtl w:val="0"/>
        </w:rPr>
        <w:t xml:space="preserve">1.1 Logistic Regression Baseline</w:t>
      </w:r>
    </w:p>
    <w:p w:rsidR="00000000" w:rsidDel="00000000" w:rsidP="00000000" w:rsidRDefault="00000000" w:rsidRPr="00000000" w14:paraId="00000176">
      <w:pPr>
        <w:pStyle w:val="Heading2"/>
        <w:keepNext w:val="0"/>
        <w:keepLines w:val="0"/>
        <w:spacing w:after="0" w:before="0" w:line="360" w:lineRule="auto"/>
        <w:rPr>
          <w:rFonts w:ascii="Times New Roman" w:cs="Times New Roman" w:eastAsia="Times New Roman" w:hAnsi="Times New Roman"/>
          <w:sz w:val="24"/>
          <w:szCs w:val="24"/>
        </w:rPr>
      </w:pPr>
      <w:bookmarkStart w:colFirst="0" w:colLast="0" w:name="_tga2pyi4yqnf" w:id="3"/>
      <w:bookmarkEnd w:id="3"/>
      <w:r w:rsidDel="00000000" w:rsidR="00000000" w:rsidRPr="00000000">
        <w:rPr>
          <w:rFonts w:ascii="Times New Roman" w:cs="Times New Roman" w:eastAsia="Times New Roman" w:hAnsi="Times New Roman"/>
          <w:sz w:val="24"/>
          <w:szCs w:val="24"/>
          <w:rtl w:val="0"/>
        </w:rPr>
        <w:t xml:space="preserve">The first model used logistic regression on the cleaned business dataset. This created a simple and interpretable baseline for testing whether the business-level variables alone contained enough predictive signal.</w:t>
      </w:r>
    </w:p>
    <w:p w:rsidR="00000000" w:rsidDel="00000000" w:rsidP="00000000" w:rsidRDefault="00000000" w:rsidRPr="00000000" w14:paraId="00000177">
      <w:pPr>
        <w:rPr/>
      </w:pPr>
      <w:r w:rsidDel="00000000" w:rsidR="00000000" w:rsidRPr="00000000">
        <w:rPr>
          <w:rtl w:val="0"/>
        </w:rPr>
      </w:r>
    </w:p>
    <w:tbl>
      <w:tblPr>
        <w:tblStyle w:val="Table5"/>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tblGridChange w:id="0">
          <w:tblGrid>
            <w:gridCol w:w="3105"/>
            <w:gridCol w:w="310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Target FPR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 FPR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TPR at ~10% FPR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0.2020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Threshold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0.1706</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ROC-AUC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0.5938</w:t>
            </w:r>
          </w:p>
        </w:tc>
      </w:tr>
    </w:tbl>
    <w:p w:rsidR="00000000" w:rsidDel="00000000" w:rsidP="00000000" w:rsidRDefault="00000000" w:rsidRPr="00000000" w14:paraId="00000184">
      <w:pPr>
        <w:spacing w:after="12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pacing w:after="12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8238" cy="3460906"/>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948238" cy="346090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Business-only logistic regression ROC curve. The curve is only moderately above the random baseline, with AUC = 0.5938 and TPR = 0.2020 at 10% FPR.</w:t>
      </w:r>
    </w:p>
    <w:p w:rsidR="00000000" w:rsidDel="00000000" w:rsidP="00000000" w:rsidRDefault="00000000" w:rsidRPr="00000000" w14:paraId="00000187">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3765484" cy="2633663"/>
            <wp:effectExtent b="0" l="0" r="0" t="0"/>
            <wp:docPr id="2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765484"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 Business-only logistic regression learning curve. Training and validation accuracy remain close and nearly flat, suggesting limited model capacity and limited signal from this feature set.</w:t>
      </w:r>
    </w:p>
    <w:p w:rsidR="00000000" w:rsidDel="00000000" w:rsidP="00000000" w:rsidRDefault="00000000" w:rsidRPr="00000000" w14:paraId="00000189">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The business-only logistic regression model performed only slightly better than random ranking. At the 10% FPR operating point, it captured about 20.2% of the positive cases, which is too low for a strong production model. The learning curve also suggests that the issue is not simply a lack of training data; rather, the model and/or the feature set does not capture enough of the predictive structure.</w:t>
      </w:r>
    </w:p>
    <w:p w:rsidR="00000000" w:rsidDel="00000000" w:rsidP="00000000" w:rsidRDefault="00000000" w:rsidRPr="00000000" w14:paraId="0000018A">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2"/>
        <w:keepNext w:val="0"/>
        <w:keepLines w:val="0"/>
        <w:spacing w:after="0" w:before="0" w:line="360" w:lineRule="auto"/>
        <w:rPr>
          <w:rFonts w:ascii="Times New Roman" w:cs="Times New Roman" w:eastAsia="Times New Roman" w:hAnsi="Times New Roman"/>
          <w:sz w:val="24"/>
          <w:szCs w:val="24"/>
        </w:rPr>
      </w:pPr>
      <w:bookmarkStart w:colFirst="0" w:colLast="0" w:name="_4du2h24mvpwi" w:id="4"/>
      <w:bookmarkEnd w:id="4"/>
      <w:r w:rsidDel="00000000" w:rsidR="00000000" w:rsidRPr="00000000">
        <w:rPr>
          <w:rFonts w:ascii="Times New Roman" w:cs="Times New Roman" w:eastAsia="Times New Roman" w:hAnsi="Times New Roman"/>
          <w:sz w:val="24"/>
          <w:szCs w:val="24"/>
          <w:rtl w:val="0"/>
        </w:rPr>
        <w:t xml:space="preserve">1.2 Decision Tree Baseline</w:t>
      </w:r>
    </w:p>
    <w:p w:rsidR="00000000" w:rsidDel="00000000" w:rsidP="00000000" w:rsidRDefault="00000000" w:rsidRPr="00000000" w14:paraId="0000018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 tree was trained on the same business-level features to test whether a non-linear model could capture interactions that logistic regression missed.</w:t>
      </w:r>
    </w:p>
    <w:tbl>
      <w:tblPr>
        <w:tblStyle w:val="Table6"/>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tblGridChange w:id="0">
          <w:tblGrid>
            <w:gridCol w:w="3105"/>
            <w:gridCol w:w="310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8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FPR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FPR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TPR at ~10% FPR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0.3128</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0.2016</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ROC-AUC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0.7017</w:t>
            </w:r>
          </w:p>
        </w:tc>
      </w:tr>
    </w:tbl>
    <w:p w:rsidR="00000000" w:rsidDel="00000000" w:rsidP="00000000" w:rsidRDefault="00000000" w:rsidRPr="00000000" w14:paraId="00000199">
      <w:pPr>
        <w:spacing w:after="12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spacing w:after="12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0300" cy="3454400"/>
            <wp:effectExtent b="0" l="0" r="0" t="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9403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3. Decision tree ROC curve. The decision tree improves AUC to 0.7017 and TPR to 0.3128 at 10% FPR.</w:t>
      </w:r>
    </w:p>
    <w:p w:rsidR="00000000" w:rsidDel="00000000" w:rsidP="00000000" w:rsidRDefault="00000000" w:rsidRPr="00000000" w14:paraId="0000019C">
      <w:pPr>
        <w:spacing w:after="120"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The decision tree outperformed the business-only logistic regression model. TPR at 10% FPR increased from 0.2020 to 0.3128, a gain of 0.1108 points, or roughly 54.9% relative improvement. This indicates that non-linear splits and feature interactions were useful. However, the model still missed most positive cases at the target FPR, so the business-only feature set was not sufficient.</w:t>
      </w:r>
    </w:p>
    <w:p w:rsidR="00000000" w:rsidDel="00000000" w:rsidP="00000000" w:rsidRDefault="00000000" w:rsidRPr="00000000" w14:paraId="0000019E">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1"/>
        <w:keepNext w:val="0"/>
        <w:keepLines w:val="0"/>
        <w:numPr>
          <w:ilvl w:val="0"/>
          <w:numId w:val="1"/>
        </w:numPr>
        <w:spacing w:after="80" w:before="200" w:line="360" w:lineRule="auto"/>
        <w:ind w:left="720" w:hanging="360"/>
        <w:rPr>
          <w:rFonts w:ascii="Times New Roman" w:cs="Times New Roman" w:eastAsia="Times New Roman" w:hAnsi="Times New Roman"/>
          <w:b w:val="1"/>
          <w:bCs w:val="1"/>
          <w:sz w:val="24"/>
          <w:szCs w:val="24"/>
          <w:u w:val="none"/>
        </w:rPr>
      </w:pPr>
      <w:bookmarkStart w:colFirst="0" w:colLast="0" w:name="_8ahlksvznyvx" w:id="5"/>
      <w:bookmarkEnd w:id="5"/>
      <w:r w:rsidDel="00000000" w:rsidR="00000000" w:rsidRPr="00000000">
        <w:rPr>
          <w:rFonts w:ascii="Times New Roman" w:cs="Times New Roman" w:eastAsia="Times New Roman" w:hAnsi="Times New Roman"/>
          <w:b w:val="1"/>
          <w:bCs w:val="1"/>
          <w:sz w:val="24"/>
          <w:szCs w:val="24"/>
          <w:rtl w:val="0"/>
        </w:rPr>
        <w:t xml:space="preserve">Full Feature Engineering: Business, User, and Tips/Review Features</w:t>
      </w:r>
    </w:p>
    <w:p w:rsidR="00000000" w:rsidDel="00000000" w:rsidP="00000000" w:rsidRDefault="00000000" w:rsidRPr="00000000" w14:paraId="000001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modeling stage merged the cleaned business, user, and tips/review-derived datasets. This expanded the feature space and allowed models to learn from business characteristics, user behavior, and interaction-level information. This feature engineering step produced the largest improvement in model performance across the project.</w:t>
      </w:r>
    </w:p>
    <w:p w:rsidR="00000000" w:rsidDel="00000000" w:rsidP="00000000" w:rsidRDefault="00000000" w:rsidRPr="00000000" w14:paraId="000001A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2"/>
        <w:keepNext w:val="0"/>
        <w:keepLines w:val="0"/>
        <w:spacing w:after="0" w:before="0" w:line="360" w:lineRule="auto"/>
        <w:rPr>
          <w:rFonts w:ascii="Times New Roman" w:cs="Times New Roman" w:eastAsia="Times New Roman" w:hAnsi="Times New Roman"/>
          <w:sz w:val="24"/>
          <w:szCs w:val="24"/>
        </w:rPr>
      </w:pPr>
      <w:bookmarkStart w:colFirst="0" w:colLast="0" w:name="_shy2a437jrgj" w:id="6"/>
      <w:bookmarkEnd w:id="6"/>
      <w:r w:rsidDel="00000000" w:rsidR="00000000" w:rsidRPr="00000000">
        <w:rPr>
          <w:rFonts w:ascii="Times New Roman" w:cs="Times New Roman" w:eastAsia="Times New Roman" w:hAnsi="Times New Roman"/>
          <w:sz w:val="24"/>
          <w:szCs w:val="24"/>
          <w:rtl w:val="0"/>
        </w:rPr>
        <w:t xml:space="preserve">2.1 Baseline Random Forest</w:t>
      </w:r>
    </w:p>
    <w:p w:rsidR="00000000" w:rsidDel="00000000" w:rsidP="00000000" w:rsidRDefault="00000000" w:rsidRPr="00000000" w14:paraId="000001A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baseline Random Forest model was trained to test how an ensemble of decision trees would perform on the richer dataset. Random Forests reduce the variance of individual trees by averaging predictions across many bootstrapped trees and random feature subsets.</w:t>
      </w:r>
    </w:p>
    <w:p w:rsidR="00000000" w:rsidDel="00000000" w:rsidP="00000000" w:rsidRDefault="00000000" w:rsidRPr="00000000" w14:paraId="000001A4">
      <w:pPr>
        <w:spacing w:after="0" w:line="256.8" w:lineRule="auto"/>
        <w:rPr>
          <w:rFonts w:ascii="Times New Roman" w:cs="Times New Roman" w:eastAsia="Times New Roman" w:hAnsi="Times New Roman"/>
          <w:sz w:val="24"/>
          <w:szCs w:val="24"/>
        </w:rPr>
      </w:pPr>
      <w:r w:rsidDel="00000000" w:rsidR="00000000" w:rsidRPr="00000000">
        <w:rPr>
          <w:rtl w:val="0"/>
        </w:rPr>
      </w:r>
    </w:p>
    <w:tbl>
      <w:tblPr>
        <w:tblStyle w:val="Table7"/>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105"/>
        <w:tblGridChange w:id="0">
          <w:tblGrid>
            <w:gridCol w:w="3690"/>
            <w:gridCol w:w="310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Accuracy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0.8922</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AUC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0.8685</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TPR / Recall at default threshold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0.4267</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FPR at default threshold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0.0436</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 for class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0.57</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F1-score for class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0.49</w:t>
            </w:r>
          </w:p>
        </w:tc>
      </w:tr>
    </w:tbl>
    <w:p w:rsidR="00000000" w:rsidDel="00000000" w:rsidP="00000000" w:rsidRDefault="00000000" w:rsidRPr="00000000" w14:paraId="000001B3">
      <w:pPr>
        <w:spacing w:after="12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4">
      <w:pPr>
        <w:spacing w:after="12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425" cy="270310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781425" cy="27031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4. Random Forest learning curve. Training AUC is essentially 1.0, while cross-validation AUC stays much lower and increases slowly, indicating overfitting.</w:t>
      </w:r>
    </w:p>
    <w:p w:rsidR="00000000" w:rsidDel="00000000" w:rsidP="00000000" w:rsidRDefault="00000000" w:rsidRPr="00000000" w14:paraId="000001B6">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3819525" cy="2936398"/>
            <wp:effectExtent b="0" l="0" r="0" t="0"/>
            <wp:docPr id="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819525" cy="293639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5. Random Forest ROC curve. AUC is approximately 0.868. The chart indicates that a threshold near 0.377 can achieve roughly 60% TPR at the 10% FPR limit, which differs from the conservative default-threshold recall of 42.67%.</w:t>
      </w:r>
    </w:p>
    <w:p w:rsidR="00000000" w:rsidDel="00000000" w:rsidP="00000000" w:rsidRDefault="00000000" w:rsidRPr="00000000" w14:paraId="000001B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The Random Forest performed much better than the business-only models, showing the value of the merged feature set. However, the learning curve shows a large gap between training and cross-validation AUC. This is a classic sign of overfitting: the model fits the training data almost perfectly but does not generalize at the same level. The ROC curve also shows why threshold selection matters. The default threshold produced FPR = 4.36% and recall = 42.67%, but moving the threshold to the 10% FPR operating point would increase recall substantially.</w:t>
      </w:r>
    </w:p>
    <w:p w:rsidR="00000000" w:rsidDel="00000000" w:rsidP="00000000" w:rsidRDefault="00000000" w:rsidRPr="00000000" w14:paraId="000001BA">
      <w:pPr>
        <w:pStyle w:val="Heading1"/>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n8oyeqa8xat1" w:id="7"/>
      <w:bookmarkEnd w:id="7"/>
      <w:r w:rsidDel="00000000" w:rsidR="00000000" w:rsidRPr="00000000">
        <w:rPr>
          <w:rtl w:val="0"/>
        </w:rPr>
      </w:r>
    </w:p>
    <w:p w:rsidR="00000000" w:rsidDel="00000000" w:rsidP="00000000" w:rsidRDefault="00000000" w:rsidRPr="00000000" w14:paraId="000001BB">
      <w:pPr>
        <w:pStyle w:val="Heading1"/>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dib28xwkh1au" w:id="8"/>
      <w:bookmarkEnd w:id="8"/>
      <w:r w:rsidDel="00000000" w:rsidR="00000000" w:rsidRPr="00000000">
        <w:rPr>
          <w:rFonts w:ascii="Times New Roman" w:cs="Times New Roman" w:eastAsia="Times New Roman" w:hAnsi="Times New Roman"/>
          <w:b w:val="1"/>
          <w:bCs w:val="1"/>
          <w:sz w:val="24"/>
          <w:szCs w:val="24"/>
          <w:rtl w:val="0"/>
        </w:rPr>
        <w:t xml:space="preserve">3. Gradient Boosting Models</w:t>
      </w:r>
    </w:p>
    <w:p w:rsidR="00000000" w:rsidDel="00000000" w:rsidP="00000000" w:rsidRDefault="00000000" w:rsidRPr="00000000" w14:paraId="000001BC">
      <w:pPr>
        <w:spacing w:line="360" w:lineRule="auto"/>
        <w:rPr/>
      </w:pPr>
      <w:r w:rsidDel="00000000" w:rsidR="00000000" w:rsidRPr="00000000">
        <w:rPr>
          <w:rtl w:val="0"/>
        </w:rPr>
      </w:r>
    </w:p>
    <w:p w:rsidR="00000000" w:rsidDel="00000000" w:rsidP="00000000" w:rsidRDefault="00000000" w:rsidRPr="00000000" w14:paraId="000001BD">
      <w:pPr>
        <w:pStyle w:val="Heading2"/>
        <w:keepNext w:val="0"/>
        <w:keepLines w:val="0"/>
        <w:spacing w:after="0" w:before="0" w:line="360" w:lineRule="auto"/>
        <w:ind w:right="0"/>
        <w:rPr>
          <w:rFonts w:ascii="Times New Roman" w:cs="Times New Roman" w:eastAsia="Times New Roman" w:hAnsi="Times New Roman"/>
          <w:sz w:val="24"/>
          <w:szCs w:val="24"/>
        </w:rPr>
      </w:pPr>
      <w:bookmarkStart w:colFirst="0" w:colLast="0" w:name="_70ftwlmcptke" w:id="9"/>
      <w:bookmarkEnd w:id="9"/>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.1 LightGBM with Cross-Validation</w:t>
      </w:r>
    </w:p>
    <w:p w:rsidR="00000000" w:rsidDel="00000000" w:rsidP="00000000" w:rsidRDefault="00000000" w:rsidRPr="00000000" w14:paraId="000001BE">
      <w:pPr>
        <w:spacing w:after="12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was introduced to improve efficiency and predictive performance on the high-dimensional engineered dataset. Gradient boosting builds trees sequentially, where each new tree focuses on correcting the errors of the previous trees. This usually performs well on tabular classification problems.</w:t>
      </w:r>
    </w:p>
    <w:tbl>
      <w:tblPr>
        <w:tblStyle w:val="Table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265"/>
        <w:tblGridChange w:id="0">
          <w:tblGrid>
            <w:gridCol w:w="3390"/>
            <w:gridCol w:w="526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 / Grid</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n_estimators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learning_rate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min_child_samples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num_leaves grid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31, 63, 127, 255]</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CV sample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400,000 rows x 161 features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CV folds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5-fold stratified CV</w:t>
            </w:r>
          </w:p>
        </w:tc>
      </w:tr>
    </w:tbl>
    <w:p w:rsidR="00000000" w:rsidDel="00000000" w:rsidP="00000000" w:rsidRDefault="00000000" w:rsidRPr="00000000" w14:paraId="000001CD">
      <w:pPr>
        <w:spacing w:after="12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spacing w:after="12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7200" cy="2631276"/>
            <wp:effectExtent b="0" l="0" r="0" t="0"/>
            <wp:docPr id="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267200" cy="263127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6. LightGBM num_leaves tuning curve. Validation AUC improves as num_leaves increases, but gains become smaller while the train-validation gap grows.</w:t>
      </w:r>
    </w:p>
    <w:p w:rsidR="00000000" w:rsidDel="00000000" w:rsidP="00000000" w:rsidRDefault="00000000" w:rsidRPr="00000000" w14:paraId="000001D0">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486275" cy="2793848"/>
            <wp:effectExtent b="0" l="0" r="0" t="0"/>
            <wp:docPr id="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486275" cy="279384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7. LightGBM learning curve. AUC and TPR improve sharply up to roughly 120,000 training rows and then plateau, suggesting additional rows beyond that point add limited lift for this configuration.</w:t>
      </w:r>
    </w:p>
    <w:p w:rsidR="00000000" w:rsidDel="00000000" w:rsidP="00000000" w:rsidRDefault="00000000" w:rsidRPr="00000000" w14:paraId="000001D2">
      <w:pPr>
        <w:spacing w:after="120" w:line="256.8" w:lineRule="auto"/>
        <w:jc w:val="center"/>
        <w:rPr>
          <w:rFonts w:ascii="Times New Roman" w:cs="Times New Roman" w:eastAsia="Times New Roman" w:hAnsi="Times New Roman"/>
          <w:i w:val="1"/>
          <w:iCs w:val="1"/>
          <w:sz w:val="18"/>
          <w:szCs w:val="18"/>
        </w:rPr>
      </w:pPr>
      <w:r w:rsidDel="00000000" w:rsidR="00000000" w:rsidRPr="00000000">
        <w:rPr>
          <w:rtl w:val="0"/>
        </w:rPr>
      </w:r>
    </w:p>
    <w:tbl>
      <w:tblPr>
        <w:tblStyle w:val="Table9"/>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105"/>
        <w:tblGridChange w:id="0">
          <w:tblGrid>
            <w:gridCol w:w="3390"/>
            <w:gridCol w:w="310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D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CV Metric</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D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Mean Value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0.906911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0.096946</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0.685178</w:t>
            </w:r>
          </w:p>
        </w:tc>
      </w:tr>
    </w:tbl>
    <w:p w:rsidR="00000000" w:rsidDel="00000000" w:rsidP="00000000" w:rsidRDefault="00000000" w:rsidRPr="00000000" w14:paraId="000001DB">
      <w:pPr>
        <w:spacing w:after="12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LightGBM delivered the strongest single-model cross-validation result in the draft, with mean AUC = 0.9069 and mean TPR = 0.6852 while keeping mean FPR just under 10%. The tuning curve shows that validation AUC is highest at 255 leaves among the tested values, not 127. However, the improvement from 127 to 255 is small, while the train AUC continues to rise more sharply. Therefore, 127 leaves can be defended as a more conservative complexity choice, but the chart alone does not prove it is the best validation-AUC value.</w:t>
      </w:r>
    </w:p>
    <w:p w:rsidR="00000000" w:rsidDel="00000000" w:rsidP="00000000" w:rsidRDefault="00000000" w:rsidRPr="00000000" w14:paraId="000001D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Style w:val="Heading2"/>
        <w:keepNext w:val="0"/>
        <w:keepLines w:val="0"/>
        <w:spacing w:after="0" w:before="0" w:line="360" w:lineRule="auto"/>
        <w:rPr>
          <w:rFonts w:ascii="Times New Roman" w:cs="Times New Roman" w:eastAsia="Times New Roman" w:hAnsi="Times New Roman"/>
          <w:sz w:val="24"/>
          <w:szCs w:val="24"/>
        </w:rPr>
      </w:pPr>
      <w:bookmarkStart w:colFirst="0" w:colLast="0" w:name="_5pwfv83asdkl" w:id="10"/>
      <w:bookmarkEnd w:id="10"/>
      <w:r w:rsidDel="00000000" w:rsidR="00000000" w:rsidRPr="00000000">
        <w:rPr>
          <w:rFonts w:ascii="Times New Roman" w:cs="Times New Roman" w:eastAsia="Times New Roman" w:hAnsi="Times New Roman"/>
          <w:sz w:val="24"/>
          <w:szCs w:val="24"/>
          <w:rtl w:val="0"/>
        </w:rPr>
        <w:t xml:space="preserve">3.2 LightGBM with 5-Fold CV and Improved Features</w:t>
      </w:r>
    </w:p>
    <w:p w:rsidR="00000000" w:rsidDel="00000000" w:rsidP="00000000" w:rsidRDefault="00000000" w:rsidRPr="00000000" w14:paraId="000001D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LightGBM experiment was run using a stronger feature set and 5-fold cross-validation. This model used early stopping, allowing each fold to continue training until the validation AUC stopped improving for 50 rounds. Early stopping is useful because it lets the model benefit from additional boosting rounds while reducing the risk of training far beyond the point of validation improvement.</w:t>
      </w:r>
    </w:p>
    <w:tbl>
      <w:tblPr>
        <w:tblStyle w:val="Table1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265"/>
        <w:tblGridChange w:id="0">
          <w:tblGrid>
            <w:gridCol w:w="3390"/>
            <w:gridCol w:w="526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 / Grid</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LightGBM</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metric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auc</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Boosting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gbdt</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Leaves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Fraction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Bagging Fraction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Bagging Frequency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Jobs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Verbose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5-fold Stratified CV</w:t>
            </w:r>
          </w:p>
        </w:tc>
      </w:tr>
    </w:tbl>
    <w:p w:rsidR="00000000" w:rsidDel="00000000" w:rsidP="00000000" w:rsidRDefault="00000000" w:rsidRPr="00000000" w14:paraId="000001FC">
      <w:pPr>
        <w:spacing w:after="120"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logs show consistent performance across folds. Validation AUC reached approximately 0.909 to 0.913 across the five folds, and TPR at the 10% FPR operating point ranged from 0.7000 to 0.7140. This consistency indicates that the improved features generalized well across different validation splits rather than depending on one unusually favorable split.</w:t>
      </w:r>
    </w:p>
    <w:p w:rsidR="00000000" w:rsidDel="00000000" w:rsidP="00000000" w:rsidRDefault="00000000" w:rsidRPr="00000000" w14:paraId="000001FE">
      <w:pPr>
        <w:spacing w:after="120" w:line="256.8" w:lineRule="auto"/>
        <w:rPr>
          <w:rFonts w:ascii="Times New Roman" w:cs="Times New Roman" w:eastAsia="Times New Roman" w:hAnsi="Times New Roman"/>
          <w:sz w:val="24"/>
          <w:szCs w:val="24"/>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35"/>
        <w:gridCol w:w="2280"/>
        <w:gridCol w:w="2205"/>
        <w:tblGridChange w:id="0">
          <w:tblGrid>
            <w:gridCol w:w="2175"/>
            <w:gridCol w:w="2235"/>
            <w:gridCol w:w="2280"/>
            <w:gridCol w:w="220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Fold</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Best iteration</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 AUC</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TPR at 10% FPR</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0.7065</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0.7047</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0.9098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0.7017</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0.7140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0.7054 +/- 0.0049</w:t>
            </w:r>
          </w:p>
        </w:tc>
      </w:tr>
    </w:tbl>
    <w:p w:rsidR="00000000" w:rsidDel="00000000" w:rsidP="00000000" w:rsidRDefault="00000000" w:rsidRPr="00000000" w14:paraId="0000021B">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Table 4. LightGBM with improved features: 5-fold CV results. The model achieved mean TPR = 0.7054 at the 10% FPR operating point, improving on the earlier LightGBM CV result of 0.6852.</w:t>
      </w:r>
    </w:p>
    <w:p w:rsidR="00000000" w:rsidDel="00000000" w:rsidP="00000000" w:rsidRDefault="00000000" w:rsidRPr="00000000" w14:paraId="0000021C">
      <w:pPr>
        <w:spacing w:after="12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The improved-feature LightGBM model became the strongest standalone model in the report. Compared with the earlier LightGBM CV run, mean TPR at 10% FPR increased from 0.6852 to 0.7054, an absolute lift of about 0.0202 points. Mean CV AUC also increased from 0.9069 to approximately 0.9109. The training AUC remained higher than validation AUC, which is expected for a boosted tree model, but the validation scores were stable and strong. Fold 5 reached the maximum 1,000 iterations without early stopping and produced the best validation AUC and TPR, suggesting that additional rounds may still help under some folds, although this should be balanced against overfitting risk.</w:t>
      </w:r>
    </w:p>
    <w:p w:rsidR="00000000" w:rsidDel="00000000" w:rsidP="00000000" w:rsidRDefault="00000000" w:rsidRPr="00000000" w14:paraId="0000021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2"/>
        <w:keepNext w:val="0"/>
        <w:keepLines w:val="0"/>
        <w:spacing w:after="0" w:before="0" w:line="360" w:lineRule="auto"/>
        <w:rPr>
          <w:rFonts w:ascii="Times New Roman" w:cs="Times New Roman" w:eastAsia="Times New Roman" w:hAnsi="Times New Roman"/>
          <w:sz w:val="24"/>
          <w:szCs w:val="24"/>
        </w:rPr>
      </w:pPr>
      <w:bookmarkStart w:colFirst="0" w:colLast="0" w:name="_v4afyaberv3u" w:id="11"/>
      <w:bookmarkEnd w:id="11"/>
      <w:r w:rsidDel="00000000" w:rsidR="00000000" w:rsidRPr="00000000">
        <w:rPr>
          <w:rFonts w:ascii="Times New Roman" w:cs="Times New Roman" w:eastAsia="Times New Roman" w:hAnsi="Times New Roman"/>
          <w:sz w:val="24"/>
          <w:szCs w:val="24"/>
          <w:rtl w:val="0"/>
        </w:rPr>
        <w:t xml:space="preserve">3.3 HistGradientBoosting</w:t>
      </w:r>
    </w:p>
    <w:p w:rsidR="00000000" w:rsidDel="00000000" w:rsidP="00000000" w:rsidRDefault="00000000" w:rsidRPr="00000000" w14:paraId="0000022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HistGradientBoosting was also tested as another gradient boosting approach. It bins continuous features into histograms, which can make training faster and memory-efficient on larger tabular datasets.</w:t>
      </w:r>
    </w:p>
    <w:p w:rsidR="00000000" w:rsidDel="00000000" w:rsidP="00000000" w:rsidRDefault="00000000" w:rsidRPr="00000000" w14:paraId="00000221">
      <w:pPr>
        <w:spacing w:after="12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3390"/>
        <w:tblGridChange w:id="0">
          <w:tblGrid>
            <w:gridCol w:w="4260"/>
            <w:gridCol w:w="339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 / Hyperparameter</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AUC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0.8953</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OOF AUC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0.8953</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TPR at FPR &lt;= 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0.6469</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FPR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0.0950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threshold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0.6895</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learning_rate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max_iter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max_depth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min_samples_leaf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l2_regularization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r>
    </w:tbl>
    <w:p w:rsidR="00000000" w:rsidDel="00000000" w:rsidP="00000000" w:rsidRDefault="00000000" w:rsidRPr="00000000" w14:paraId="00000238">
      <w:pPr>
        <w:spacing w:after="12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HistGradientBoosting was competitive, but it did not outperform the LightGBM cross-validation result. Its mean TPR of 0.6469 at FPR &lt;= 10% is strong compared with the early baselines, but below the LightGBM mean TPR of 0.6852.</w:t>
      </w:r>
    </w:p>
    <w:p w:rsidR="00000000" w:rsidDel="00000000" w:rsidP="00000000" w:rsidRDefault="00000000" w:rsidRPr="00000000" w14:paraId="0000023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1"/>
        <w:keepNext w:val="0"/>
        <w:keepLines w:val="0"/>
        <w:spacing w:after="80" w:before="200" w:line="360" w:lineRule="auto"/>
        <w:rPr>
          <w:rFonts w:ascii="Times New Roman" w:cs="Times New Roman" w:eastAsia="Times New Roman" w:hAnsi="Times New Roman"/>
          <w:b w:val="1"/>
          <w:bCs w:val="1"/>
          <w:sz w:val="24"/>
          <w:szCs w:val="24"/>
        </w:rPr>
      </w:pPr>
      <w:bookmarkStart w:colFirst="0" w:colLast="0" w:name="_aa7kkjpdz0a1" w:id="12"/>
      <w:bookmarkEnd w:id="12"/>
      <w:r w:rsidDel="00000000" w:rsidR="00000000" w:rsidRPr="00000000">
        <w:rPr>
          <w:rFonts w:ascii="Times New Roman" w:cs="Times New Roman" w:eastAsia="Times New Roman" w:hAnsi="Times New Roman"/>
          <w:b w:val="1"/>
          <w:bCs w:val="1"/>
          <w:sz w:val="24"/>
          <w:szCs w:val="24"/>
          <w:rtl w:val="0"/>
        </w:rPr>
        <w:t xml:space="preserve">4. Full-Feature Logistic Regression and External Holiday Features</w:t>
      </w:r>
    </w:p>
    <w:p w:rsidR="00000000" w:rsidDel="00000000" w:rsidP="00000000" w:rsidRDefault="00000000" w:rsidRPr="00000000" w14:paraId="0000023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logistic regression model was then trained on the full feature-rich dataset. This created a linear baseline using the business, user, and tips/review-derived variables. The model was tested both without and with holiday-derived external features.</w:t>
      </w:r>
    </w:p>
    <w:tbl>
      <w:tblPr>
        <w:tblStyle w:val="Table1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410"/>
        <w:gridCol w:w="1440"/>
        <w:gridCol w:w="1440"/>
        <w:gridCol w:w="1440"/>
        <w:gridCol w:w="1410"/>
        <w:tblGridChange w:id="0">
          <w:tblGrid>
            <w:gridCol w:w="2295"/>
            <w:gridCol w:w="1410"/>
            <w:gridCol w:w="1440"/>
            <w:gridCol w:w="1440"/>
            <w:gridCol w:w="1440"/>
            <w:gridCol w:w="141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Version</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3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FPR</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4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TPR</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4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Threshold</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4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Without holiday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0.880496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0.099969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0.637448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0.666320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0.868210</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holiday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0.880487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0.099997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0.637500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0.666259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0.868191</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-0.000019</w:t>
            </w:r>
          </w:p>
        </w:tc>
      </w:tr>
    </w:tbl>
    <w:p w:rsidR="00000000" w:rsidDel="00000000" w:rsidP="00000000" w:rsidRDefault="00000000" w:rsidRPr="00000000" w14:paraId="00000255">
      <w:pPr>
        <w:spacing w:after="12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spacing w:after="120"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pStyle w:val="Heading1"/>
        <w:keepNext w:val="0"/>
        <w:keepLines w:val="0"/>
        <w:spacing w:after="80" w:before="200" w:line="360" w:lineRule="auto"/>
        <w:rPr>
          <w:rFonts w:ascii="Times New Roman" w:cs="Times New Roman" w:eastAsia="Times New Roman" w:hAnsi="Times New Roman"/>
          <w:sz w:val="24"/>
          <w:szCs w:val="24"/>
        </w:rPr>
      </w:pPr>
      <w:bookmarkStart w:colFirst="0" w:colLast="0" w:name="_nobt7dmsp4ft" w:id="13"/>
      <w:bookmarkEnd w:id="13"/>
      <w:r w:rsidDel="00000000" w:rsidR="00000000" w:rsidRPr="00000000">
        <w:rPr>
          <w:rFonts w:ascii="Times New Roman" w:cs="Times New Roman" w:eastAsia="Times New Roman" w:hAnsi="Times New Roman"/>
          <w:b w:val="1"/>
          <w:bCs w:val="1"/>
          <w:sz w:val="24"/>
          <w:szCs w:val="24"/>
          <w:rtl w:val="0"/>
        </w:rPr>
        <w:t xml:space="preserve">5. Final Blended Model</w:t>
      </w:r>
      <w:r w:rsidDel="00000000" w:rsidR="00000000" w:rsidRPr="00000000">
        <w:rPr>
          <w:rtl w:val="0"/>
        </w:rPr>
      </w:r>
    </w:p>
    <w:p w:rsidR="00000000" w:rsidDel="00000000" w:rsidP="00000000" w:rsidRDefault="00000000" w:rsidRPr="00000000" w14:paraId="00000258">
      <w:pPr>
        <w:spacing w:after="12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2400" cy="2725999"/>
            <wp:effectExtent b="0" l="0" r="0" t="0"/>
            <wp:docPr id="8" name="image5.png"/>
            <a:graphic>
              <a:graphicData uri="http://schemas.openxmlformats.org/drawingml/2006/picture">
                <pic:pic>
                  <pic:nvPicPr>
                    <pic:cNvPr id="0" name="image5.png"/>
                    <pic:cNvPicPr preferRelativeResize="0"/>
                  </pic:nvPicPr>
                  <pic:blipFill>
                    <a:blip r:embed="rId25"/>
                    <a:srcRect b="0" l="0" r="0" t="3863"/>
                    <a:stretch>
                      <a:fillRect/>
                    </a:stretch>
                  </pic:blipFill>
                  <pic:spPr>
                    <a:xfrm>
                      <a:off x="0" y="0"/>
                      <a:ext cx="3962400" cy="2725999"/>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8. Full-feature logistic regression ROC curve without holiday features. The model achieves AUC = 0.8805 and TPR = 0.6374 at 10% FPR.</w:t>
      </w:r>
    </w:p>
    <w:p w:rsidR="00000000" w:rsidDel="00000000" w:rsidP="00000000" w:rsidRDefault="00000000" w:rsidRPr="00000000" w14:paraId="0000025A">
      <w:pPr>
        <w:spacing w:after="120" w:line="256.8"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3714750" cy="2657475"/>
            <wp:effectExtent b="0" l="0" r="0" t="0"/>
            <wp:docPr id="10" name="image11.png"/>
            <a:graphic>
              <a:graphicData uri="http://schemas.openxmlformats.org/drawingml/2006/picture">
                <pic:pic>
                  <pic:nvPicPr>
                    <pic:cNvPr id="0" name="image11.png"/>
                    <pic:cNvPicPr preferRelativeResize="0"/>
                  </pic:nvPicPr>
                  <pic:blipFill>
                    <a:blip r:embed="rId26"/>
                    <a:srcRect b="0" l="0" r="0" t="4452"/>
                    <a:stretch>
                      <a:fillRect/>
                    </a:stretch>
                  </pic:blipFill>
                  <pic:spPr>
                    <a:xfrm>
                      <a:off x="0" y="0"/>
                      <a:ext cx="37147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12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Figure 9. Full-feature logistic regression ROC curve with holiday features. Performance is almost identical to the no-holiday version.</w:t>
      </w:r>
      <w:r w:rsidDel="00000000" w:rsidR="00000000" w:rsidRPr="00000000">
        <w:rPr>
          <w:rtl w:val="0"/>
        </w:rPr>
      </w:r>
    </w:p>
    <w:p w:rsidR="00000000" w:rsidDel="00000000" w:rsidP="00000000" w:rsidRDefault="00000000" w:rsidRPr="00000000" w14:paraId="000002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The full-feature logistic regression model performed far better than the business-only logistic baseline. This confirms that the engineered user and tips/review features added substantial predictive signals. However, the external holiday features improved logistic regression slightly. TPR increased only from 0.637448 to 0.637500, and AUC slightly decreased from 0.880496 to 0.880487. This difference is too small to claim a huge meaningful lift from holidays for the logistic model.</w:t>
      </w:r>
    </w:p>
    <w:p w:rsidR="00000000" w:rsidDel="00000000" w:rsidP="00000000" w:rsidRDefault="00000000" w:rsidRPr="00000000" w14:paraId="0000025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external holiday features produced only a negligible improvement for logistic regression. However, we retained them because they provided additional temporal context and were included in the final feature pipeline. The final blended model with holiday features achieved TPR = 0.7352 at FPR = 0.0970. </w:t>
      </w:r>
    </w:p>
    <w:p w:rsidR="00000000" w:rsidDel="00000000" w:rsidP="00000000" w:rsidRDefault="00000000" w:rsidRPr="00000000" w14:paraId="000002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was a weighted blend of the top models from the model zoo. The blend combined multiple LightGBM variants, XGBoost variants, and an MLP ensemble. Candidate blend weights were optimized through random search over 30,000 candidate blends on a sampled validation set, followed by full validation evaluation of the top 300 candidates. This approach can improve performance because different model families capture different patterns and make different errors.</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235"/>
        <w:tblGridChange w:id="0">
          <w:tblGrid>
            <w:gridCol w:w="3660"/>
            <w:gridCol w:w="523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Blend Detail</w:t>
            </w:r>
          </w:p>
        </w:tc>
        <w:tc>
          <w:tcPr>
            <w:tcBorders>
              <w:top w:color="000000" w:space="0" w:sz="5" w:val="single"/>
              <w:left w:color="000000" w:space="0" w:sz="0" w:val="nil"/>
              <w:bottom w:color="000000" w:space="0" w:sz="5" w:val="single"/>
              <w:right w:color="000000" w:space="0" w:sz="5" w:val="single"/>
            </w:tcBorders>
            <w:shd w:fill="f4cccc" w:val="clear"/>
            <w:tcMar>
              <w:top w:w="0.0" w:type="dxa"/>
              <w:left w:w="100.0" w:type="dxa"/>
              <w:bottom w:w="0.0" w:type="dxa"/>
              <w:right w:w="100.0" w:type="dxa"/>
            </w:tcMar>
            <w:vAlign w:val="top"/>
          </w:tcPr>
          <w:p w:rsidR="00000000" w:rsidDel="00000000" w:rsidP="00000000" w:rsidRDefault="00000000" w:rsidRPr="00000000" w14:paraId="0000026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Reported Value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family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Top-K ensemble of LightGBM, XGBoost, and MLP models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numeric features from the full feature pipeline, approximately 130+ engineered variables after target encoding</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Rows used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400,000 rows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 values tested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0.15, 0.25, 0.5, 0.8, 1.0, 2.0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FPR with holiday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0.096996</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TPR with holiday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0.735227</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Reported validation AUC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0.879</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OOF AUC reported in ensemble section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0.8953</w:t>
            </w:r>
          </w:p>
        </w:tc>
      </w:tr>
    </w:tbl>
    <w:p w:rsidR="00000000" w:rsidDel="00000000" w:rsidP="00000000" w:rsidRDefault="00000000" w:rsidRPr="00000000" w14:paraId="00000271">
      <w:pPr>
        <w:spacing w:after="12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30600"/>
            <wp:effectExtent b="0" l="0" r="0" t="0"/>
            <wp:docPr id="1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blended model achieved the best reported operating-point performance, with TPR = 0.7352 at FPR = 0.0970. This means the final model identified approximately 73.5% of positive cases while keeping the false positive rate below 10%. Even though one reported validation AUC value for the blend is lower than the LightGBM CV AUC, the blend produced the strongest TPR at the target FPR, which aligns with the project's main evaluation objective.</w:t>
      </w:r>
    </w:p>
    <w:p w:rsidR="00000000" w:rsidDel="00000000" w:rsidP="00000000" w:rsidRDefault="00000000" w:rsidRPr="00000000" w14:paraId="00000274">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 Reflection/takeaways </w:t>
      </w:r>
      <w:r w:rsidDel="00000000" w:rsidR="00000000" w:rsidRPr="00000000">
        <w:rPr>
          <w:rtl w:val="0"/>
        </w:rPr>
      </w:r>
    </w:p>
    <w:p w:rsidR="00000000" w:rsidDel="00000000" w:rsidP="00000000" w:rsidRDefault="00000000" w:rsidRPr="00000000" w14:paraId="0000027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worked very well collaboratively to figure out which model was the best. Nobody was upset when another model was chosen as the one to submit for the week, in fact, it was encouraged that everybody get to submit at least one model, so we can see the differences between what our TPR and FPR were and compare them with the final submission. We communicated when we had breakthroughs with our models and shared interesting things we noticed during the feature engineering portion of the project. </w:t>
      </w:r>
    </w:p>
    <w:p w:rsidR="00000000" w:rsidDel="00000000" w:rsidP="00000000" w:rsidRDefault="00000000" w:rsidRPr="00000000" w14:paraId="0000027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 were running for this project were computationally very heavy. In the beginning, we realized that we were unable to run this on Google Colab since we thought that would be the easiest way to collaborate. We then started running our own models locally in VSCode, as it had better computational power. Lastly, we moved to Kaggle since it allowed us to run larger subsets of data without running out of local storage. Trying to navigate how to run more complicated models on computers that weren’t built to handle computationally heavy models with such large datasets was something that took a while to navigate.  </w:t>
      </w:r>
    </w:p>
    <w:p w:rsidR="00000000" w:rsidDel="00000000" w:rsidP="00000000" w:rsidRDefault="00000000" w:rsidRPr="00000000" w14:paraId="0000027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could start the project again, we would try to collaborate in feature engineering and communicate smaller findings so that we can build on each other's work rather than communicating milestones. If we worked on the same cleaned datasets and selected the same features, we would be able to find important features a little bit faster and more accurately. Since not all models will have the same set of best features, we can only use those features as general guidelines and not the standard. If we had more time to work on the project, we would have focused more time on integrating our different models together. We came back after individually working to compare our models and helped each other through any difficulties building them, but we weren’t able to work on the same files due to long runtimes.</w:t>
      </w:r>
    </w:p>
    <w:p w:rsidR="00000000" w:rsidDel="00000000" w:rsidP="00000000" w:rsidRDefault="00000000" w:rsidRPr="00000000" w14:paraId="0000027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someone starting the project next year, we would recommend that teams start collaboratively from the start and decide on a collaborative folder to work out of early on. It’s okay to split up models in the beginning, but once certain people start doing some feature engineering, agree on the best features to use and modify, and have consistent knowledge of each other's most important features. We noticed that some of our model discrepancies came from how well we were able to feature engineers, and since this part of the project is really crucial to fully compare different models. </w:t>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7.png"/><Relationship Id="rId21" Type="http://schemas.openxmlformats.org/officeDocument/2006/relationships/image" Target="media/image10.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1.png"/><Relationship Id="rId25" Type="http://schemas.openxmlformats.org/officeDocument/2006/relationships/image" Target="media/image5.png"/><Relationship Id="rId28" Type="http://schemas.openxmlformats.org/officeDocument/2006/relationships/header" Target="header1.xml"/><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20.png"/><Relationship Id="rId11" Type="http://schemas.openxmlformats.org/officeDocument/2006/relationships/image" Target="media/image18.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19.png"/><Relationship Id="rId17" Type="http://schemas.openxmlformats.org/officeDocument/2006/relationships/image" Target="media/image8.png"/><Relationship Id="rId16" Type="http://schemas.openxmlformats.org/officeDocument/2006/relationships/image" Target="media/image22.png"/><Relationship Id="rId19" Type="http://schemas.openxmlformats.org/officeDocument/2006/relationships/image" Target="media/image14.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