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E8DDCD"/>
          <w:left w:val="single" w:sz="0" w:space="0" w:color="E8DDCD"/>
          <w:bottom w:val="single" w:sz="0" w:space="0" w:color="E8DDCD"/>
          <w:right w:val="single" w:sz="0" w:space="0" w:color="E8DDCD"/>
          <w:insideH w:val="single" w:sz="0" w:space="0" w:color="E8DDCD"/>
          <w:insideV w:val="single" w:sz="0" w:space="0" w:color="E8DDCD"/>
        </w:tblBorders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tcMar>
              <w:top w:w="220" w:type="dxa"/>
              <w:start w:w="180" w:type="dxa"/>
              <w:bottom w:w="220" w:type="dxa"/>
              <w:end w:w="180" w:type="dxa"/>
            </w:tcMar>
            <w:vAlign w:val="center"/>
            <w:shd w:fill="675B44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READY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/ INDEX</w:t>
            </w:r>
          </w:p>
        </w:tc>
        <w:tc>
          <w:tcPr>
            <w:tcW w:type="dxa" w:w="7510"/>
            <w:tcMar>
              <w:top w:w="220" w:type="dxa"/>
              <w:start w:w="260" w:type="dxa"/>
              <w:bottom w:w="220" w:type="dxa"/>
              <w:end w:w="260" w:type="dxa"/>
            </w:tcMar>
            <w:vAlign w:val="center"/>
            <w:shd w:fill="F7F1E8"/>
          </w:tcPr>
          <w:p>
            <w:pPr>
              <w:spacing w:after="80"/>
            </w:pPr>
            <w:r>
              <w:rPr>
                <w:rFonts w:ascii="Aptos" w:hAnsi="Aptos"/>
                <w:b/>
                <w:i w:val="0"/>
                <w:color w:val="5B4530"/>
                <w:sz w:val="48"/>
              </w:rPr>
              <w:t>Confirmaciones de Lisa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/>
                <w:color w:val="686056"/>
                <w:sz w:val="23"/>
              </w:rPr>
              <w:t>Datos necesarios para publicar las páginas pendientes</w:t>
            </w:r>
          </w:p>
        </w:tc>
      </w:tr>
    </w:tbl>
    <w:p>
      <w:pPr>
        <w:widowControl/>
        <w:spacing w:after="0"/>
      </w:pPr>
    </w:p>
    <w:p>
      <w:pPr>
        <w:widowControl/>
        <w:spacing w:after="140" w:line="269" w:lineRule="auto"/>
      </w:pPr>
      <w:r>
        <w:rPr>
          <w:rFonts w:ascii="Aptos" w:hAnsi="Aptos"/>
          <w:b/>
          <w:i w:val="0"/>
          <w:color w:val="67654A"/>
          <w:sz w:val="19"/>
        </w:rPr>
        <w:t xml:space="preserve">Preparado: </w:t>
      </w:r>
      <w:r>
        <w:rPr>
          <w:rFonts w:ascii="Aptos" w:hAnsi="Aptos"/>
          <w:b w:val="0"/>
          <w:i w:val="0"/>
          <w:color w:val="686056"/>
          <w:sz w:val="19"/>
        </w:rPr>
        <w:t>11 de agosto de 2026</w:t>
      </w:r>
      <w:r>
        <w:rPr>
          <w:rFonts w:ascii="Aptos" w:hAnsi="Aptos"/>
          <w:b w:val="0"/>
          <w:i w:val="0"/>
          <w:color w:val="C9BDAA"/>
          <w:sz w:val="19"/>
        </w:rPr>
        <w:t xml:space="preserve">   •   </w:t>
      </w:r>
      <w:r>
        <w:rPr>
          <w:rFonts w:ascii="Aptos" w:hAnsi="Aptos"/>
          <w:b/>
          <w:i w:val="0"/>
          <w:color w:val="67654A"/>
          <w:sz w:val="19"/>
        </w:rPr>
        <w:t xml:space="preserve">Alcance: </w:t>
      </w:r>
      <w:r>
        <w:rPr>
          <w:rFonts w:ascii="Aptos" w:hAnsi="Aptos"/>
          <w:b w:val="0"/>
          <w:i w:val="0"/>
          <w:color w:val="686056"/>
          <w:sz w:val="19"/>
        </w:rPr>
        <w:t>Seniors, Branding, Headshots, Investment y dos artículos Journal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BDAA"/>
          <w:left w:val="single" w:sz="6" w:space="0" w:color="C9BDAA"/>
          <w:bottom w:val="single" w:sz="6" w:space="0" w:color="C9BDAA"/>
          <w:right w:val="single" w:sz="6" w:space="0" w:color="C9BDAA"/>
          <w:insideH w:val="single" w:sz="6" w:space="0" w:color="C9BDAA"/>
          <w:insideV w:val="single" w:sz="6" w:space="0" w:color="C9BDA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6D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67654A"/>
                <w:sz w:val="21"/>
              </w:rPr>
              <w:t>Cómo usar este documento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312A22"/>
                <w:sz w:val="19"/>
              </w:rPr>
              <w:t>Lisa puede completar las casillas, responder por email o enviar una nota de voz. Para paquetes y derechos, es preferible adjuntar el PDF, price sheet o contrato vigente. Si una pregunta ofrece Omitir, esa decisión también cierra el pendiente.</w:t>
            </w:r>
          </w:p>
        </w:tc>
      </w:tr>
    </w:tbl>
    <w:p>
      <w:pPr>
        <w:widowControl/>
        <w:spacing w:before="120" w:after="0"/>
      </w:pPr>
      <w:r>
        <w:rPr>
          <w:rFonts w:ascii="Aptos" w:hAnsi="Aptos"/>
          <w:b/>
          <w:i w:val="0"/>
          <w:color w:val="5B4530"/>
          <w:sz w:val="18"/>
        </w:rPr>
        <w:t>FUERA DE ALCANCE: Reviews y Privacy, por instrucción de William.</w:t>
      </w:r>
    </w:p>
    <w:p>
      <w:pPr>
        <w:pStyle w:val="Heading1"/>
        <w:widowControl/>
      </w:pPr>
      <w:r>
        <w:t>1. Paquetes y colecciones: confirmación compartida</w:t>
      </w:r>
    </w:p>
    <w:p>
      <w:pPr>
        <w:widowControl/>
      </w:pPr>
      <w:r>
        <w:rPr>
          <w:rFonts w:ascii="Aptos" w:hAnsi="Aptos"/>
          <w:b w:val="0"/>
          <w:i w:val="0"/>
          <w:color w:val="312A22"/>
          <w:sz w:val="21"/>
        </w:rPr>
        <w:t xml:space="preserve">Esta sección cierra el núcleo pendiente de </w:t>
      </w:r>
      <w:r>
        <w:rPr>
          <w:rFonts w:ascii="Aptos" w:hAnsi="Aptos"/>
          <w:b/>
          <w:i w:val="0"/>
          <w:color w:val="312A22"/>
          <w:sz w:val="21"/>
        </w:rPr>
        <w:t>Seniors, Branding, Headshots e Investment</w:t>
      </w:r>
      <w:r>
        <w:rPr>
          <w:rFonts w:ascii="Aptos" w:hAnsi="Aptos"/>
          <w:b w:val="0"/>
          <w:i w:val="0"/>
          <w:color w:val="312A22"/>
          <w:sz w:val="21"/>
        </w:rPr>
        <w:t>. No hace falta responder lo mismo cuatro veces.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BDAA"/>
          <w:left w:val="single" w:sz="6" w:space="0" w:color="C9BDAA"/>
          <w:bottom w:val="single" w:sz="6" w:space="0" w:color="C9BDAA"/>
          <w:right w:val="single" w:sz="6" w:space="0" w:color="C9BDAA"/>
          <w:insideH w:val="single" w:sz="6" w:space="0" w:color="C9BDAA"/>
          <w:insideV w:val="single" w:sz="6" w:space="0" w:color="C9BDAA"/>
        </w:tblBorders>
      </w:tblPr>
      <w:tblGrid>
        <w:gridCol w:w="1250"/>
        <w:gridCol w:w="1450"/>
        <w:gridCol w:w="1740"/>
        <w:gridCol w:w="1740"/>
        <w:gridCol w:w="3180"/>
      </w:tblGrid>
      <w:tr>
        <w:trPr>
          <w:tblHeader w:val="true"/>
        </w:trPr>
        <w:tc>
          <w:tcPr>
            <w:tcW w:type="dxa" w:w="125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675B4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Paquete</w:t>
            </w:r>
          </w:p>
        </w:tc>
        <w:tc>
          <w:tcPr>
            <w:tcW w:type="dxa" w:w="145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675B4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Precio</w:t>
            </w:r>
          </w:p>
        </w:tc>
        <w:tc>
          <w:tcPr>
            <w:tcW w:type="dxa" w:w="17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675B4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Duración</w:t>
            </w:r>
          </w:p>
        </w:tc>
        <w:tc>
          <w:tcPr>
            <w:tcW w:type="dxa" w:w="174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675B4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Lugares</w:t>
            </w:r>
          </w:p>
        </w:tc>
        <w:tc>
          <w:tcPr>
            <w:tcW w:type="dxa" w:w="318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675B4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Outfits</w:t>
            </w:r>
          </w:p>
        </w:tc>
      </w:tr>
      <w:tr>
        <w:tc>
          <w:tcPr>
            <w:tcW w:type="dxa" w:w="125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312A22"/>
                <w:sz w:val="18"/>
              </w:rPr>
              <w:t>#ONE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$160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Hasta 90 min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1–2</w:t>
            </w:r>
          </w:p>
        </w:tc>
        <w:tc>
          <w:tcPr>
            <w:tcW w:type="dxa" w:w="318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2</w:t>
            </w:r>
          </w:p>
        </w:tc>
      </w:tr>
      <w:tr>
        <w:tc>
          <w:tcPr>
            <w:tcW w:type="dxa" w:w="125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312A22"/>
                <w:sz w:val="18"/>
              </w:rPr>
              <w:t>#TWO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$220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2 horas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1–3</w:t>
            </w:r>
          </w:p>
        </w:tc>
        <w:tc>
          <w:tcPr>
            <w:tcW w:type="dxa" w:w="318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2–3</w:t>
            </w:r>
          </w:p>
        </w:tc>
      </w:tr>
      <w:tr>
        <w:tc>
          <w:tcPr>
            <w:tcW w:type="dxa" w:w="1250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312A22"/>
                <w:sz w:val="18"/>
              </w:rPr>
              <w:t>#THREE</w:t>
            </w:r>
          </w:p>
        </w:tc>
        <w:tc>
          <w:tcPr>
            <w:tcW w:type="dxa" w:w="145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$330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Hasta 3 horas</w:t>
            </w:r>
          </w:p>
        </w:tc>
        <w:tc>
          <w:tcPr>
            <w:tcW w:type="dxa" w:w="174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3–4</w:t>
            </w:r>
          </w:p>
        </w:tc>
        <w:tc>
          <w:tcPr>
            <w:tcW w:type="dxa" w:w="318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3–4</w:t>
            </w:r>
          </w:p>
        </w:tc>
      </w:tr>
    </w:tbl>
    <w:p>
      <w:pPr>
        <w:pStyle w:val="Heading2"/>
        <w:widowControl/>
      </w:pPr>
      <w:r>
        <w:t>Colecciones de fotografías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BDAA"/>
          <w:left w:val="single" w:sz="6" w:space="0" w:color="C9BDAA"/>
          <w:bottom w:val="single" w:sz="6" w:space="0" w:color="C9BDAA"/>
          <w:right w:val="single" w:sz="6" w:space="0" w:color="C9BDAA"/>
          <w:insideH w:val="single" w:sz="6" w:space="0" w:color="C9BDAA"/>
          <w:insideV w:val="single" w:sz="6" w:space="0" w:color="C9BDAA"/>
        </w:tblBorders>
      </w:tblPr>
      <w:tblGrid>
        <w:gridCol w:w="1500"/>
        <w:gridCol w:w="1700"/>
        <w:gridCol w:w="6160"/>
      </w:tblGrid>
      <w:tr>
        <w:trPr>
          <w:tblHeader w:val="true"/>
        </w:trPr>
        <w:tc>
          <w:tcPr>
            <w:tcW w:type="dxa" w:w="150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8DDCD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Colección</w:t>
            </w:r>
          </w:p>
        </w:tc>
        <w:tc>
          <w:tcPr>
            <w:tcW w:type="dxa" w:w="170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8DDCD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Precio</w:t>
            </w:r>
          </w:p>
        </w:tc>
        <w:tc>
          <w:tcPr>
            <w:tcW w:type="dxa" w:w="61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8DDCD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Entrega actual</w:t>
            </w:r>
          </w:p>
        </w:tc>
      </w:tr>
      <w:tr>
        <w:tc>
          <w:tcPr>
            <w:tcW w:type="dxa" w:w="1500"/>
          </w:tcPr>
          <w:p>
            <w:r>
              <w:rPr>
                <w:rFonts w:ascii="Aptos" w:hAnsi="Aptos"/>
                <w:b/>
                <w:i w:val="0"/>
                <w:color w:val="312A22"/>
                <w:sz w:val="18"/>
              </w:rPr>
              <w:t>#1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$495.98</w:t>
            </w:r>
          </w:p>
        </w:tc>
        <w:tc>
          <w:tcPr>
            <w:tcW w:type="dxa" w:w="61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15 impresiones 4×6 en lino + 15 descargas retocadas</w:t>
            </w:r>
          </w:p>
        </w:tc>
      </w:tr>
      <w:tr>
        <w:tc>
          <w:tcPr>
            <w:tcW w:type="dxa" w:w="1500"/>
          </w:tcPr>
          <w:p>
            <w:r>
              <w:rPr>
                <w:rFonts w:ascii="Aptos" w:hAnsi="Aptos"/>
                <w:b/>
                <w:i w:val="0"/>
                <w:color w:val="312A22"/>
                <w:sz w:val="18"/>
              </w:rPr>
              <w:t>#2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$1,169.48</w:t>
            </w:r>
          </w:p>
        </w:tc>
        <w:tc>
          <w:tcPr>
            <w:tcW w:type="dxa" w:w="61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Mini álbum 5×5 de 30 imágenes + 30 descargas retocadas</w:t>
            </w:r>
          </w:p>
        </w:tc>
      </w:tr>
      <w:tr>
        <w:tc>
          <w:tcPr>
            <w:tcW w:type="dxa" w:w="1500"/>
          </w:tcPr>
          <w:p>
            <w:r>
              <w:rPr>
                <w:rFonts w:ascii="Aptos" w:hAnsi="Aptos"/>
                <w:b/>
                <w:i w:val="0"/>
                <w:color w:val="312A22"/>
                <w:sz w:val="18"/>
              </w:rPr>
              <w:t>#3</w:t>
            </w:r>
          </w:p>
        </w:tc>
        <w:tc>
          <w:tcPr>
            <w:tcW w:type="dxa" w:w="170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$1,799.99</w:t>
            </w:r>
          </w:p>
        </w:tc>
        <w:tc>
          <w:tcPr>
            <w:tcW w:type="dxa" w:w="61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Galería completa + 100 descargas retocadas + álbum 8×10 de 30 imágenes</w:t>
            </w:r>
          </w:p>
        </w:tc>
      </w:tr>
    </w:tbl>
    <w:p>
      <w:pPr>
        <w:pStyle w:val="Heading2"/>
        <w:widowControl/>
      </w:pPr>
      <w:r>
        <w:t>Otros datos vigentes en el estimador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20"/>
        </w:rPr>
        <w:t>Imagen digital retocada adicional: $25.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20"/>
        </w:rPr>
        <w:t>Outfit adicional: $20.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20"/>
        </w:rPr>
        <w:t>Rush de 48 horas: $75.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20"/>
        </w:rPr>
        <w:t>Cinco personas incluidas; $15 por persona adicional.</w:t>
      </w:r>
    </w:p>
    <w:p>
      <w:pPr>
        <w:pStyle w:val="Heading2"/>
        <w:widowControl/>
      </w:pPr>
      <w:r>
        <w:t>Respuestas de Lisa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Fecha de vigencia de precios y paquetes: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1.1 ¿La matriz anterior continúa vigente?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Sí, confirmada tal como aparece.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No. Adjunto o envío una tabla corregida.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Correcciones: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1.2 ¿Los paquetes #ONE/#TWO/#THREE aplican sin cambios a estos servicios?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Seniors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Family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Newborn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Branding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Headshots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 aplican igual. Adjunto una tabla específica por servicio.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1.3 ¿Cobertura y colección de fotografías se compran siempre por separado?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No. Explicación: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1.4 Diferencia entre “Entire gallery” y “100 retouched downloads”: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pStyle w:val="Heading1"/>
        <w:widowControl/>
      </w:pPr>
      <w:r>
        <w:t>2. Seniors</w:t>
      </w:r>
    </w:p>
    <w:p>
      <w:pPr>
        <w:widowControl/>
      </w:pPr>
      <w:r>
        <w:rPr>
          <w:rFonts w:ascii="Aptos" w:hAnsi="Aptos"/>
          <w:b w:val="0"/>
          <w:i w:val="0"/>
          <w:color w:val="312A22"/>
          <w:sz w:val="21"/>
        </w:rPr>
        <w:t xml:space="preserve">El pendiente real es la cantidad de </w:t>
      </w:r>
      <w:r>
        <w:rPr>
          <w:rFonts w:ascii="Aptos" w:hAnsi="Aptos"/>
          <w:b/>
          <w:i w:val="0"/>
          <w:color w:val="312A22"/>
          <w:sz w:val="21"/>
        </w:rPr>
        <w:t>outfits</w:t>
      </w:r>
      <w:r>
        <w:rPr>
          <w:rFonts w:ascii="Aptos" w:hAnsi="Aptos"/>
          <w:b w:val="0"/>
          <w:i w:val="0"/>
          <w:color w:val="312A22"/>
          <w:sz w:val="21"/>
        </w:rPr>
        <w:t>, no el número de imágenes.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2.1 Confirmar límites de outfits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#ONE: __________ outfits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#TWO: __________ outfits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#THREE: __________ outfits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Outfit adicional por $20:  Sí / No / Otro: 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2.2 ¿La página debe seguir dirigida a Class of 2027?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No. Cambiar a: __________________</w:t>
      </w:r>
    </w:p>
    <w:p>
      <w:pPr>
        <w:pStyle w:val="Heading1"/>
        <w:widowControl/>
      </w:pPr>
      <w:r>
        <w:t>3. Branding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3.1 Paquetes y duración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3.2 Número de imágenes finales y forma de selección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3.3 Formato, resolución y turnaround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3.4 ¿Todas las sesiones de Branding incluyen headshots?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Solo estos paquetes: 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3.5 Equipos: personas incluidas y cobro adicional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3.6 Usos incluidos en la licencia comercial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Website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Social orgánico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Paid advertising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Material impreso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Press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Billboards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Otros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Duración, exclusividad y restricciones de la licencia: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BDAA"/>
          <w:left w:val="single" w:sz="6" w:space="0" w:color="C9BDAA"/>
          <w:bottom w:val="single" w:sz="6" w:space="0" w:color="C9BDAA"/>
          <w:right w:val="single" w:sz="6" w:space="0" w:color="C9BDAA"/>
          <w:insideH w:val="single" w:sz="6" w:space="0" w:color="C9BDAA"/>
          <w:insideV w:val="single" w:sz="6" w:space="0" w:color="C9BDA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F7F1E8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ALINEACIÓN CON CONTENIDO YA INDEXADO</w:t>
            </w:r>
          </w:p>
          <w:p>
            <w:r>
              <w:rPr>
                <w:rFonts w:ascii="Aptos" w:hAnsi="Aptos"/>
                <w:b w:val="0"/>
                <w:i w:val="0"/>
                <w:color w:val="312A22"/>
                <w:sz w:val="19"/>
              </w:rPr>
              <w:t>El artículo Branding Photos vs. Headshots dice “half a day, typically” y que cada Branding incluye headshots. Si cambia, enviar la frase exacta de reemplazo.</w:t>
            </w:r>
          </w:p>
        </w:tc>
      </w:tr>
    </w:tbl>
    <w:p>
      <w:pPr>
        <w:pStyle w:val="Heading1"/>
        <w:widowControl/>
      </w:pPr>
      <w:r>
        <w:t>4. Headshots</w:t>
      </w:r>
    </w:p>
    <w:p>
      <w:pPr>
        <w:widowControl/>
      </w:pPr>
      <w:r>
        <w:rPr>
          <w:rFonts w:ascii="Aptos" w:hAnsi="Aptos"/>
          <w:b w:val="0"/>
          <w:i w:val="0"/>
          <w:color w:val="312A22"/>
          <w:sz w:val="21"/>
        </w:rPr>
        <w:t xml:space="preserve">Distinguir </w:t>
      </w:r>
      <w:r>
        <w:rPr>
          <w:rFonts w:ascii="Aptos" w:hAnsi="Aptos"/>
          <w:b/>
          <w:i w:val="0"/>
          <w:color w:val="312A22"/>
          <w:sz w:val="21"/>
        </w:rPr>
        <w:t>tiempo frente a cámara</w:t>
      </w:r>
      <w:r>
        <w:rPr>
          <w:rFonts w:ascii="Aptos" w:hAnsi="Aptos"/>
          <w:b w:val="0"/>
          <w:i w:val="0"/>
          <w:color w:val="312A22"/>
          <w:sz w:val="21"/>
        </w:rPr>
        <w:t xml:space="preserve"> de </w:t>
      </w:r>
      <w:r>
        <w:rPr>
          <w:rFonts w:ascii="Aptos" w:hAnsi="Aptos"/>
          <w:b/>
          <w:i w:val="0"/>
          <w:color w:val="312A22"/>
          <w:sz w:val="21"/>
        </w:rPr>
        <w:t>duración total con montaje</w:t>
      </w:r>
      <w:r>
        <w:rPr>
          <w:rFonts w:ascii="Aptos" w:hAnsi="Aptos"/>
          <w:b w:val="0"/>
          <w:i w:val="0"/>
          <w:color w:val="312A22"/>
          <w:sz w:val="21"/>
        </w:rPr>
        <w:t>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4.1 Tiempo frente a cámara / duración total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4.2 Entrega individual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Número de fotografías finales: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Se entregan 1–3 retratos.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Hay galería de selección.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Retoque incluido: __________________________________________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Formato/resolución: ________________________________________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Turnaround: _______________________________________________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Derechos de uso: 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4.3 Equipos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Personas por hora: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Capacidad habitual en una mañana: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Cobro por persona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Cobro por equipo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Cobro por tiempo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Usa paquetes generales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Mínimo de setup/facturación: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Fee de desplazamiento: __________________</w:t>
      </w:r>
    </w:p>
    <w:p>
      <w:pPr>
        <w:pStyle w:val="Heading1"/>
        <w:widowControl/>
      </w:pPr>
      <w:r>
        <w:t>5. Investment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5.1 ¿Investment usa los mismos paquetes y colecciones separadas para todos los servicios?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No. Mostrar una línea específica por servicio.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Seniors: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Family: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Newborn: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Branding: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Headshots: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5.2 Small elopements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 los ofrece y quiere mencionarlos públicamente.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 los ofrece; eliminar la frase.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Los ofrece, pero prefiere omitirlos por ahora.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Si se mantienen: alcance, duración, entregables y pricing: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pStyle w:val="Heading2"/>
        <w:widowControl/>
      </w:pPr>
      <w:r>
        <w:t>Comprobación opcional de políticas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Contrato + retainer reservan la fecha: Unchanged / Corrección: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Saldo restante el día de la sesión: Unchanged / Corrección: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Retainer no reembolsable, transferible una vez: Unchanged / Corrección: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Galería online activa aproximadamente un mes: Unchanged / Corrección: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Viewing ~2 semanas + finales ~1 semana después: Unchanged / Corrección: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Prints ~2 semanas; albums ~3; wood prints ~1 mes: Unchanged / Corrección: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Sin travel fee dentro de Tri-Cities: Unchanged / Corrección: __________________</w:t>
      </w:r>
    </w:p>
    <w:p>
      <w:pPr>
        <w:pStyle w:val="Heading1"/>
        <w:widowControl/>
      </w:pPr>
      <w:r>
        <w:t>6. Journal — When to Take Senior Pictures</w:t>
      </w:r>
    </w:p>
    <w:p>
      <w:pPr>
        <w:widowControl/>
      </w:pPr>
      <w:r>
        <w:rPr>
          <w:rFonts w:ascii="Aptos" w:hAnsi="Aptos"/>
          <w:b w:val="0"/>
          <w:i w:val="0"/>
          <w:color w:val="312A22"/>
          <w:sz w:val="21"/>
        </w:rPr>
        <w:t xml:space="preserve">La </w:t>
      </w:r>
      <w:r>
        <w:rPr>
          <w:rFonts w:ascii="Aptos" w:hAnsi="Aptos"/>
          <w:b/>
          <w:i w:val="0"/>
          <w:color w:val="312A22"/>
          <w:sz w:val="21"/>
        </w:rPr>
        <w:t>fecha editorial</w:t>
      </w:r>
      <w:r>
        <w:rPr>
          <w:rFonts w:ascii="Aptos" w:hAnsi="Aptos"/>
          <w:b w:val="0"/>
          <w:i w:val="0"/>
          <w:color w:val="312A22"/>
          <w:sz w:val="21"/>
        </w:rPr>
        <w:t xml:space="preserve"> es el único dato inevitable. Los otros dos puntos pueden omitirse.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6.1 Fecha del artículo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Fecha original (YYYY-MM-DD):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 existe fecha anterior; autorizo usar la fecha real de go-live.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6.2 ¿Ofrece dividir outfits entre dos mini-fechas o estaciones?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Sí, como paquete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Sí, como add-on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Sí, como dos sesiones separadas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Omitir del artículo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Si se ofrece: duración, outfits, pricing y límites: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6.3 ¿Desea publicar deadlines escolares concretos?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No. Mantener la recomendación neutral.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Sí. Enviar fuente oficial por escuela.</w:t>
      </w:r>
    </w:p>
    <w:p>
      <w:pPr>
        <w:widowControl/>
      </w:pPr>
      <w:r>
        <w:rPr>
          <w:rFonts w:ascii="Aptos" w:hAnsi="Aptos"/>
          <w:b w:val="0"/>
          <w:i/>
          <w:color w:val="686056"/>
          <w:sz w:val="18"/>
        </w:rPr>
        <w:t>Para cada deadline: escuela, año académico, fecha, URL/captura/email oficial y fecha de consulta. No usar fechas de memoria.</w:t>
      </w:r>
    </w:p>
    <w:p>
      <w:pPr>
        <w:pStyle w:val="Heading1"/>
        <w:widowControl/>
      </w:pPr>
      <w:r>
        <w:t>7. Journal — In-Home vs. Studio Newborn Photography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7.1 Aprobación factual del artículo completo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Approved as written.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Correcciones adjuntas o marcadas.</w:t>
      </w:r>
    </w:p>
    <w:p>
      <w:pPr>
        <w:widowControl/>
      </w:pPr>
      <w:r>
        <w:rPr>
          <w:rFonts w:ascii="Aptos" w:hAnsi="Aptos"/>
          <w:b/>
          <w:i w:val="0"/>
          <w:color w:val="67654A"/>
          <w:sz w:val="20"/>
        </w:rPr>
        <w:t>Revisar especialmente: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19"/>
        </w:rPr>
        <w:t>studio posing suele requerir los primeros 10–14 días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19"/>
        </w:rPr>
        <w:t>in-home funciona a las dos semanas o dos meses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19"/>
        </w:rPr>
        <w:t>una buena ventana suele ser suficiente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19"/>
        </w:rPr>
        <w:t>Lisa sostiene espacio flexible alrededor de due dates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19"/>
        </w:rPr>
        <w:t>recomienda contactar durante segundo o tercer trimestre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312A22"/>
          <w:sz w:val="19"/>
        </w:rPr>
        <w:t>observaciones atribuidas a veinte años de experiencia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7.2 ¿Ofrece in-home + set familiar posterior a golden hour?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Sí, como un paquete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Sí, como add-on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Sí, como dos sesiones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Omitir/reformular “Many families combine”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Si existe: timing, temporada, duración, personas y entregables: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7.3 Fecha del artículo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Fecha original (YYYY-MM-DD): 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No existe fecha anterior; autorizo usar la fecha real de go-live.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BDAA"/>
          <w:left w:val="single" w:sz="6" w:space="0" w:color="C9BDAA"/>
          <w:bottom w:val="single" w:sz="6" w:space="0" w:color="C9BDAA"/>
          <w:right w:val="single" w:sz="6" w:space="0" w:color="C9BDAA"/>
          <w:insideH w:val="single" w:sz="6" w:space="0" w:color="C9BDAA"/>
          <w:insideV w:val="single" w:sz="6" w:space="0" w:color="C9BDAA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E7E6D8"/>
          </w:tcPr>
          <w:p>
            <w:r>
              <w:rPr>
                <w:rFonts w:ascii="Aptos" w:hAnsi="Aptos"/>
                <w:b w:val="0"/>
                <w:i w:val="0"/>
                <w:color w:val="312A22"/>
                <w:sz w:val="19"/>
              </w:rPr>
              <w:t>La formación de seguridad newborn no bloquea este artículo: la página no afirma que Lisa haga posing de estudio ni que tenga esa certificación.</w:t>
            </w:r>
          </w:p>
        </w:tc>
      </w:tr>
    </w:tbl>
    <w:p>
      <w:pPr>
        <w:pStyle w:val="Heading1"/>
        <w:widowControl/>
      </w:pPr>
      <w:r>
        <w:t>8. Confirmación final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Nombre: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keepNext/>
        <w:widowControl/>
        <w:spacing w:before="100" w:after="60"/>
      </w:pPr>
      <w:r>
        <w:rPr>
          <w:rFonts w:ascii="Aptos" w:hAnsi="Aptos"/>
          <w:b/>
          <w:i w:val="0"/>
          <w:color w:val="312A22"/>
          <w:sz w:val="20"/>
        </w:rPr>
        <w:t>Fecha:</w:t>
      </w:r>
    </w:p>
    <w:p>
      <w:pPr>
        <w:widowControl/>
        <w:spacing w:after="20"/>
      </w:pPr>
      <w:r>
        <w:rPr>
          <w:rFonts w:ascii="Aptos" w:hAnsi="Aptos"/>
          <w:b w:val="0"/>
          <w:i w:val="0"/>
          <w:color w:val="A5998A"/>
          <w:sz w:val="18"/>
        </w:rPr>
        <w:t>____________________________________________________________________________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Confirmo que mis respuestas reflejan los servicios y políticas vigentes.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Autorizo publicar las páginas correspondientes tras incorporar las respuestas y completar QA.</w:t>
      </w:r>
    </w:p>
    <w:p>
      <w:pPr>
        <w:widowControl/>
        <w:spacing w:after="50"/>
        <w:ind w:left="317" w:hanging="259"/>
      </w:pPr>
      <w:r>
        <w:rPr>
          <w:rFonts w:ascii="DejaVu Sans" w:hAnsi="DejaVu Sans"/>
          <w:b w:val="0"/>
          <w:i w:val="0"/>
          <w:color w:val="5B4530"/>
          <w:sz w:val="22"/>
        </w:rPr>
        <w:t xml:space="preserve">☐ </w:t>
      </w:r>
      <w:r>
        <w:rPr>
          <w:rFonts w:ascii="Aptos" w:hAnsi="Aptos"/>
          <w:b w:val="0"/>
          <w:i w:val="0"/>
          <w:color w:val="312A22"/>
          <w:sz w:val="20"/>
        </w:rPr>
        <w:t>Todo dato sin confirmar debe omitirse, no inferirse.</w:t>
      </w:r>
    </w:p>
    <w:p>
      <w:pPr>
        <w:pStyle w:val="Heading2"/>
        <w:widowControl/>
      </w:pPr>
      <w:r>
        <w:t>Qué desbloquea cada respuesta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BDAA"/>
          <w:left w:val="single" w:sz="6" w:space="0" w:color="C9BDAA"/>
          <w:bottom w:val="single" w:sz="6" w:space="0" w:color="C9BDAA"/>
          <w:right w:val="single" w:sz="6" w:space="0" w:color="C9BDAA"/>
          <w:insideH w:val="single" w:sz="6" w:space="0" w:color="C9BDAA"/>
          <w:insideV w:val="single" w:sz="6" w:space="0" w:color="C9BDAA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675B44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Respuesta</w:t>
            </w:r>
          </w:p>
        </w:tc>
        <w:tc>
          <w:tcPr>
            <w:tcW w:type="dxa" w:w="6860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  <w:shd w:fill="675B44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Página que puede publicarse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Secciones 1 + 2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Seniors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Secciones 1 + 3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Branding y correcciones del artículo indexado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Secciones 1 + 4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Headshots y correcciones del artículo indexado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Secciones 1 + 5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Investment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Sección 6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Senior Timing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5B4530"/>
                <w:sz w:val="18"/>
              </w:rPr>
              <w:t>Sección 7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312A22"/>
                <w:sz w:val="18"/>
              </w:rPr>
              <w:t>Newborn Comparison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i w:val="0"/>
        <w:color w:val="686056"/>
        <w:sz w:val="16"/>
      </w:rPr>
      <w:t>It's A Keeper Photography  |  Confirmaciones para publicación  |  11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/>
        <w:b/>
        <w:i w:val="0"/>
        <w:color w:val="67654A"/>
        <w:sz w:val="16"/>
      </w:rPr>
      <w:t>IT'S A KEEPER PHOTOGRAPHY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/>
      <w:color w:val="31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5B45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5B453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6765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ind w:left="547" w:hanging="274"/>
      <w:contextualSpacing/>
    </w:pPr>
    <w:rPr>
      <w:rFonts w:ascii="Aptos" w:hAnsi="Aptos"/>
      <w:color w:val="312A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ind w:left="547" w:hanging="274"/>
      <w:contextualSpacing/>
    </w:pPr>
    <w:rPr>
      <w:rFonts w:ascii="Aptos" w:hAnsi="Aptos"/>
      <w:color w:val="312A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Confirmaciones de Lisa para publicar las páginas pendientes</dc:title>
  <dc:subject>Checklist factual y comercial para ready/index</dc:subject>
  <dc:creator>It's A Keeper Photography</dc:creator>
  <cp:keywords>Lisa Weiss, website, ready index, publication checklist</cp:keywords>
  <dc:description>Prepared from repository source-of-truth on 2026-08-11.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