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0D68" w14:textId="5564C525" w:rsidR="005C4862" w:rsidRPr="001A1237" w:rsidRDefault="005C4862" w:rsidP="00876D18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</w:pPr>
      <w:r w:rsidRPr="001A123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  <w:t>Prescrictive analysis</w:t>
      </w:r>
    </w:p>
    <w:p w14:paraId="71B32FA6" w14:textId="4002DE05" w:rsidR="005C4862" w:rsidRPr="007D40D7" w:rsidRDefault="005C4862" w:rsidP="00876D1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This section seeks to anticipate what could happened in a short term in topics rela</w:t>
      </w:r>
      <w:r w:rsidR="00C0013E"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ted</w:t>
      </w: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with the gold, Crud</w:t>
      </w:r>
      <w:r w:rsidR="00C0013E"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e </w:t>
      </w: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Oil and BTC and how </w:t>
      </w:r>
      <w:r w:rsidR="00C0013E"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these movements</w:t>
      </w: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are reflected in the current geopolitical tensions and the changes in the international financial balance.</w:t>
      </w:r>
    </w:p>
    <w:p w14:paraId="5266D335" w14:textId="177C21BD" w:rsidR="005C4862" w:rsidRPr="007D40D7" w:rsidRDefault="005C4862" w:rsidP="00876D1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The goal is to identify trends directions that help understand how the markets are responding to </w:t>
      </w:r>
      <w:r w:rsidR="00C0013E"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the way</w:t>
      </w: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the dollar loss power and the global economic fragmentation growing.</w:t>
      </w:r>
    </w:p>
    <w:p w14:paraId="4AEFE6C0" w14:textId="26E92D37" w:rsidR="00C0013E" w:rsidRPr="001A1237" w:rsidRDefault="00C0013E" w:rsidP="00D04895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es-MX"/>
          <w14:ligatures w14:val="none"/>
        </w:rPr>
      </w:pPr>
      <w:r w:rsidRPr="001A123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es-MX"/>
          <w14:ligatures w14:val="none"/>
        </w:rPr>
        <w:t>Methodological approach</w:t>
      </w:r>
    </w:p>
    <w:p w14:paraId="157759CB" w14:textId="53AD0928" w:rsidR="00D870C6" w:rsidRPr="007D40D7" w:rsidRDefault="00C0013E" w:rsidP="00876D1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Based on the applied and exploratory nature of the study, simple moving averages of three months applied to actual monthly data are used to project trends up to th</w:t>
      </w:r>
      <w:r w:rsidR="00D870C6"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e first quarter of 2026</w:t>
      </w:r>
      <w:r w:rsidR="00876D1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through the following analyzed variables:</w:t>
      </w:r>
    </w:p>
    <w:p w14:paraId="686EE9E8" w14:textId="715BC7B3" w:rsidR="00D870C6" w:rsidRPr="007D40D7" w:rsidRDefault="00D870C6" w:rsidP="00876D18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Gold imports of B</w:t>
      </w:r>
      <w:r w:rsidR="00876D1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RICS</w:t>
      </w: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’s countries (quantity and value)</w:t>
      </w:r>
    </w:p>
    <w:p w14:paraId="4B47CF0A" w14:textId="73F0C450" w:rsidR="00D870C6" w:rsidRPr="007D40D7" w:rsidRDefault="00D870C6" w:rsidP="00876D18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Crude Oil</w:t>
      </w: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imports of B</w:t>
      </w:r>
      <w:r w:rsidR="00876D1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RICS</w:t>
      </w: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’s countries (quantity and value)</w:t>
      </w:r>
    </w:p>
    <w:p w14:paraId="2DDABE0D" w14:textId="1A82E57F" w:rsidR="00876D18" w:rsidRPr="00876D18" w:rsidRDefault="00D870C6" w:rsidP="00876D18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BTC </w:t>
      </w:r>
      <w:r w:rsidR="00876D18"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Trading</w:t>
      </w: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volume dominated in USA</w:t>
      </w:r>
    </w:p>
    <w:p w14:paraId="490BBC30" w14:textId="77777777" w:rsidR="00D870C6" w:rsidRDefault="00D870C6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1E68ACA3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75CE4120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568B7798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73142AB3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71805A9A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542E41DD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0D4CC27F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054D80D3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6F18B483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0F608380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4487DF84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4AE9CC30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0D793199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5B217F4E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20FC63D9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4D104D97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3892C7EC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65C34A05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40758EAA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01B5168D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6C0B8915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62DEC007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5621560E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0E71230F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20ABEC7D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4C33C973" w14:textId="77777777" w:rsidR="0094276E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7474631A" w14:textId="77777777" w:rsidR="0094276E" w:rsidRPr="007D40D7" w:rsidRDefault="0094276E" w:rsidP="00876D18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7B68EA3C" w14:textId="32F7585B" w:rsidR="007D40D7" w:rsidRDefault="0094276E" w:rsidP="00D04895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es-MX"/>
          <w14:ligatures w14:val="none"/>
        </w:rPr>
      </w:pPr>
      <w:r w:rsidRPr="00D870C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s-MX"/>
          <w14:ligatures w14:val="none"/>
        </w:rPr>
        <w:lastRenderedPageBreak/>
        <w:drawing>
          <wp:anchor distT="0" distB="0" distL="114300" distR="114300" simplePos="0" relativeHeight="251658240" behindDoc="1" locked="0" layoutInCell="1" allowOverlap="1" wp14:anchorId="0176571C" wp14:editId="73B782E5">
            <wp:simplePos x="0" y="0"/>
            <wp:positionH relativeFrom="column">
              <wp:posOffset>-327448</wp:posOffset>
            </wp:positionH>
            <wp:positionV relativeFrom="paragraph">
              <wp:posOffset>310515</wp:posOffset>
            </wp:positionV>
            <wp:extent cx="6314526" cy="5400000"/>
            <wp:effectExtent l="0" t="0" r="0" b="0"/>
            <wp:wrapNone/>
            <wp:docPr id="1591346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46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452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70C6" w:rsidRPr="001A123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es-MX"/>
          <w14:ligatures w14:val="none"/>
        </w:rPr>
        <w:t>Gold accumulation as a defensive strategy</w:t>
      </w:r>
    </w:p>
    <w:p w14:paraId="79A7E129" w14:textId="77777777" w:rsidR="0094276E" w:rsidRDefault="0094276E" w:rsidP="0094276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es-MX"/>
          <w14:ligatures w14:val="none"/>
        </w:rPr>
      </w:pPr>
    </w:p>
    <w:p w14:paraId="269492AB" w14:textId="77777777" w:rsidR="0094276E" w:rsidRDefault="0094276E" w:rsidP="0094276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es-MX"/>
          <w14:ligatures w14:val="none"/>
        </w:rPr>
      </w:pPr>
    </w:p>
    <w:p w14:paraId="144220AF" w14:textId="77777777" w:rsidR="0094276E" w:rsidRDefault="0094276E" w:rsidP="0094276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es-MX"/>
          <w14:ligatures w14:val="none"/>
        </w:rPr>
      </w:pPr>
    </w:p>
    <w:p w14:paraId="599875A2" w14:textId="77777777" w:rsidR="0094276E" w:rsidRPr="0094276E" w:rsidRDefault="0094276E" w:rsidP="0094276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es-MX"/>
          <w14:ligatures w14:val="none"/>
        </w:rPr>
      </w:pPr>
    </w:p>
    <w:p w14:paraId="76C4B0D9" w14:textId="1740FB5A" w:rsidR="001A1237" w:rsidRPr="007D40D7" w:rsidRDefault="001A1237" w:rsidP="001A1237">
      <w:pPr>
        <w:pStyle w:val="Prrafodelist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56D687BC" w14:textId="7D1AD7A4" w:rsidR="00D870C6" w:rsidRPr="00D870C6" w:rsidRDefault="00D870C6" w:rsidP="00D870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s-MX"/>
          <w14:ligatures w14:val="none"/>
        </w:rPr>
      </w:pPr>
    </w:p>
    <w:p w14:paraId="5E9DA829" w14:textId="77777777" w:rsidR="00876D18" w:rsidRDefault="00876D18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4940CFB8" w14:textId="77777777" w:rsidR="00876D18" w:rsidRDefault="00876D18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40D57CD3" w14:textId="77777777" w:rsidR="00876D18" w:rsidRDefault="00876D18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1E808D95" w14:textId="77777777" w:rsidR="00876D18" w:rsidRDefault="00876D18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3AD4EA9D" w14:textId="77777777" w:rsidR="00876D18" w:rsidRDefault="00876D18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57256AF1" w14:textId="77777777" w:rsidR="00876D18" w:rsidRDefault="00876D18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61E7065C" w14:textId="77777777" w:rsidR="00876D18" w:rsidRDefault="00876D18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54459548" w14:textId="77777777" w:rsidR="00876D18" w:rsidRDefault="00876D18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34A1FDD8" w14:textId="1C91E80E" w:rsidR="00D870C6" w:rsidRPr="005B52B6" w:rsidRDefault="005B52B6" w:rsidP="009427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875B0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Figure 1.</w:t>
      </w:r>
      <w:r w:rsidRPr="005B52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Gold BRICS forecast</w:t>
      </w:r>
    </w:p>
    <w:p w14:paraId="638C63B7" w14:textId="77777777" w:rsidR="0094276E" w:rsidRDefault="0094276E" w:rsidP="00876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6EF01CCC" w14:textId="780E9C3A" w:rsidR="005B52B6" w:rsidRDefault="005B52B6" w:rsidP="00876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5B52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Data sho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ws that after a slowdown of gold imports during 2024 and 2025, the 3-month moving average resurgence in gold accumulation by the BRICS countries, The projection suggest </w:t>
      </w:r>
      <w:r w:rsidR="0015615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growing of approximately 8% and 12%.</w:t>
      </w:r>
    </w:p>
    <w:p w14:paraId="2D00994F" w14:textId="439964A5" w:rsidR="00156156" w:rsidRDefault="00156156" w:rsidP="00876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15615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Th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is</w:t>
      </w:r>
      <w:r w:rsidRPr="0015615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behavior is consistent wi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th the use of gold as a defensive asset against risk of financial sanctions, potential freeze of foreign currency reserves and reduce dependence on dollar denominated assets.</w:t>
      </w:r>
    </w:p>
    <w:p w14:paraId="1A38E75D" w14:textId="77777777" w:rsidR="0094276E" w:rsidRDefault="0094276E" w:rsidP="00876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7731F47E" w14:textId="77777777" w:rsidR="0094276E" w:rsidRPr="00156156" w:rsidRDefault="0094276E" w:rsidP="00876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3B6FC49B" w14:textId="431BDAC9" w:rsidR="00156156" w:rsidRPr="001A1237" w:rsidRDefault="001A1237" w:rsidP="00D04895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s-MX"/>
          <w14:ligatures w14:val="none"/>
        </w:rPr>
      </w:pPr>
      <w:r w:rsidRPr="00875B03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lastRenderedPageBreak/>
        <w:drawing>
          <wp:anchor distT="0" distB="0" distL="114300" distR="114300" simplePos="0" relativeHeight="251659264" behindDoc="1" locked="0" layoutInCell="1" allowOverlap="1" wp14:anchorId="5BE3F849" wp14:editId="101CAD50">
            <wp:simplePos x="0" y="0"/>
            <wp:positionH relativeFrom="column">
              <wp:posOffset>-293370</wp:posOffset>
            </wp:positionH>
            <wp:positionV relativeFrom="paragraph">
              <wp:posOffset>354330</wp:posOffset>
            </wp:positionV>
            <wp:extent cx="6314528" cy="5400000"/>
            <wp:effectExtent l="0" t="0" r="0" b="0"/>
            <wp:wrapNone/>
            <wp:docPr id="886941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1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452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156" w:rsidRPr="001A12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s-MX"/>
          <w14:ligatures w14:val="none"/>
        </w:rPr>
        <w:t>Crude Oil</w:t>
      </w:r>
      <w:r w:rsidR="00875B03" w:rsidRPr="001A12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s-MX"/>
          <w14:ligatures w14:val="none"/>
        </w:rPr>
        <w:t>, a geopolitical hedge</w:t>
      </w:r>
    </w:p>
    <w:p w14:paraId="0C939221" w14:textId="52A7A97E" w:rsidR="00875B03" w:rsidRDefault="00875B03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30E99182" w14:textId="526D3876" w:rsidR="00876D18" w:rsidRDefault="00876D18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449D88BC" w14:textId="1AA3D656" w:rsidR="00876D18" w:rsidRDefault="00876D18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329F214A" w14:textId="12962C91" w:rsidR="00876D18" w:rsidRDefault="00876D18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55F1901B" w14:textId="08BB0337" w:rsidR="00876D18" w:rsidRDefault="00876D18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386E42DE" w14:textId="4E14C020" w:rsidR="00876D18" w:rsidRPr="00875B03" w:rsidRDefault="00876D18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3DDC9CFE" w14:textId="1E86662D" w:rsidR="00156156" w:rsidRDefault="00156156" w:rsidP="0015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60BFFA38" w14:textId="77777777" w:rsidR="00876D18" w:rsidRDefault="00876D18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54B3A58F" w14:textId="77777777" w:rsidR="00876D18" w:rsidRDefault="00876D18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4C8D31F5" w14:textId="77777777" w:rsidR="00876D18" w:rsidRDefault="00876D18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3D8BA52B" w14:textId="77777777" w:rsidR="00876D18" w:rsidRDefault="00876D18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5498ADF6" w14:textId="77777777" w:rsidR="00876D18" w:rsidRDefault="00876D18" w:rsidP="0087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5C36F37E" w14:textId="77777777" w:rsidR="0094276E" w:rsidRDefault="0094276E" w:rsidP="00876D1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5446B64E" w14:textId="77777777" w:rsidR="0094276E" w:rsidRDefault="0094276E" w:rsidP="00876D1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44F74E82" w14:textId="77777777" w:rsidR="0094276E" w:rsidRDefault="0094276E" w:rsidP="00876D1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3668D898" w14:textId="2AC7A5E8" w:rsidR="00875B03" w:rsidRPr="005B52B6" w:rsidRDefault="00875B03" w:rsidP="00942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875B0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 xml:space="preserve">Figure </w:t>
      </w:r>
      <w:r w:rsidRPr="00875B0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2</w:t>
      </w:r>
      <w:r w:rsidRPr="00875B0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.</w:t>
      </w:r>
      <w:r w:rsidRPr="005B52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BRICS Crude Oil Imports</w:t>
      </w:r>
    </w:p>
    <w:p w14:paraId="1A6274F1" w14:textId="77777777" w:rsidR="00876D18" w:rsidRDefault="00875B03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875B03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The predictive analysis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of Crude Oil indicated a continuous and moderated grown on imports by BRICS with an increase of 5% year over year driven by majority by China and India.</w:t>
      </w:r>
    </w:p>
    <w:p w14:paraId="63BA4E53" w14:textId="65201214" w:rsidR="00875B03" w:rsidRDefault="007D40D7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Beyond</w:t>
      </w:r>
      <w:r w:rsidR="00875B03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physical volumes, the strategic value of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c</w:t>
      </w:r>
      <w:r w:rsidR="00875B03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rude oil lies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on its role as a geopolitical instrument and increasingly energy trade is linked to bilateral agreements, alternative currencies to the dollar and settlement mechanisms outside the traditional financial system.</w:t>
      </w:r>
    </w:p>
    <w:p w14:paraId="4A08F529" w14:textId="42294B16" w:rsidR="0029539A" w:rsidRDefault="007D40D7" w:rsidP="001A12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From</w:t>
      </w: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this perspective,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the</w:t>
      </w:r>
      <w:r w:rsidRPr="007D40D7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crude oil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does not act as a monetary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safe haven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comparable to gold but rather as a transactional hedge used to cover risks associated to international trade and energetic security.</w:t>
      </w:r>
    </w:p>
    <w:p w14:paraId="7ABC6D8C" w14:textId="028C61A4" w:rsidR="00876D18" w:rsidRDefault="0094276E" w:rsidP="001A1237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</w:pPr>
      <w:r w:rsidRPr="001A123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  <w:lastRenderedPageBreak/>
        <w:drawing>
          <wp:anchor distT="0" distB="0" distL="114300" distR="114300" simplePos="0" relativeHeight="251660288" behindDoc="1" locked="0" layoutInCell="1" allowOverlap="1" wp14:anchorId="40E88B97" wp14:editId="090BD7C5">
            <wp:simplePos x="0" y="0"/>
            <wp:positionH relativeFrom="column">
              <wp:posOffset>-259292</wp:posOffset>
            </wp:positionH>
            <wp:positionV relativeFrom="paragraph">
              <wp:posOffset>412750</wp:posOffset>
            </wp:positionV>
            <wp:extent cx="6314400" cy="3128622"/>
            <wp:effectExtent l="0" t="0" r="0" b="0"/>
            <wp:wrapNone/>
            <wp:docPr id="2066317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17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3128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1237" w:rsidRPr="001A123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  <w:t>B</w:t>
      </w:r>
      <w:r w:rsidR="001A123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  <w:t>itcoin</w:t>
      </w:r>
      <w:r w:rsidR="001A1237" w:rsidRPr="001A123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  <w:t>: Financial stress thermomether</w:t>
      </w:r>
    </w:p>
    <w:p w14:paraId="06830C91" w14:textId="46D55E38" w:rsidR="001A1237" w:rsidRPr="001A1237" w:rsidRDefault="001A1237" w:rsidP="001A12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</w:pPr>
    </w:p>
    <w:p w14:paraId="3F6CECC8" w14:textId="77777777" w:rsidR="0094276E" w:rsidRDefault="0094276E" w:rsidP="001A12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2189D991" w14:textId="77777777" w:rsidR="0094276E" w:rsidRDefault="0094276E" w:rsidP="001A12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174A1EF6" w14:textId="77777777" w:rsidR="0094276E" w:rsidRDefault="0094276E" w:rsidP="001A12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3A00187D" w14:textId="77777777" w:rsidR="0094276E" w:rsidRDefault="0094276E" w:rsidP="001A12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27113D99" w14:textId="77777777" w:rsidR="0094276E" w:rsidRDefault="0094276E" w:rsidP="001A12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3015B276" w14:textId="77777777" w:rsidR="0094276E" w:rsidRDefault="0094276E" w:rsidP="001A12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0CBA8B48" w14:textId="77777777" w:rsidR="0094276E" w:rsidRDefault="0094276E" w:rsidP="001A12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00BCD880" w14:textId="77777777" w:rsidR="0094276E" w:rsidRDefault="0094276E" w:rsidP="001A12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5D1AFB1F" w14:textId="5E8A7524" w:rsidR="001A1237" w:rsidRPr="001A1237" w:rsidRDefault="001A1237" w:rsidP="00942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875B0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 xml:space="preserve">Figure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3</w:t>
      </w:r>
      <w:r w:rsidRPr="00875B0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.</w:t>
      </w:r>
      <w:r w:rsidRPr="005B52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Bitcoin USD Trading Volume</w:t>
      </w:r>
    </w:p>
    <w:p w14:paraId="33955103" w14:textId="77777777" w:rsidR="0094276E" w:rsidRDefault="0094276E" w:rsidP="00B457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2C8FFED7" w14:textId="2F21826D" w:rsidR="001A1237" w:rsidRPr="00B457E8" w:rsidRDefault="001A1237" w:rsidP="00B457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B457E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In the case of Bitcoin, the analysis focuses on trading volume dominated in USD, rather than price, the data show that although the dollar still accounts for between 60% and 70% of the </w:t>
      </w:r>
      <w:r w:rsidR="00B457E8" w:rsidRPr="00B457E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v</w:t>
      </w:r>
      <w:r w:rsidRPr="00B457E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olume, its </w:t>
      </w:r>
      <w:r w:rsidR="00B457E8" w:rsidRPr="00B457E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dominance</w:t>
      </w:r>
      <w:r w:rsidRPr="00B457E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is </w:t>
      </w:r>
      <w:r w:rsidR="00B457E8" w:rsidRPr="00B457E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lowering</w:t>
      </w:r>
      <w:r w:rsidRPr="00B457E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</w:t>
      </w:r>
      <w:r w:rsidR="00B457E8" w:rsidRPr="00B457E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in the long term.</w:t>
      </w:r>
    </w:p>
    <w:p w14:paraId="175CA9A3" w14:textId="3D67F3AF" w:rsidR="00B457E8" w:rsidRPr="00B457E8" w:rsidRDefault="00B457E8" w:rsidP="00B457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B457E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The projection thought moving average suggest a short-term stabilization, although any significant deviation from this trend could be interpreted as an early sign of regulatory changes, macroeconomic shocks or a loss of confidence on the dominant monetary system. </w:t>
      </w:r>
    </w:p>
    <w:p w14:paraId="1376A12A" w14:textId="5471D065" w:rsidR="0029539A" w:rsidRDefault="00B457E8" w:rsidP="00D048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In this context, Bitcoin </w:t>
      </w:r>
      <w:r w:rsidR="00D04895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does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not behave as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a safe haven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but </w:t>
      </w:r>
      <w:r w:rsidR="0002110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rather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as a fast indicator of tension and financial transition, reacting </w:t>
      </w:r>
      <w:r w:rsidR="00D04895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before the traditional assets.</w:t>
      </w:r>
    </w:p>
    <w:p w14:paraId="20CAE94E" w14:textId="77777777" w:rsidR="0094276E" w:rsidRDefault="0094276E" w:rsidP="00D048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788848C8" w14:textId="77777777" w:rsidR="0094276E" w:rsidRDefault="0094276E" w:rsidP="00D048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4F0DD458" w14:textId="77777777" w:rsidR="0094276E" w:rsidRDefault="0094276E" w:rsidP="00D048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47E5C6E0" w14:textId="77777777" w:rsidR="0094276E" w:rsidRDefault="0094276E" w:rsidP="00D048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2F0B88EC" w14:textId="77777777" w:rsidR="0094276E" w:rsidRDefault="0094276E" w:rsidP="00D048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0C979AFD" w14:textId="77777777" w:rsidR="0094276E" w:rsidRDefault="0094276E" w:rsidP="00D048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5262E383" w14:textId="384F99DB" w:rsidR="00021108" w:rsidRDefault="003F2BE0" w:rsidP="00021108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es-MX"/>
          <w14:ligatures w14:val="none"/>
        </w:rPr>
        <w:lastRenderedPageBreak/>
        <w:t>Comparative forecast analysis – 3-months prediction</w:t>
      </w:r>
    </w:p>
    <w:p w14:paraId="2C8F214D" w14:textId="3A1AA2E9" w:rsidR="00021108" w:rsidRPr="00021108" w:rsidRDefault="003F2BE0" w:rsidP="000211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F2BE0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drawing>
          <wp:inline distT="0" distB="0" distL="0" distR="0" wp14:anchorId="2AE892CC" wp14:editId="3A9824C8">
            <wp:extent cx="5760000" cy="2857189"/>
            <wp:effectExtent l="0" t="0" r="0" b="635"/>
            <wp:docPr id="1037223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23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0204" w14:textId="2F44CE90" w:rsidR="0094276E" w:rsidRPr="001A1237" w:rsidRDefault="0094276E" w:rsidP="00FE4A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875B0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 xml:space="preserve">Figure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4</w:t>
      </w:r>
      <w:r w:rsidRPr="00875B0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.</w:t>
      </w:r>
      <w:r w:rsidRPr="005B52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Comparative </w:t>
      </w:r>
      <w:r w:rsidR="003F2BE0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forecast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analysis: </w:t>
      </w:r>
      <w:r w:rsidR="003F2BE0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Historical Trends and 3-months prediction</w:t>
      </w:r>
    </w:p>
    <w:p w14:paraId="54034F0B" w14:textId="2DC520B0" w:rsidR="00D04895" w:rsidRDefault="004541A5" w:rsidP="00FE4A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The comparison between Gol, Crude Oil and Bitcoin revels a </w:t>
      </w:r>
      <w:r w:rsidR="00FE4A5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differentiated response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to global tensions.</w:t>
      </w:r>
    </w:p>
    <w:p w14:paraId="607810D5" w14:textId="22C26CE7" w:rsidR="004541A5" w:rsidRDefault="004541A5" w:rsidP="00FE4A5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Gold acts as a long-term strategic reserve</w:t>
      </w:r>
      <w:r w:rsidR="008078A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.</w:t>
      </w:r>
    </w:p>
    <w:p w14:paraId="2FFDEC92" w14:textId="17D89D6E" w:rsidR="004541A5" w:rsidRDefault="004541A5" w:rsidP="00FE4A5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Crude Oil serves as trade and geopolitical hedge</w:t>
      </w:r>
      <w:r w:rsidR="008078A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.</w:t>
      </w:r>
    </w:p>
    <w:p w14:paraId="20EF8E79" w14:textId="4791569B" w:rsidR="004541A5" w:rsidRPr="004541A5" w:rsidRDefault="004541A5" w:rsidP="00FE4A5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Bitcoin </w:t>
      </w:r>
      <w:r w:rsidR="008078A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function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as a high-sensor frequency of financial stress</w:t>
      </w:r>
      <w:r w:rsidR="008078A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.</w:t>
      </w:r>
    </w:p>
    <w:p w14:paraId="7E8BEABA" w14:textId="69A03C7F" w:rsidR="0029539A" w:rsidRDefault="004541A5" w:rsidP="00FE4A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4541A5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The predictive analysis </w:t>
      </w:r>
      <w:r w:rsidR="00FE4A56" w:rsidRPr="004541A5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suggests</w:t>
      </w:r>
      <w:r w:rsidRPr="004541A5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that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, if current tension persist, </w:t>
      </w:r>
      <w:r w:rsidR="00FE4A5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these three assets </w:t>
      </w:r>
      <w:r w:rsidR="008078A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won’t</w:t>
      </w:r>
      <w:r w:rsidR="00FE4A5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comp</w:t>
      </w:r>
      <w:r w:rsidR="008078A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l</w:t>
      </w:r>
      <w:r w:rsidR="00FE4A5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ete with each other, but will continue to fulfill complementary roles within the global financial system.</w:t>
      </w:r>
    </w:p>
    <w:p w14:paraId="1BBE01C6" w14:textId="467471F3" w:rsidR="00595E06" w:rsidRPr="0029539A" w:rsidRDefault="00595E06" w:rsidP="00FE4A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  <w:t xml:space="preserve">7. </w:t>
      </w:r>
      <w:r w:rsidRPr="00595E0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  <w:t>Practicals implications</w:t>
      </w:r>
    </w:p>
    <w:p w14:paraId="64B1EF13" w14:textId="46A3577C" w:rsidR="00595E06" w:rsidRDefault="00595E06" w:rsidP="002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595E0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For BRICS countries the forec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ast show:</w:t>
      </w:r>
    </w:p>
    <w:p w14:paraId="168D7975" w14:textId="29BF3359" w:rsidR="00595E06" w:rsidRDefault="00595E06" w:rsidP="00595E0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The projection suggest </w:t>
      </w:r>
      <w:r w:rsidRPr="00D767E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gold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accumulation will continue in the short-term, reinforcing its role as a hedge against monetary and geopolitical risk.</w:t>
      </w:r>
    </w:p>
    <w:p w14:paraId="4E21C258" w14:textId="77777777" w:rsidR="00595E06" w:rsidRDefault="00595E06" w:rsidP="00595E0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5502BEBD" w14:textId="00EBF653" w:rsidR="00595E06" w:rsidRDefault="00595E06" w:rsidP="00595E0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The </w:t>
      </w:r>
      <w:r w:rsidRPr="00D767E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crude oil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forecast points to contained but persistent growth, consistent with energy security strategy rather than </w:t>
      </w:r>
      <w:r w:rsidR="00D767E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financial </w:t>
      </w:r>
      <w:proofErr w:type="gramStart"/>
      <w:r w:rsidR="00D767E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safe haven</w:t>
      </w:r>
      <w:proofErr w:type="gramEnd"/>
      <w:r w:rsidR="00D767E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dynamics.</w:t>
      </w:r>
    </w:p>
    <w:p w14:paraId="26ECAE35" w14:textId="77777777" w:rsidR="00D767EF" w:rsidRPr="00D767EF" w:rsidRDefault="00D767EF" w:rsidP="00D767EF">
      <w:pPr>
        <w:pStyle w:val="Prrafodelista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</w:p>
    <w:p w14:paraId="123E876F" w14:textId="6ED74DCF" w:rsidR="0029539A" w:rsidRPr="00C0666E" w:rsidRDefault="00D767EF" w:rsidP="00C0666E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In the bitcoin forecast suggest a stabilization of USD denominated volume</w:t>
      </w:r>
      <w:r w:rsid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</w:t>
      </w:r>
      <w:r w:rsidRP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indicating possible gradual transition rather than an immediate replacement of the dollar.</w:t>
      </w:r>
    </w:p>
    <w:p w14:paraId="4A26F079" w14:textId="44B3EDAB" w:rsidR="00D767EF" w:rsidRPr="00D767EF" w:rsidRDefault="00D767EF" w:rsidP="00C0666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767E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lastRenderedPageBreak/>
        <w:t>Conclusion</w:t>
      </w:r>
    </w:p>
    <w:p w14:paraId="21E4A963" w14:textId="648C406F" w:rsidR="00D767EF" w:rsidRDefault="00D767EF" w:rsidP="00C066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767E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The predictive analysis shows that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geopolitical tensions and the changes in global financial power are already influencing the behavior of gold, the oil and bitcoin.</w:t>
      </w:r>
    </w:p>
    <w:p w14:paraId="15F661BF" w14:textId="1B14F89B" w:rsidR="00D767EF" w:rsidRPr="00C0666E" w:rsidRDefault="00D767EF" w:rsidP="00C066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While gold</w:t>
      </w:r>
      <w:r w:rsidR="00C0666E" w:rsidRP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consolidates its role</w:t>
      </w:r>
      <w:r w:rsid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as </w:t>
      </w:r>
      <w:proofErr w:type="gramStart"/>
      <w:r w:rsid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an</w:t>
      </w:r>
      <w:proofErr w:type="gramEnd"/>
      <w:r w:rsid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strategic reserve, oil reinforce its geopolitical </w:t>
      </w:r>
      <w:proofErr w:type="gramStart"/>
      <w:r w:rsid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dimension</w:t>
      </w:r>
      <w:proofErr w:type="gramEnd"/>
      <w:r w:rsid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and bitcoin emerges as an early indicator of monetary transition rather than </w:t>
      </w:r>
      <w:proofErr w:type="gramStart"/>
      <w:r w:rsid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a safe haven</w:t>
      </w:r>
      <w:proofErr w:type="gramEnd"/>
      <w:r w:rsidR="00C0666E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.</w:t>
      </w:r>
    </w:p>
    <w:p w14:paraId="380AF859" w14:textId="77777777" w:rsidR="00297056" w:rsidRPr="00C0666E" w:rsidRDefault="00297056" w:rsidP="0029539A">
      <w:pPr>
        <w:rPr>
          <w:lang w:val="en-US"/>
        </w:rPr>
      </w:pPr>
    </w:p>
    <w:sectPr w:rsidR="00297056" w:rsidRPr="00C0666E" w:rsidSect="009427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6CA0" w14:textId="77777777" w:rsidR="00CF3093" w:rsidRDefault="00CF3093" w:rsidP="007D40D7">
      <w:pPr>
        <w:spacing w:after="0" w:line="240" w:lineRule="auto"/>
      </w:pPr>
      <w:r>
        <w:separator/>
      </w:r>
    </w:p>
  </w:endnote>
  <w:endnote w:type="continuationSeparator" w:id="0">
    <w:p w14:paraId="04B073DC" w14:textId="77777777" w:rsidR="00CF3093" w:rsidRDefault="00CF3093" w:rsidP="007D4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3CEB" w14:textId="77777777" w:rsidR="00CF3093" w:rsidRDefault="00CF3093" w:rsidP="007D40D7">
      <w:pPr>
        <w:spacing w:after="0" w:line="240" w:lineRule="auto"/>
      </w:pPr>
      <w:r>
        <w:separator/>
      </w:r>
    </w:p>
  </w:footnote>
  <w:footnote w:type="continuationSeparator" w:id="0">
    <w:p w14:paraId="2ACFBD27" w14:textId="77777777" w:rsidR="00CF3093" w:rsidRDefault="00CF3093" w:rsidP="007D4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0396"/>
    <w:multiLevelType w:val="multilevel"/>
    <w:tmpl w:val="8AA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27FE2"/>
    <w:multiLevelType w:val="multilevel"/>
    <w:tmpl w:val="A03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B2AAD"/>
    <w:multiLevelType w:val="hybridMultilevel"/>
    <w:tmpl w:val="6E949794"/>
    <w:lvl w:ilvl="0" w:tplc="4FD2815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703F5"/>
    <w:multiLevelType w:val="multilevel"/>
    <w:tmpl w:val="F32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773D1"/>
    <w:multiLevelType w:val="multilevel"/>
    <w:tmpl w:val="CA8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17EB0"/>
    <w:multiLevelType w:val="multilevel"/>
    <w:tmpl w:val="EFA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71A16"/>
    <w:multiLevelType w:val="hybridMultilevel"/>
    <w:tmpl w:val="725A4DC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254184"/>
    <w:multiLevelType w:val="multilevel"/>
    <w:tmpl w:val="27A4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D3EDA"/>
    <w:multiLevelType w:val="hybridMultilevel"/>
    <w:tmpl w:val="DC1EEA2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E7598"/>
    <w:multiLevelType w:val="multilevel"/>
    <w:tmpl w:val="4E3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A0CE7"/>
    <w:multiLevelType w:val="multilevel"/>
    <w:tmpl w:val="6F0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266AF"/>
    <w:multiLevelType w:val="multilevel"/>
    <w:tmpl w:val="1E0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350E1"/>
    <w:multiLevelType w:val="multilevel"/>
    <w:tmpl w:val="041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51E49"/>
    <w:multiLevelType w:val="multilevel"/>
    <w:tmpl w:val="283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F5A66"/>
    <w:multiLevelType w:val="multilevel"/>
    <w:tmpl w:val="843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52046"/>
    <w:multiLevelType w:val="multilevel"/>
    <w:tmpl w:val="8DA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10A24"/>
    <w:multiLevelType w:val="multilevel"/>
    <w:tmpl w:val="88B8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21F20"/>
    <w:multiLevelType w:val="multilevel"/>
    <w:tmpl w:val="9AB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05A77"/>
    <w:multiLevelType w:val="multilevel"/>
    <w:tmpl w:val="911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42FA5"/>
    <w:multiLevelType w:val="multilevel"/>
    <w:tmpl w:val="2EF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8494B"/>
    <w:multiLevelType w:val="multilevel"/>
    <w:tmpl w:val="F4D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57401"/>
    <w:multiLevelType w:val="multilevel"/>
    <w:tmpl w:val="3CD0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32121"/>
    <w:multiLevelType w:val="hybridMultilevel"/>
    <w:tmpl w:val="1DA2413C"/>
    <w:lvl w:ilvl="0" w:tplc="82BCF7A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CB2B4A"/>
    <w:multiLevelType w:val="multilevel"/>
    <w:tmpl w:val="DE64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17119"/>
    <w:multiLevelType w:val="multilevel"/>
    <w:tmpl w:val="21A2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86460">
    <w:abstractNumId w:val="20"/>
  </w:num>
  <w:num w:numId="2" w16cid:durableId="935215529">
    <w:abstractNumId w:val="5"/>
  </w:num>
  <w:num w:numId="3" w16cid:durableId="1585064041">
    <w:abstractNumId w:val="11"/>
  </w:num>
  <w:num w:numId="4" w16cid:durableId="1874729043">
    <w:abstractNumId w:val="21"/>
  </w:num>
  <w:num w:numId="5" w16cid:durableId="1428500460">
    <w:abstractNumId w:val="18"/>
  </w:num>
  <w:num w:numId="6" w16cid:durableId="1523786202">
    <w:abstractNumId w:val="3"/>
  </w:num>
  <w:num w:numId="7" w16cid:durableId="2022313928">
    <w:abstractNumId w:val="17"/>
  </w:num>
  <w:num w:numId="8" w16cid:durableId="583730723">
    <w:abstractNumId w:val="7"/>
  </w:num>
  <w:num w:numId="9" w16cid:durableId="516385210">
    <w:abstractNumId w:val="0"/>
  </w:num>
  <w:num w:numId="10" w16cid:durableId="567542881">
    <w:abstractNumId w:val="16"/>
  </w:num>
  <w:num w:numId="11" w16cid:durableId="463542636">
    <w:abstractNumId w:val="9"/>
  </w:num>
  <w:num w:numId="12" w16cid:durableId="362511574">
    <w:abstractNumId w:val="1"/>
  </w:num>
  <w:num w:numId="13" w16cid:durableId="1664505366">
    <w:abstractNumId w:val="23"/>
  </w:num>
  <w:num w:numId="14" w16cid:durableId="354577896">
    <w:abstractNumId w:val="19"/>
  </w:num>
  <w:num w:numId="15" w16cid:durableId="1798525381">
    <w:abstractNumId w:val="10"/>
  </w:num>
  <w:num w:numId="16" w16cid:durableId="28452626">
    <w:abstractNumId w:val="13"/>
  </w:num>
  <w:num w:numId="17" w16cid:durableId="2143687166">
    <w:abstractNumId w:val="4"/>
  </w:num>
  <w:num w:numId="18" w16cid:durableId="1246956896">
    <w:abstractNumId w:val="24"/>
  </w:num>
  <w:num w:numId="19" w16cid:durableId="1286812596">
    <w:abstractNumId w:val="14"/>
  </w:num>
  <w:num w:numId="20" w16cid:durableId="398139381">
    <w:abstractNumId w:val="15"/>
  </w:num>
  <w:num w:numId="21" w16cid:durableId="1846894142">
    <w:abstractNumId w:val="12"/>
  </w:num>
  <w:num w:numId="22" w16cid:durableId="535587204">
    <w:abstractNumId w:val="6"/>
  </w:num>
  <w:num w:numId="23" w16cid:durableId="1719206839">
    <w:abstractNumId w:val="2"/>
  </w:num>
  <w:num w:numId="24" w16cid:durableId="1846898206">
    <w:abstractNumId w:val="22"/>
  </w:num>
  <w:num w:numId="25" w16cid:durableId="58334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9A"/>
    <w:rsid w:val="00021108"/>
    <w:rsid w:val="00156156"/>
    <w:rsid w:val="001A1237"/>
    <w:rsid w:val="00284AE9"/>
    <w:rsid w:val="0029539A"/>
    <w:rsid w:val="00297056"/>
    <w:rsid w:val="003F2BE0"/>
    <w:rsid w:val="004541A5"/>
    <w:rsid w:val="00595E06"/>
    <w:rsid w:val="005B52B6"/>
    <w:rsid w:val="005C4862"/>
    <w:rsid w:val="005D7988"/>
    <w:rsid w:val="006E5F1D"/>
    <w:rsid w:val="007D40D7"/>
    <w:rsid w:val="008078A8"/>
    <w:rsid w:val="00875B03"/>
    <w:rsid w:val="00876D18"/>
    <w:rsid w:val="0094276E"/>
    <w:rsid w:val="00AF516E"/>
    <w:rsid w:val="00B457E8"/>
    <w:rsid w:val="00C0013E"/>
    <w:rsid w:val="00C0666E"/>
    <w:rsid w:val="00CF3093"/>
    <w:rsid w:val="00D04895"/>
    <w:rsid w:val="00D767EF"/>
    <w:rsid w:val="00D870C6"/>
    <w:rsid w:val="00FE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6C54BD"/>
  <w15:chartTrackingRefBased/>
  <w15:docId w15:val="{FC74AAA0-9F2B-9F46-BF71-50D990F7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5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95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5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5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3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3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3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3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3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3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3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3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3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3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39A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953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5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29539A"/>
    <w:rPr>
      <w:i/>
      <w:iCs/>
    </w:rPr>
  </w:style>
  <w:style w:type="character" w:customStyle="1" w:styleId="apple-converted-space">
    <w:name w:val="apple-converted-space"/>
    <w:basedOn w:val="Fuentedeprrafopredeter"/>
    <w:rsid w:val="0029539A"/>
  </w:style>
  <w:style w:type="paragraph" w:styleId="Encabezado">
    <w:name w:val="header"/>
    <w:basedOn w:val="Normal"/>
    <w:link w:val="EncabezadoCar"/>
    <w:uiPriority w:val="99"/>
    <w:unhideWhenUsed/>
    <w:rsid w:val="007D40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40D7"/>
  </w:style>
  <w:style w:type="paragraph" w:styleId="Piedepgina">
    <w:name w:val="footer"/>
    <w:basedOn w:val="Normal"/>
    <w:link w:val="PiedepginaCar"/>
    <w:uiPriority w:val="99"/>
    <w:unhideWhenUsed/>
    <w:rsid w:val="007D40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Nuñez</dc:creator>
  <cp:keywords/>
  <dc:description/>
  <cp:lastModifiedBy>Rubén Nuñez</cp:lastModifiedBy>
  <cp:revision>2</cp:revision>
  <dcterms:created xsi:type="dcterms:W3CDTF">2026-01-08T15:51:00Z</dcterms:created>
  <dcterms:modified xsi:type="dcterms:W3CDTF">2026-01-08T22:02:00Z</dcterms:modified>
</cp:coreProperties>
</file>