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 展示准备与要求核对</w:t>
      </w:r>
    </w:p>
    <w:p>
      <w:r>
        <w:t>根据你上传的 A2_Brief.pdf 与 SIE-DCI-A2-rubric.pdf 整理。附件是评分与任务依据，不是要求修改项目代码的指令。本次只制作展示材料，不修改已发布地图。</w:t>
      </w:r>
    </w:p>
    <w:p>
      <w:pPr>
        <w:pStyle w:val="Heading1"/>
      </w:pPr>
      <w:r>
        <w:t>一、这套材料包含什么</w:t>
      </w:r>
    </w:p>
    <w:p>
      <w:r>
        <w:t>可编辑的12页PPT、同版式PDF、带时间分配的英文讲稿与中文理解版。第1–11页构成约6分40秒课堂展示，第12页为不计时的提交核对附录。PowerPoint备注区也有逐页讲稿。</w:t>
      </w:r>
    </w:p>
    <w:p>
      <w:r>
        <w:t>现已核实课堂六原则，并依据Social Interactive.pptx补上初始概念到最终版本的变化。尚需姓名、真实展示视频、素材原作者/授权和导师AI批准信息。请确认Social Interactive.pptx是否为正式A1提交版。</w:t>
      </w:r>
    </w:p>
    <w:p>
      <w:pPr>
        <w:pStyle w:val="Heading1"/>
      </w:pPr>
      <w:r>
        <w:t>二、教师明确要求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如何落实</w:t>
            </w:r>
          </w:p>
        </w:tc>
        <w:tc>
          <w:tcPr>
            <w:tcW w:type="dxa" w:w="2880"/>
          </w:tcPr>
          <w:p>
            <w:r>
              <w:t>依据</w:t>
            </w:r>
          </w:p>
        </w:tc>
      </w:tr>
      <w:tr>
        <w:tc>
          <w:tcPr>
            <w:tcW w:type="dxa" w:w="2880"/>
          </w:tcPr>
          <w:p>
            <w:r>
              <w:t>展示时长</w:t>
            </w:r>
          </w:p>
        </w:tc>
        <w:tc>
          <w:tcPr>
            <w:tcW w:type="dxa" w:w="2880"/>
          </w:tcPr>
          <w:p>
            <w:r>
              <w:t>5–7分钟，包含展示视频和现场演示。</w:t>
            </w:r>
          </w:p>
        </w:tc>
        <w:tc>
          <w:tcPr>
            <w:tcW w:type="dxa" w:w="2880"/>
          </w:tcPr>
          <w:p>
            <w:r>
              <w:t>Brief pp.2–4</w:t>
            </w:r>
          </w:p>
        </w:tc>
      </w:tr>
      <w:tr>
        <w:tc>
          <w:tcPr>
            <w:tcW w:type="dxa" w:w="2880"/>
          </w:tcPr>
          <w:p>
            <w:r>
              <w:t>短展示视频</w:t>
            </w:r>
          </w:p>
        </w:tc>
        <w:tc>
          <w:tcPr>
            <w:tcW w:type="dxa" w:w="2880"/>
          </w:tcPr>
          <w:p>
            <w:r>
              <w:t>1–2分钟，展示最终体验及参与者互动；本套规划75秒。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现场演示</w:t>
            </w:r>
          </w:p>
        </w:tc>
        <w:tc>
          <w:tcPr>
            <w:tcW w:type="dxa" w:w="2880"/>
          </w:tcPr>
          <w:p>
            <w:r>
              <w:t>真实运行已完成体验；推荐两手机与大屏演示饮品活动。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社会焦点</w:t>
            </w:r>
          </w:p>
        </w:tc>
        <w:tc>
          <w:tcPr>
            <w:tcW w:type="dxa" w:w="2880"/>
          </w:tcPr>
          <w:p>
            <w:r>
              <w:t>至少回应Connection / Joy / Learning / Reflection之一；本项目以Connection为主。</w:t>
            </w:r>
          </w:p>
        </w:tc>
        <w:tc>
          <w:tcPr>
            <w:tcW w:type="dxa" w:w="2880"/>
          </w:tcPr>
          <w:p>
            <w:r>
              <w:t>Brief pp.1–2</w:t>
            </w:r>
          </w:p>
        </w:tc>
      </w:tr>
      <w:tr>
        <w:tc>
          <w:tcPr>
            <w:tcW w:type="dxa" w:w="2880"/>
          </w:tcPr>
          <w:p>
            <w:r>
              <w:t>简短体验</w:t>
            </w:r>
          </w:p>
        </w:tc>
        <w:tc>
          <w:tcPr>
            <w:tcW w:type="dxa" w:w="2880"/>
          </w:tcPr>
          <w:p>
            <w:r>
              <w:t>一次可完成的参与过程约2分钟以内；不是强行要求体验所有活动。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共享参与</w:t>
            </w:r>
          </w:p>
        </w:tc>
        <w:tc>
          <w:tcPr>
            <w:tcW w:type="dxa" w:w="2880"/>
          </w:tcPr>
          <w:p>
            <w:r>
              <w:t>多个人能共同体验、影响、观察或互动。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反思</w:t>
            </w:r>
          </w:p>
        </w:tc>
        <w:tc>
          <w:tcPr>
            <w:tcW w:type="dxa" w:w="2880"/>
          </w:tcPr>
          <w:p>
            <w:r>
              <w:t>解释氛围/叙事/感官体验、课堂6原则、开发过程和重要变化。</w:t>
            </w:r>
          </w:p>
        </w:tc>
        <w:tc>
          <w:tcPr>
            <w:tcW w:type="dxa" w:w="2880"/>
          </w:tcPr>
          <w:p>
            <w:r>
              <w:t>Brief pp.3–4</w:t>
            </w:r>
          </w:p>
        </w:tc>
      </w:tr>
      <w:tr>
        <w:tc>
          <w:tcPr>
            <w:tcW w:type="dxa" w:w="2880"/>
          </w:tcPr>
          <w:p>
            <w:r>
              <w:t>过程文档</w:t>
            </w:r>
          </w:p>
        </w:tc>
        <w:tc>
          <w:tcPr>
            <w:tcW w:type="dxa" w:w="2880"/>
          </w:tcPr>
          <w:p>
            <w:r>
              <w:t>独立PDF，最多15页，不计标题与参考文献页；PPT不能代替它。</w:t>
            </w:r>
          </w:p>
        </w:tc>
        <w:tc>
          <w:tcPr>
            <w:tcW w:type="dxa" w:w="2880"/>
          </w:tcPr>
          <w:p>
            <w:r>
              <w:t>Brief pp.2–3,5</w:t>
            </w:r>
          </w:p>
        </w:tc>
      </w:tr>
      <w:tr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ZIP、Curtin coversheet、过程PDF、MP4/SharePoint分享链接与导师权限。</w:t>
            </w:r>
          </w:p>
        </w:tc>
        <w:tc>
          <w:tcPr>
            <w:tcW w:type="dxa" w:w="2880"/>
          </w:tcPr>
          <w:p>
            <w:r>
              <w:t>Brief p.5</w:t>
            </w:r>
          </w:p>
        </w:tc>
      </w:tr>
      <w:tr>
        <w:tc>
          <w:tcPr>
            <w:tcW w:type="dxa" w:w="2880"/>
          </w:tcPr>
          <w:p>
            <w:r>
              <w:t>诚信与引用</w:t>
            </w:r>
          </w:p>
        </w:tc>
        <w:tc>
          <w:tcPr>
            <w:tcW w:type="dxa" w:w="2880"/>
          </w:tcPr>
          <w:p>
            <w:r>
              <w:t>明确AI使用、预先导师批准、提交声明；图片与研究来源须引用。</w:t>
            </w:r>
          </w:p>
        </w:tc>
        <w:tc>
          <w:tcPr>
            <w:tcW w:type="dxa" w:w="2880"/>
          </w:tcPr>
          <w:p>
            <w:r>
              <w:t>Brief pp.3,5</w:t>
            </w:r>
          </w:p>
        </w:tc>
      </w:tr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Week10签到/签署由导师记录，不伪造已经完成。</w:t>
            </w:r>
          </w:p>
        </w:tc>
        <w:tc>
          <w:tcPr>
            <w:tcW w:type="dxa" w:w="2880"/>
          </w:tcPr>
          <w:p>
            <w:r>
              <w:t>Brief pp.4–5</w:t>
            </w:r>
          </w:p>
        </w:tc>
      </w:tr>
    </w:tbl>
    <w:p>
      <w:pPr>
        <w:pStyle w:val="Heading1"/>
      </w:pPr>
      <w:r>
        <w:t>三、评分对应，不靠堆功能</w:t>
      </w:r>
    </w:p>
    <w:p>
      <w:r>
        <w:t>Technical development &amp; implementation — 30分</w:t>
        <w:br/>
        <w:t>PPT9：p5.js/Firebase/共享状态；PPT8：稳定性迭代。区分自动测试、浏览器检查、实际设备反馈。</w:t>
      </w:r>
    </w:p>
    <w:p>
      <w:r>
        <w:t>Experience &amp; interaction design — 20分</w:t>
        <w:br/>
        <w:t>PPT2、3、5、6：目标人群、低压力入口、共享决策、合作必要性、自由观察和退出。</w:t>
      </w:r>
    </w:p>
    <w:p>
      <w:r>
        <w:t>Aesthetics &amp; creativity — 20分</w:t>
        <w:br/>
        <w:t>PPT7：统一视觉语言、校园叙事场景、发光提示、声音及结果反馈怎样支持参与。</w:t>
      </w:r>
    </w:p>
    <w:p>
      <w:r>
        <w:t>Professionalism — 10分（另见说明）</w:t>
        <w:br/>
        <w:t>真实开发证据、反馈回应、完整提交、清晰引用、AI声明、展览准备。</w:t>
      </w:r>
    </w:p>
    <w:p>
      <w:r>
        <w:t>Communication — 15分</w:t>
        <w:br/>
        <w:t>清晰叙事、少量可读文字、真实使用视频、稳定现场演示及6分40秒排练。</w:t>
      </w:r>
    </w:p>
    <w:p>
      <w:r>
        <w:t>评分表还显示一个没有清楚标注归属的“/5”，而已标注项目分值合计95。不要自行补成新评分项；向导师确认这5分的归属。Brief页首也有Assignment One字样，但rubric明确标A2；本材料按A2 Exhibition Showcase准备。</w:t>
      </w:r>
    </w:p>
    <w:p>
      <w:pPr>
        <w:pStyle w:val="Heading1"/>
      </w:pPr>
      <w:r>
        <w:t>四、75秒真实视频拍摄清单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画面</w:t>
            </w:r>
          </w:p>
        </w:tc>
        <w:tc>
          <w:tcPr>
            <w:tcW w:type="dxa" w:w="2880"/>
          </w:tcPr>
          <w:p>
            <w:r>
              <w:t>拍摄重点</w:t>
            </w:r>
          </w:p>
        </w:tc>
      </w:tr>
      <w:tr>
        <w:tc>
          <w:tcPr>
            <w:tcW w:type="dxa" w:w="2880"/>
          </w:tcPr>
          <w:p>
            <w:r>
              <w:t>0–10秒</w:t>
            </w:r>
          </w:p>
        </w:tc>
        <w:tc>
          <w:tcPr>
            <w:tcW w:type="dxa" w:w="2880"/>
          </w:tcPr>
          <w:p>
            <w:r>
              <w:t>环境与公共大屏</w:t>
            </w:r>
          </w:p>
        </w:tc>
        <w:tc>
          <w:tcPr>
            <w:tcW w:type="dxa" w:w="2880"/>
          </w:tcPr>
          <w:p>
            <w:r>
              <w:t>两名真实参与者、共享大屏、手机同框；镜头展示这是公共共享体验。</w:t>
            </w:r>
          </w:p>
        </w:tc>
      </w:tr>
      <w:tr>
        <w:tc>
          <w:tcPr>
            <w:tcW w:type="dxa" w:w="2880"/>
          </w:tcPr>
          <w:p>
            <w:r>
              <w:t>10–20秒</w:t>
            </w:r>
          </w:p>
        </w:tc>
        <w:tc>
          <w:tcPr>
            <w:tcW w:type="dxa" w:w="2880"/>
          </w:tcPr>
          <w:p>
            <w:r>
              <w:t>扫码和选择</w:t>
            </w:r>
          </w:p>
        </w:tc>
        <w:tc>
          <w:tcPr>
            <w:tcW w:type="dxa" w:w="2880"/>
          </w:tcPr>
          <w:p>
            <w:r>
              <w:t>拍手与手机：扫码、昵称/角色、进入。避免只放代码或UI静态录屏。</w:t>
            </w:r>
          </w:p>
        </w:tc>
      </w:tr>
      <w:tr>
        <w:tc>
          <w:tcPr>
            <w:tcW w:type="dxa" w:w="2880"/>
          </w:tcPr>
          <w:p>
            <w:r>
              <w:t>20–35秒</w:t>
            </w:r>
          </w:p>
        </w:tc>
        <w:tc>
          <w:tcPr>
            <w:tcW w:type="dxa" w:w="2880"/>
          </w:tcPr>
          <w:p>
            <w:r>
              <w:t>彼此相遇/饮品</w:t>
            </w:r>
          </w:p>
        </w:tc>
        <w:tc>
          <w:tcPr>
            <w:tcW w:type="dxa" w:w="2880"/>
          </w:tcPr>
          <w:p>
            <w:r>
              <w:t>同一地图见到彼此；饮品四轮选择用剪辑展示双方贡献。</w:t>
            </w:r>
          </w:p>
        </w:tc>
      </w:tr>
      <w:tr>
        <w:tc>
          <w:tcPr>
            <w:tcW w:type="dxa" w:w="2880"/>
          </w:tcPr>
          <w:p>
            <w:r>
              <w:t>35–50秒</w:t>
            </w:r>
          </w:p>
        </w:tc>
        <w:tc>
          <w:tcPr>
            <w:tcW w:type="dxa" w:w="2880"/>
          </w:tcPr>
          <w:p>
            <w:r>
              <w:t>双人钓鱼</w:t>
            </w:r>
          </w:p>
        </w:tc>
        <w:tc>
          <w:tcPr>
            <w:tcW w:type="dxa" w:w="2880"/>
          </w:tcPr>
          <w:p>
            <w:r>
              <w:t>拍两台手机不同方向控制；用进度条与成功/失败反馈显示协作。</w:t>
            </w:r>
          </w:p>
        </w:tc>
      </w:tr>
      <w:tr>
        <w:tc>
          <w:tcPr>
            <w:tcW w:type="dxa" w:w="2880"/>
          </w:tcPr>
          <w:p>
            <w:r>
              <w:t>50–60秒</w:t>
            </w:r>
          </w:p>
        </w:tc>
        <w:tc>
          <w:tcPr>
            <w:tcW w:type="dxa" w:w="2880"/>
          </w:tcPr>
          <w:p>
            <w:r>
              <w:t>许愿树</w:t>
            </w:r>
          </w:p>
        </w:tc>
        <w:tc>
          <w:tcPr>
            <w:tcW w:type="dxa" w:w="2880"/>
          </w:tcPr>
          <w:p>
            <w:r>
              <w:t>输入/挂愿望→另一位参与者打开或祝福。不要展示未经同意的私人信息。</w:t>
            </w:r>
          </w:p>
        </w:tc>
      </w:tr>
      <w:tr>
        <w:tc>
          <w:tcPr>
            <w:tcW w:type="dxa" w:w="2880"/>
          </w:tcPr>
          <w:p>
            <w:r>
              <w:t>60–70秒</w:t>
            </w:r>
          </w:p>
        </w:tc>
        <w:tc>
          <w:tcPr>
            <w:tcW w:type="dxa" w:w="2880"/>
          </w:tcPr>
          <w:p>
            <w:r>
              <w:t>共享钢琴</w:t>
            </w:r>
          </w:p>
        </w:tc>
        <w:tc>
          <w:tcPr>
            <w:tcW w:type="dxa" w:w="2880"/>
          </w:tcPr>
          <w:p>
            <w:r>
              <w:t>一人弹、另一人听；画面显示演奏中的图标和昵称提示。保留可听见的琴声。</w:t>
            </w:r>
          </w:p>
        </w:tc>
      </w:tr>
      <w:tr>
        <w:tc>
          <w:tcPr>
            <w:tcW w:type="dxa" w:w="2880"/>
          </w:tcPr>
          <w:p>
            <w:r>
              <w:t>70–75秒</w:t>
            </w:r>
          </w:p>
        </w:tc>
        <w:tc>
          <w:tcPr>
            <w:tcW w:type="dxa" w:w="2880"/>
          </w:tcPr>
          <w:p>
            <w:r>
              <w:t>回到共享空间</w:t>
            </w:r>
          </w:p>
        </w:tc>
        <w:tc>
          <w:tcPr>
            <w:tcW w:type="dxa" w:w="2880"/>
          </w:tcPr>
          <w:p>
            <w:r>
              <w:t>大屏与参与者收尾，字幕：Small moments. Shared connections.</w:t>
            </w:r>
          </w:p>
        </w:tc>
      </w:tr>
    </w:tbl>
    <w:p>
      <w:r>
        <w:t>使用真实体验录像，不能把自动化浏览器截图说成观众使用证据。人物可以只拍手和背影，但要让人看得出两个人真实参与。取得适当拍摄同意；不要虚构台词、问卷或访谈数字。</w:t>
      </w:r>
    </w:p>
    <w:p>
      <w:pPr>
        <w:pStyle w:val="Heading1"/>
      </w:pPr>
      <w:r>
        <w:t>五、60秒现场演示</w:t>
      </w:r>
    </w:p>
    <w:p>
      <w:r>
        <w:t>演示前：打开正式固定版本大屏，room=showcase；两台手机扫码，昵称区分；提前走到饮品店附近。关闭无关标签页，确认网络、电量和音量。不要在台上编辑Firebase规则或部署。</w:t>
      </w:r>
    </w:p>
    <w:p>
      <w:r>
        <w:t>0–10秒：说明两台手机是两个独立玩家，进入同一饮品店。</w:t>
        <w:br/>
        <w:t>10–40秒：A选基底、B选风味、A选配料、B选装饰。</w:t>
        <w:br/>
        <w:t>40–50秒：对比两台手机相同的最终饮品，说明双方都影响结果。</w:t>
        <w:br/>
        <w:t>50–60秒：返回地图，结束演示并进入理论反思。</w:t>
      </w:r>
    </w:p>
    <w:p>
      <w:r>
        <w:t>若10秒内没有成功连接，不长时间现场调试：明确说“网络连接暂时中断，我用已录制的过程继续说明”，播放备用录像。不要把录像冒充现场操作。</w:t>
      </w:r>
    </w:p>
    <w:p>
      <w:pPr>
        <w:pStyle w:val="Heading1"/>
      </w:pPr>
      <w:r>
        <w:t>六、已核实的课堂六原则与项目对应</w:t>
      </w:r>
    </w:p>
    <w:p>
      <w:r>
        <w:t>准确名称同时见GRDE2053 Session 2.pdf第6页、Session 3.pdf第8页；Session 5.pptx第6–7页再次列出。下表保留Session 2的编号顺序。不要将另外的5 Principles of Humanity Centered Design混同为本框架。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原则</w:t>
            </w:r>
          </w:p>
        </w:tc>
        <w:tc>
          <w:tcPr>
            <w:tcW w:type="dxa" w:w="2160"/>
          </w:tcPr>
          <w:p>
            <w:r>
              <w:t>课堂含义</w:t>
            </w:r>
          </w:p>
        </w:tc>
        <w:tc>
          <w:tcPr>
            <w:tcW w:type="dxa" w:w="2160"/>
          </w:tcPr>
          <w:p>
            <w:r>
              <w:t>项目证据</w:t>
            </w:r>
          </w:p>
        </w:tc>
        <w:tc>
          <w:tcPr>
            <w:tcW w:type="dxa" w:w="2160"/>
          </w:tcPr>
          <w:p>
            <w:r>
              <w:t>限制/理论说明</w:t>
            </w:r>
          </w:p>
        </w:tc>
      </w:tr>
      <w:tr>
        <w:tc>
          <w:tcPr>
            <w:tcW w:type="dxa" w:w="2160"/>
          </w:tcPr>
          <w:p>
            <w:r>
              <w:t>1 Sensory Feedback — 感官反馈</w:t>
            </w:r>
          </w:p>
        </w:tc>
        <w:tc>
          <w:tcPr>
            <w:tcW w:type="dxa" w:w="2160"/>
          </w:tcPr>
          <w:p>
            <w:r>
              <w:t>声音等感官线索回应操作。</w:t>
            </w:r>
          </w:p>
        </w:tc>
        <w:tc>
          <w:tcPr>
            <w:tcW w:type="dxa" w:w="2160"/>
          </w:tcPr>
          <w:p>
            <w:r>
              <w:t>钢琴声音、按键/进度的可见反馈。</w:t>
            </w:r>
          </w:p>
        </w:tc>
        <w:tc>
          <w:tcPr>
            <w:tcW w:type="dxa" w:w="2160"/>
          </w:tcPr>
          <w:p>
            <w:r>
              <w:t>没有触觉震动；不能声称提供haptic feedback。</w:t>
            </w:r>
          </w:p>
        </w:tc>
      </w:tr>
      <w:tr>
        <w:tc>
          <w:tcPr>
            <w:tcW w:type="dxa" w:w="2160"/>
          </w:tcPr>
          <w:p>
            <w:r>
              <w:t>2 Embodied Interaction — 具身互动</w:t>
            </w:r>
          </w:p>
        </w:tc>
        <w:tc>
          <w:tcPr>
            <w:tcW w:type="dxa" w:w="2160"/>
          </w:tcPr>
          <w:p>
            <w:r>
              <w:t>通过动作与物件把参与者身体行为接入系统。</w:t>
            </w:r>
          </w:p>
        </w:tc>
        <w:tc>
          <w:tcPr>
            <w:tcW w:type="dxa" w:w="2160"/>
          </w:tcPr>
          <w:p>
            <w:r>
              <w:t>手机拖动与角色/浮标移动之间的映射。</w:t>
            </w:r>
          </w:p>
        </w:tc>
        <w:tc>
          <w:tcPr>
            <w:tcW w:type="dxa" w:w="2160"/>
          </w:tcPr>
          <w:p>
            <w:r>
              <w:t>这是轻量的手机触控具身互动，不是全身动作追踪或沉浸式装置。</w:t>
            </w:r>
          </w:p>
        </w:tc>
      </w:tr>
      <w:tr>
        <w:tc>
          <w:tcPr>
            <w:tcW w:type="dxa" w:w="2160"/>
          </w:tcPr>
          <w:p>
            <w:r>
              <w:t>3 Social Dynamics — 社会动态</w:t>
            </w:r>
          </w:p>
        </w:tc>
        <w:tc>
          <w:tcPr>
            <w:tcW w:type="dxa" w:w="2160"/>
          </w:tcPr>
          <w:p>
            <w:r>
              <w:t>合作、共同在场和参与者之间的相互影响。</w:t>
            </w:r>
          </w:p>
        </w:tc>
        <w:tc>
          <w:tcPr>
            <w:tcW w:type="dxa" w:w="2160"/>
          </w:tcPr>
          <w:p>
            <w:r>
              <w:t>公共大屏、多角色、饮品轮流选择、钓鱼分工、钢琴演奏/聆听。</w:t>
            </w:r>
          </w:p>
        </w:tc>
        <w:tc>
          <w:tcPr>
            <w:tcW w:type="dxa" w:w="2160"/>
          </w:tcPr>
          <w:p>
            <w:r>
              <w:t>与Session 2第8页的CSCW和参与/共同体验讨论相连；未证明长期社区形成。</w:t>
            </w:r>
          </w:p>
        </w:tc>
      </w:tr>
      <w:tr>
        <w:tc>
          <w:tcPr>
            <w:tcW w:type="dxa" w:w="2160"/>
          </w:tcPr>
          <w:p>
            <w:r>
              <w:t>4 Resilience &amp; Motivation — 韧性与动机</w:t>
            </w:r>
          </w:p>
        </w:tc>
        <w:tc>
          <w:tcPr>
            <w:tcW w:type="dxa" w:w="2160"/>
          </w:tcPr>
          <w:p>
            <w:r>
              <w:t>用宽容反馈、探索和玩乐支持持续参与。</w:t>
            </w:r>
          </w:p>
        </w:tc>
        <w:tc>
          <w:tcPr>
            <w:tcW w:type="dxa" w:w="2160"/>
          </w:tcPr>
          <w:p>
            <w:r>
              <w:t>适度放宽钓鱼难度、清楚结果与重试、低惩罚的短活动。</w:t>
            </w:r>
          </w:p>
        </w:tc>
        <w:tc>
          <w:tcPr>
            <w:tcW w:type="dxa" w:w="2160"/>
          </w:tcPr>
          <w:p>
            <w:r>
              <w:t>仍可能因网络或操作能力不同而挫折，需要进一步观察。</w:t>
            </w:r>
          </w:p>
        </w:tc>
      </w:tr>
      <w:tr>
        <w:tc>
          <w:tcPr>
            <w:tcW w:type="dxa" w:w="2160"/>
          </w:tcPr>
          <w:p>
            <w:r>
              <w:t>5 Proactivity &amp; Clarity — 主动引导与清晰性</w:t>
            </w:r>
          </w:p>
        </w:tc>
        <w:tc>
          <w:tcPr>
            <w:tcW w:type="dxa" w:w="2160"/>
          </w:tcPr>
          <w:p>
            <w:r>
              <w:t>预先提供线索，让人知道可以做什么及当前状态。</w:t>
            </w:r>
          </w:p>
        </w:tc>
        <w:tc>
          <w:tcPr>
            <w:tcW w:type="dxa" w:w="2160"/>
          </w:tcPr>
          <w:p>
            <w:r>
              <w:t>靠近发光、轮次提示、占用昵称提示。</w:t>
            </w:r>
          </w:p>
        </w:tc>
        <w:tc>
          <w:tcPr>
            <w:tcW w:type="dxa" w:w="2160"/>
          </w:tcPr>
          <w:p>
            <w:r>
              <w:t>按Session 5第10页区分affordance（能做什么）与signifier（怎样传达）。</w:t>
            </w:r>
          </w:p>
        </w:tc>
      </w:tr>
      <w:tr>
        <w:tc>
          <w:tcPr>
            <w:tcW w:type="dxa" w:w="2160"/>
          </w:tcPr>
          <w:p>
            <w:r>
              <w:t>6 Ethics &amp; Inclusion — 伦理与包容</w:t>
            </w:r>
          </w:p>
        </w:tc>
        <w:tc>
          <w:tcPr>
            <w:tcW w:type="dxa" w:w="2160"/>
          </w:tcPr>
          <w:p>
            <w:r>
              <w:t>考虑可访问性、安全、隐私、同意及不同参与方式。</w:t>
            </w:r>
          </w:p>
        </w:tc>
        <w:tc>
          <w:tcPr>
            <w:tcW w:type="dxa" w:w="2160"/>
          </w:tcPr>
          <w:p>
            <w:r>
              <w:t>临时昵称身份、无需永久账号、静音/退出、可观察与聆听、8秒让位。</w:t>
            </w:r>
          </w:p>
        </w:tc>
        <w:tc>
          <w:tcPr>
            <w:tcW w:type="dxa" w:w="2160"/>
          </w:tcPr>
          <w:p>
            <w:r>
              <w:t>手机/网络依赖、语言、视听能力和公开文字内容仍需改进；不宣称已全面无障碍。</w:t>
            </w:r>
          </w:p>
        </w:tc>
      </w:tr>
    </w:tbl>
    <w:p>
      <w:r>
        <w:t>理论使用方式：引用课堂课件，再解释自己的设计。CSCW来自Session 2第8页；affordances、signifiers、discoverability和mapping来自Session 5第10页。没有阅读原著时，不要假装直接阅读并引用原著；写为课件中讨论的理论，或按unit outline规则使用secondary citation。</w:t>
      </w:r>
    </w:p>
    <w:p>
      <w:pPr>
        <w:pStyle w:val="Heading1"/>
      </w:pPr>
      <w:r>
        <w:t>七、A1变化与反馈证据</w:t>
      </w:r>
    </w:p>
    <w:p>
      <w:r>
        <w:t>当前讲稿只使用开发记录可以支持的变化：多人同步、移动视角、钓鱼难度、钢琴面板与8秒让位、删除路灯占位。你提供的Social Interactive.pptx第5页提出日常生活/文化提示与共享视觉输出，第7页提出共享地图/角色/合作活动，第8页提出代币想法。最终版本保留跨文化连接目标、二维码/手机/大屏及角色地图，转向自由探索和短活动，没有加入代币。若此文件只是概念草稿，请与正式A1提交版核对。若有导师或同学反馈，请提供真实记录；没有正式用户研究就明确说开发测试和设备反馈。</w:t>
      </w:r>
    </w:p>
    <w:p>
      <w:pPr>
        <w:pStyle w:val="Heading1"/>
      </w:pPr>
      <w:r>
        <w:t>八、AI声明草稿（核实后再提交）</w:t>
      </w:r>
    </w:p>
    <w:p>
      <w:r>
        <w:t>I used ChatGPT/Codex for assistance with parts of the prototype code, debugging, iteration planning and presentation drafting. Image-generation tools were used to generate or refine selected activity icons and fish artwork/cut-outs. I selected and revised the visual direction, integrated outputs into the existing p5.js project, and tested/refined the interactions. The supplied map and character assets were retained; their original sources and licences are recorded separately. The final submission includes a description of where AI outputs were used and how they were adapted. [Confirm tutor approval and the unit’s permitted use before submission.]</w:t>
      </w:r>
    </w:p>
    <w:p>
      <w:r>
        <w:t>这段不能代替导师批准，也不能笼统声明“全部原创”或“仅用于润色”。按真实使用情况补工具名称、日期、输出用途和你自己的修改。保留提示词、版本截图或开发记录，以便说明作者决策。</w:t>
      </w:r>
    </w:p>
    <w:p>
      <w:pPr>
        <w:pStyle w:val="Heading1"/>
      </w:pPr>
      <w:r>
        <w:t>九、引用与素材来源</w:t>
      </w:r>
    </w:p>
    <w:p>
      <w:r>
        <w:t>PPT目前采用临时作者-年份格式。Brief没有指定具体引用格式，只说使用unit outline规定的格式，因此请提供unit outline后统一调整。原图作者未知的地方要补来源，不要写“我手绘”或“无版权”。</w:t>
      </w:r>
    </w:p>
    <w:p>
      <w:r>
        <w:t>GRDE2053 Social Interactive Experiences. (n.d.). Assignment brief: Exhibition showcase [Course handout; supplied as A2_Brief.pdf].</w:t>
      </w:r>
    </w:p>
    <w:p>
      <w:r>
        <w:t>GRDE2053 Social Interactive Experiences. (n.d.). A2: Exhibition showcase marking rubric [Assessment rubric; supplied as SIE-DCI-A2-rubric.pdf].</w:t>
      </w:r>
    </w:p>
    <w:p>
      <w:r>
        <w:t>GRDE2053 Social Interactive Experiences. (n.d.). Session 2 [Lecture slides], pp.6,8,10; Session 3 [Lecture slides], pp.8,12; Session 5: Designing Interactions [Lecture slides], slides6–10. Supplied course materials.</w:t>
      </w:r>
    </w:p>
    <w:p>
      <w:r>
        <w:t>Social Interactive. (n.d.). A Social Interactive Experience for Campus Connection [User-supplied concept deck], slides5,7–8.</w:t>
      </w:r>
    </w:p>
    <w:p>
      <w:r>
        <w:t>p5.js. https://p5js.org/</w:t>
      </w:r>
    </w:p>
    <w:p>
      <w:r>
        <w:t>Firebase. Realtime Database documentation. https://firebase.google.com/docs/database/</w:t>
      </w:r>
    </w:p>
    <w:p>
      <w:r>
        <w:t>GitHub. GitHub Pages. https://pages.github.com/</w:t>
      </w:r>
    </w:p>
    <w:p>
      <w:r>
        <w:t>MDN Web Docs. Web Audio API. https://developer.mozilla.org/en-US/docs/Web/API/Web_Audio_API</w:t>
      </w:r>
    </w:p>
    <w:p>
      <w:r>
        <w:t>Project screenshots and source: https://github.com/itsangelia/public-map-project (2026).</w:t>
      </w:r>
    </w:p>
    <w:p>
      <w:pPr>
        <w:pStyle w:val="Heading1"/>
      </w:pPr>
      <w:r>
        <w:t>十、提交前最后核对</w:t>
      </w:r>
    </w:p>
    <w:p>
      <w:r>
        <w:t>□ 更换封面的[Your name]。</w:t>
      </w:r>
    </w:p>
    <w:p>
      <w:r>
        <w:t>□ 替换PPT4的视频占位，插入真实75秒视频，并测试播放音量。</w:t>
      </w:r>
    </w:p>
    <w:p>
      <w:r>
        <w:t>□ 核对PPT6的已确认原则及项目解释；确认初始概念与正式A1的一致性。</w:t>
      </w:r>
    </w:p>
    <w:p>
      <w:r>
        <w:t>□ 带手机完整排练一次，实测5–7分钟。</w:t>
      </w:r>
    </w:p>
    <w:p>
      <w:r>
        <w:t>□ 确认导师已批准AI用法，附真实声明和素材来源。</w:t>
      </w:r>
    </w:p>
    <w:p>
      <w:r>
        <w:t>□ 独立完成最多15页的development documentation PDF。</w:t>
      </w:r>
    </w:p>
    <w:p>
      <w:r>
        <w:t>□ 按brief准备5–7分钟完整展示录制MP4，包含1–2分钟showcase；上传SharePoint，在coversheet贴导师可访问的链接。若老师另有录制范围要求，以老师确认为准。</w:t>
      </w:r>
    </w:p>
    <w:p>
      <w:r>
        <w:t>□ 将coversheet、过程PDF及要求的录制材料整理进ZIP；检查SharePoint权限与Week10记录。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