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TextBody"/>
        <w:rPr>
          <w:color w:val="3465A4"/>
          <w:sz w:val="28"/>
          <w:szCs w:val="28"/>
        </w:rPr>
      </w:pPr>
      <w:r>
        <w:rPr>
          <w:b/>
          <w:color w:val="3465A4"/>
          <w:sz w:val="28"/>
          <w:szCs w:val="28"/>
        </w:rPr>
        <w:t>Objet :</w:t>
      </w:r>
      <w:r>
        <w:rPr>
          <w:color w:val="3465A4"/>
          <w:sz w:val="28"/>
          <w:szCs w:val="28"/>
        </w:rPr>
        <w:t xml:space="preserve"> Point de situation - Écart de la piste « PAIE-SAUVE » et fausse piste confirmée</w:t>
      </w:r>
    </w:p>
    <w:p>
      <w:pPr>
        <w:pStyle w:val="TextBody"/>
        <w:rPr>
          <w:color w:val="3465A4"/>
          <w:sz w:val="28"/>
          <w:szCs w:val="28"/>
        </w:rPr>
      </w:pPr>
      <w:r>
        <w:rPr>
          <w:color w:val="3465A4"/>
          <w:sz w:val="28"/>
          <w:szCs w:val="28"/>
        </w:rPr>
        <w:t>Bonjour à tous,</w:t>
      </w:r>
    </w:p>
    <w:p>
      <w:pPr>
        <w:pStyle w:val="TextBody"/>
        <w:rPr>
          <w:color w:val="3465A4"/>
          <w:sz w:val="28"/>
          <w:szCs w:val="28"/>
        </w:rPr>
      </w:pPr>
      <w:r>
        <w:rPr>
          <w:color w:val="3465A4"/>
          <w:sz w:val="28"/>
          <w:szCs w:val="28"/>
        </w:rPr>
        <w:t>Je vous prie de prendre note d'un élément nouveau et décisif concernant l'analyse de la clé USB retrouvée :</w:t>
      </w:r>
    </w:p>
    <w:p>
      <w:pPr>
        <w:pStyle w:val="TextBody"/>
        <w:numPr>
          <w:ilvl w:val="0"/>
          <w:numId w:val="1"/>
        </w:numPr>
        <w:tabs>
          <w:tab w:val="clear" w:pos="709"/>
          <w:tab w:val="left" w:pos="707" w:leader="none"/>
        </w:tabs>
        <w:ind w:left="707" w:hanging="283"/>
        <w:rPr>
          <w:color w:val="3465A4"/>
          <w:sz w:val="28"/>
          <w:szCs w:val="28"/>
        </w:rPr>
      </w:pPr>
      <w:r>
        <w:rPr>
          <w:b/>
          <w:color w:val="3465A4"/>
          <w:sz w:val="28"/>
          <w:szCs w:val="28"/>
        </w:rPr>
        <w:t>La piste de la clé « PAIE-SAUVE » est officiellement fermée (FP-6 écartée) :</w:t>
      </w:r>
      <w:r>
        <w:rPr>
          <w:color w:val="3465A4"/>
          <w:sz w:val="28"/>
          <w:szCs w:val="28"/>
        </w:rPr>
        <w:t xml:space="preserve"> Il s'agit d'une sauvegarde manuelle légitime effectuée par la gestionnaire de paie avant la clôture du mois. Cette action est entièrement tracée par le ticket #4471 et a été réalisée en fin de journée, pendant les heures ouvrées.</w:t>
      </w:r>
    </w:p>
    <w:p>
      <w:pPr>
        <w:pStyle w:val="TextBody"/>
        <w:numPr>
          <w:ilvl w:val="0"/>
          <w:numId w:val="1"/>
        </w:numPr>
        <w:tabs>
          <w:tab w:val="clear" w:pos="709"/>
          <w:tab w:val="left" w:pos="707" w:leader="none"/>
        </w:tabs>
        <w:ind w:left="707" w:hanging="283"/>
        <w:rPr>
          <w:color w:val="3465A4"/>
          <w:sz w:val="28"/>
          <w:szCs w:val="28"/>
        </w:rPr>
      </w:pPr>
      <w:r>
        <w:rPr>
          <w:b/>
          <w:color w:val="3465A4"/>
          <w:sz w:val="28"/>
          <w:szCs w:val="28"/>
        </w:rPr>
        <w:t>Volume et absence de fuite :</w:t>
      </w:r>
      <w:r>
        <w:rPr>
          <w:color w:val="3465A4"/>
          <w:sz w:val="28"/>
          <w:szCs w:val="28"/>
        </w:rPr>
        <w:t xml:space="preserve"> Le transfert représente un volume de 44 Mo sans aucune sortie réseau constatée.</w:t>
      </w:r>
    </w:p>
    <w:p>
      <w:pPr>
        <w:pStyle w:val="TextBody"/>
        <w:numPr>
          <w:ilvl w:val="0"/>
          <w:numId w:val="1"/>
        </w:numPr>
        <w:tabs>
          <w:tab w:val="clear" w:pos="709"/>
          <w:tab w:val="left" w:pos="707" w:leader="none"/>
        </w:tabs>
        <w:ind w:left="707" w:hanging="283"/>
        <w:rPr>
          <w:color w:val="3465A4"/>
          <w:sz w:val="28"/>
          <w:szCs w:val="28"/>
        </w:rPr>
      </w:pPr>
      <w:r>
        <w:rPr>
          <w:b/>
          <w:color w:val="3465A4"/>
          <w:sz w:val="28"/>
          <w:szCs w:val="28"/>
        </w:rPr>
        <w:t>Distinction majeure :</w:t>
      </w:r>
      <w:r>
        <w:rPr>
          <w:color w:val="3465A4"/>
          <w:sz w:val="28"/>
          <w:szCs w:val="28"/>
        </w:rPr>
        <w:t xml:space="preserve"> Cette manipulation n'a aucun lien avec l'exfiltration nocturne massive de 118 Go constatée par ailleurs. L'hypothèse de l'employeur interne (« insider ») malveillant sur ce point est donc levée.</w:t>
      </w:r>
    </w:p>
    <w:p>
      <w:pPr>
        <w:pStyle w:val="TextBody"/>
        <w:rPr>
          <w:color w:val="3465A4"/>
          <w:sz w:val="28"/>
          <w:szCs w:val="28"/>
        </w:rPr>
      </w:pPr>
      <w:r>
        <w:rPr>
          <w:color w:val="3465A4"/>
          <w:sz w:val="28"/>
          <w:szCs w:val="28"/>
        </w:rPr>
        <w:t>Nos efforts de communication et d'investigation doivent se concentrer sur les autres vecteurs de l'attaque en cours, notamment face à l'ultimatum des 20 BTC.</w:t>
      </w:r>
    </w:p>
    <w:p>
      <w:pPr>
        <w:pStyle w:val="TextBody"/>
        <w:rPr>
          <w:color w:val="3465A4"/>
          <w:sz w:val="28"/>
          <w:szCs w:val="28"/>
        </w:rPr>
      </w:pPr>
      <w:r>
        <w:rPr>
          <w:color w:val="3465A4"/>
          <w:sz w:val="28"/>
          <w:szCs w:val="28"/>
        </w:rPr>
        <w:t>Bien cordialement,</w:t>
      </w:r>
    </w:p>
    <w:p>
      <w:pPr>
        <w:pStyle w:val="NormalWeb"/>
        <w:spacing w:before="280" w:after="280"/>
        <w:rPr>
          <w:b/>
          <w:color w:val="3465A4"/>
          <w:sz w:val="28"/>
          <w:szCs w:val="28"/>
        </w:rPr>
      </w:pPr>
      <w:r>
        <w:rPr>
          <w:b/>
          <w:color w:val="3465A4" w:themeTint="99"/>
          <w:sz w:val="28"/>
          <w:szCs w:val="28"/>
        </w:rPr>
        <w:t>Cellule de communication de crise AtlasGrid</w:t>
      </w:r>
    </w:p>
    <w:p>
      <w:pPr>
        <w:pStyle w:val="Normal"/>
        <w:rPr/>
      </w:pPr>
      <w:r>
        <w:rPr/>
      </w:r>
    </w:p>
    <w:sectPr>
      <w:type w:val="nextPage"/>
      <w:pgSz w:w="11906" w:h="16838"/>
      <w:pgMar w:left="1134" w:right="1134" w:header="0" w:top="1134" w:footer="0" w:bottom="1134" w:gutter="0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OpenSymbol">
    <w:altName w:val="Arial Unicode MS"/>
    <w:charset w:val="02"/>
    <w:family w:val="auto"/>
    <w:pitch w:val="default"/>
  </w:font>
  <w:font w:name="Liberation Sans">
    <w:altName w:val="Arial"/>
    <w:charset w:val="00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>
  <w:abstractNum w:abstractNumId="1">
    <w:lvl w:ilvl="0">
      <w:start w:val="1"/>
      <w:numFmt w:val="bullet"/>
      <w:lvlText w:val=""/>
      <w:lvlJc w:val="left"/>
      <w:pPr>
        <w:tabs>
          <w:tab w:val="num" w:pos="707"/>
        </w:tabs>
        <w:ind w:left="707" w:hanging="283"/>
      </w:pPr>
      <w:rPr>
        <w:rFonts w:ascii="Symbol" w:hAnsi="Symbol" w:cs="Symbol" w:hint="default"/>
        <w:rFonts w:cs="OpenSymbol"/>
      </w:rPr>
    </w:lvl>
    <w:lvl w:ilvl="1">
      <w:start w:val="1"/>
      <w:numFmt w:val="bullet"/>
      <w:lvlText w:val=""/>
      <w:lvlJc w:val="left"/>
      <w:pPr>
        <w:tabs>
          <w:tab w:val="num" w:pos="1414"/>
        </w:tabs>
        <w:ind w:left="1414" w:hanging="283"/>
      </w:pPr>
      <w:rPr>
        <w:rFonts w:ascii="Symbol" w:hAnsi="Symbol" w:cs="Symbol" w:hint="default"/>
        <w:rFonts w:cs="OpenSymbol"/>
      </w:rPr>
    </w:lvl>
    <w:lvl w:ilvl="2">
      <w:start w:val="1"/>
      <w:numFmt w:val="bullet"/>
      <w:lvlText w:val=""/>
      <w:lvlJc w:val="left"/>
      <w:pPr>
        <w:tabs>
          <w:tab w:val="num" w:pos="2121"/>
        </w:tabs>
        <w:ind w:left="2121" w:hanging="283"/>
      </w:pPr>
      <w:rPr>
        <w:rFonts w:ascii="Symbol" w:hAnsi="Symbol" w:cs="Symbol" w:hint="default"/>
        <w:rFonts w:cs="OpenSymbol"/>
      </w:rPr>
    </w:lvl>
    <w:lvl w:ilvl="3">
      <w:start w:val="1"/>
      <w:numFmt w:val="bullet"/>
      <w:lvlText w:val=""/>
      <w:lvlJc w:val="left"/>
      <w:pPr>
        <w:tabs>
          <w:tab w:val="num" w:pos="2828"/>
        </w:tabs>
        <w:ind w:left="2828" w:hanging="283"/>
      </w:pPr>
      <w:rPr>
        <w:rFonts w:ascii="Symbol" w:hAnsi="Symbol" w:cs="Symbol" w:hint="default"/>
        <w:rFonts w:cs="OpenSymbol"/>
      </w:rPr>
    </w:lvl>
    <w:lvl w:ilvl="4">
      <w:start w:val="1"/>
      <w:numFmt w:val="bullet"/>
      <w:lvlText w:val=""/>
      <w:lvlJc w:val="left"/>
      <w:pPr>
        <w:tabs>
          <w:tab w:val="num" w:pos="3535"/>
        </w:tabs>
        <w:ind w:left="3535" w:hanging="283"/>
      </w:pPr>
      <w:rPr>
        <w:rFonts w:ascii="Symbol" w:hAnsi="Symbol" w:cs="Symbol" w:hint="default"/>
        <w:rFonts w:cs="OpenSymbol"/>
      </w:rPr>
    </w:lvl>
    <w:lvl w:ilvl="5">
      <w:start w:val="1"/>
      <w:numFmt w:val="bullet"/>
      <w:lvlText w:val=""/>
      <w:lvlJc w:val="left"/>
      <w:pPr>
        <w:tabs>
          <w:tab w:val="num" w:pos="4242"/>
        </w:tabs>
        <w:ind w:left="4242" w:hanging="283"/>
      </w:pPr>
      <w:rPr>
        <w:rFonts w:ascii="Symbol" w:hAnsi="Symbol" w:cs="Symbol" w:hint="default"/>
        <w:rFonts w:cs="OpenSymbol"/>
      </w:rPr>
    </w:lvl>
    <w:lvl w:ilvl="6">
      <w:start w:val="1"/>
      <w:numFmt w:val="bullet"/>
      <w:lvlText w:val=""/>
      <w:lvlJc w:val="left"/>
      <w:pPr>
        <w:tabs>
          <w:tab w:val="num" w:pos="4949"/>
        </w:tabs>
        <w:ind w:left="4949" w:hanging="283"/>
      </w:pPr>
      <w:rPr>
        <w:rFonts w:ascii="Symbol" w:hAnsi="Symbol" w:cs="Symbol" w:hint="default"/>
        <w:rFonts w:cs="OpenSymbol"/>
      </w:rPr>
    </w:lvl>
    <w:lvl w:ilvl="7">
      <w:start w:val="1"/>
      <w:numFmt w:val="bullet"/>
      <w:lvlText w:val=""/>
      <w:lvlJc w:val="left"/>
      <w:pPr>
        <w:tabs>
          <w:tab w:val="num" w:pos="5656"/>
        </w:tabs>
        <w:ind w:left="5656" w:hanging="283"/>
      </w:pPr>
      <w:rPr>
        <w:rFonts w:ascii="Symbol" w:hAnsi="Symbol" w:cs="Symbol" w:hint="default"/>
        <w:rFonts w:cs="OpenSymbol"/>
      </w:rPr>
    </w:lvl>
    <w:lvl w:ilvl="8">
      <w:start w:val="1"/>
      <w:numFmt w:val="bullet"/>
      <w:lvlText w:val=""/>
      <w:lvlJc w:val="left"/>
      <w:pPr>
        <w:tabs>
          <w:tab w:val="num" w:pos="6363"/>
        </w:tabs>
        <w:ind w:left="6363" w:hanging="283"/>
      </w:pPr>
      <w:rPr>
        <w:rFonts w:ascii="Symbol" w:hAnsi="Symbol" w:cs="Symbol" w:hint="default"/>
        <w:rFonts w:cs="OpenSymbol"/>
      </w:rPr>
    </w:lvl>
  </w:abstractNum>
  <w:abstractNum w:abstractNumId="2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95"/>
  <w:defaultTabStop w:val="709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Arial"/>
        <w:kern w:val="2"/>
        <w:sz w:val="24"/>
        <w:szCs w:val="24"/>
        <w:lang w:val="fr-MA" w:eastAsia="zh-CN" w:bidi="hi-IN"/>
      </w:rPr>
    </w:rPrDefault>
    <w:pPrDefault>
      <w:pPr>
        <w:widowControl/>
      </w:pPr>
    </w:pPrDefault>
  </w:docDefaults>
  <w:style w:type="paragraph" w:styleId="Normal">
    <w:name w:val="Normal"/>
    <w:qFormat/>
    <w:pPr>
      <w:widowControl/>
    </w:pPr>
    <w:rPr>
      <w:rFonts w:ascii="Liberation Serif" w:hAnsi="Liberation Serif" w:eastAsia="NSimSun" w:cs="Arial"/>
      <w:color w:val="auto"/>
      <w:kern w:val="2"/>
      <w:sz w:val="24"/>
      <w:szCs w:val="24"/>
      <w:lang w:val="fr-MA" w:eastAsia="zh-CN" w:bidi="hi-IN"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"/>
    </w:rPr>
  </w:style>
  <w:style w:type="paragraph" w:styleId="NormalWeb">
    <w:name w:val="Normal (Web)"/>
    <w:basedOn w:val="Normal"/>
    <w:qFormat/>
    <w:pPr>
      <w:spacing w:lineRule="auto" w:line="240" w:beforeAutospacing="1" w:afterAutospacing="1"/>
    </w:pPr>
    <w:rPr>
      <w:rFonts w:ascii="Times New Roman" w:hAnsi="Times New Roman" w:eastAsia="Times New Roman" w:cs="Times New Roman"/>
      <w:sz w:val="24"/>
      <w:szCs w:val="24"/>
      <w:lang w:eastAsia="fr-FR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</TotalTime>
  <Application>Neat_Office/6.2.8.2$Windows_x86 LibreOffice_project/</Application>
  <Pages>1</Pages>
  <Words>177</Words>
  <Characters>895</Characters>
  <CharactersWithSpaces>1060</CharactersWithSpaces>
  <Paragraphs>9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2026-09-24T12:16:50Z</dcterms:created>
  <dc:creator/>
  <dc:description/>
  <dc:language>fr-MA</dc:language>
  <cp:lastModifiedBy/>
  <dcterms:modified xsi:type="dcterms:W3CDTF">2026-09-24T12:18:37Z</dcterms:modified>
  <cp:revision>1</cp:revision>
  <dc:subject/>
  <dc:title/>
</cp:coreProperties>
</file>