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Darukaa.Earth: AI Biodiversity Intelligence Challenge</w:t>
      </w:r>
    </w:p>
    <w:p>
      <w:pPr>
        <w:jc w:val="center"/>
      </w:pPr>
      <w:r>
        <w:rPr>
          <w:color w:val="28643C"/>
          <w:sz w:val="28"/>
        </w:rPr>
        <w:t>Submission &amp; Technical Architecture Dossier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986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986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8"/>
        </w:rPr>
        <w:t>Figure 1: Live Darukaa.Earth AI Environmental Scientist Interface</w:t>
      </w:r>
    </w:p>
    <w:p/>
    <w:p>
      <w:pPr>
        <w:pStyle w:val="Heading1"/>
      </w:pPr>
      <w:r>
        <w:t>1. Submission Links &amp; Access</w:t>
      </w:r>
    </w:p>
    <w:p>
      <w:pPr>
        <w:pStyle w:val="ListBullet"/>
      </w:pPr>
      <w:r>
        <w:rPr>
          <w:b/>
        </w:rPr>
        <w:t xml:space="preserve">GitHub Repository: </w:t>
      </w:r>
      <w:hyperlink r:id="rId10">
        <w:r>
          <w:rPr>
            <w:color w:val="0066CC"/>
            <w:u w:val="single"/>
          </w:rPr>
          <w:t>https://github.com/itsayushkr-dotcom/darukaa-biodiversity-ai</w:t>
        </w:r>
      </w:hyperlink>
    </w:p>
    <w:p>
      <w:pPr>
        <w:pStyle w:val="ListBullet"/>
      </w:pPr>
      <w:r>
        <w:rPr>
          <w:b/>
        </w:rPr>
        <w:t xml:space="preserve">Live Deployed Web Application: </w:t>
      </w:r>
      <w:hyperlink r:id="rId11">
        <w:r>
          <w:rPr>
            <w:color w:val="0066CC"/>
            <w:u w:val="single"/>
          </w:rPr>
          <w:t>https://darukaa-earth.streamlit.app/</w:t>
        </w:r>
      </w:hyperlink>
    </w:p>
    <w:p>
      <w:pPr>
        <w:pStyle w:val="ListBullet"/>
      </w:pPr>
      <w:r>
        <w:rPr>
          <w:b/>
        </w:rPr>
        <w:t xml:space="preserve">Local Workbench URL: </w:t>
      </w:r>
      <w:hyperlink r:id="rId12">
        <w:r>
          <w:rPr>
            <w:color w:val="0066CC"/>
            <w:u w:val="single"/>
          </w:rPr>
          <w:t>http://localhost:8501</w:t>
        </w:r>
      </w:hyperlink>
      <w:r>
        <w:t xml:space="preserve"> (run via: python -m streamlit run app.py)</w:t>
      </w:r>
    </w:p>
    <w:p>
      <w:pPr>
        <w:pStyle w:val="ListBullet"/>
      </w:pPr>
      <w:r>
        <w:rPr>
          <w:b/>
        </w:rPr>
        <w:t xml:space="preserve">REST API Documentation URL: </w:t>
      </w:r>
      <w:hyperlink r:id="rId13">
        <w:r>
          <w:rPr>
            <w:color w:val="0066CC"/>
            <w:u w:val="single"/>
          </w:rPr>
          <w:t>http://localhost:8000/docs</w:t>
        </w:r>
      </w:hyperlink>
      <w:r>
        <w:t xml:space="preserve"> (Interactive OpenAPI / Swagger)</w:t>
      </w:r>
    </w:p>
    <w:p>
      <w:pPr>
        <w:pStyle w:val="Heading2"/>
      </w:pPr>
      <w:r>
        <w:t>Repository Access for Private Repositories</w:t>
      </w:r>
    </w:p>
    <w:p>
      <w:r>
        <w:t>If set to private, collaborator access is granted to all designated Darukaa reviewers:</w:t>
      </w:r>
    </w:p>
    <w:p>
      <w:pPr>
        <w:pStyle w:val="ListBullet"/>
      </w:pPr>
      <w:r>
        <w:t xml:space="preserve">✔ </w:t>
      </w:r>
      <w:hyperlink r:id="rId14">
        <w:r>
          <w:rPr>
            <w:color w:val="1F497D"/>
            <w:u w:val="single"/>
          </w:rPr>
          <w:t>ankita.dasgupta@darukaa.com</w:t>
        </w:r>
      </w:hyperlink>
    </w:p>
    <w:p>
      <w:pPr>
        <w:pStyle w:val="ListBullet"/>
      </w:pPr>
      <w:r>
        <w:t xml:space="preserve">✔ </w:t>
      </w:r>
      <w:hyperlink r:id="rId15">
        <w:r>
          <w:rPr>
            <w:color w:val="1F497D"/>
            <w:u w:val="single"/>
          </w:rPr>
          <w:t>harsh.kumar@darukaa.com</w:t>
        </w:r>
      </w:hyperlink>
    </w:p>
    <w:p>
      <w:pPr>
        <w:pStyle w:val="ListBullet"/>
      </w:pPr>
      <w:r>
        <w:t xml:space="preserve">✔ </w:t>
      </w:r>
      <w:hyperlink r:id="rId16">
        <w:r>
          <w:rPr>
            <w:color w:val="1F497D"/>
            <w:u w:val="single"/>
          </w:rPr>
          <w:t>utkarsh.gauniyal@darukaa.com</w:t>
        </w:r>
      </w:hyperlink>
    </w:p>
    <w:p>
      <w:pPr>
        <w:pStyle w:val="ListBullet"/>
      </w:pPr>
      <w:r>
        <w:t xml:space="preserve">✔ </w:t>
      </w:r>
      <w:hyperlink r:id="rId17">
        <w:r>
          <w:rPr>
            <w:color w:val="1F497D"/>
            <w:u w:val="single"/>
          </w:rPr>
          <w:t>guneet.mutreja@darukaa.com</w:t>
        </w:r>
      </w:hyperlink>
    </w:p>
    <w:p>
      <w:pPr>
        <w:pStyle w:val="Heading1"/>
      </w:pPr>
      <w:r>
        <w:t>2. System Design &amp; Scientific Depth Overview</w:t>
      </w:r>
    </w:p>
    <w:p>
      <w:r>
        <w:t>In strict adherence to the Darukaa.Earth challenge objective, this system was engineered not as a shallow LLM prompt wrapper or UI-only artifact, but as an autonomous AI Environmental Scientist. The core design combines a retrievable scientific knowledge layer (RAG), conversational intelligence with missing-parameter detection, and multi-metric causal reasoning coupling at least 3 environmental variables simultaneously.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</w:rPr>
              <w:t>Core Pillar</w:t>
            </w:r>
          </w:p>
        </w:tc>
        <w:tc>
          <w:tcPr>
            <w:tcW w:type="dxa" w:w="3312"/>
          </w:tcPr>
          <w:p>
            <w:r>
              <w:rPr>
                <w:b/>
              </w:rPr>
              <w:t>Implementation Architecture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Scientific Benchmark / Standard</w:t>
            </w:r>
          </w:p>
        </w:tc>
      </w:tr>
      <w:tr>
        <w:tc>
          <w:tcPr>
            <w:tcW w:type="dxa" w:w="3312"/>
          </w:tcPr>
          <w:p>
            <w:r>
              <w:t>Knowledge System (20%)</w:t>
            </w:r>
          </w:p>
        </w:tc>
        <w:tc>
          <w:tcPr>
            <w:tcW w:type="dxa" w:w="3312"/>
          </w:tcPr>
          <w:p>
            <w:r>
              <w:t>In-memory dense vector store with hybrid TF-IDF/semantic cosine retrieval</w:t>
            </w:r>
          </w:p>
        </w:tc>
        <w:tc>
          <w:tcPr>
            <w:tcW w:type="dxa" w:w="3312"/>
          </w:tcPr>
          <w:p>
            <w:r>
              <w:t>FAO RECSOIL, IPCC SRCCL Ch. 4, IPBES Pollinators, ICAR</w:t>
            </w:r>
          </w:p>
        </w:tc>
      </w:tr>
      <w:tr>
        <w:tc>
          <w:tcPr>
            <w:tcW w:type="dxa" w:w="3312"/>
          </w:tcPr>
          <w:p>
            <w:r>
              <w:t>Multi-Metric Reasoning (30%)</w:t>
            </w:r>
          </w:p>
        </w:tc>
        <w:tc>
          <w:tcPr>
            <w:tcW w:type="dxa" w:w="3312"/>
          </w:tcPr>
          <w:p>
            <w:r>
              <w:t>Causal graph engine cross-linking Soil (SOC/pH), Climate (Rainfall), and Land Use (Crop)</w:t>
            </w:r>
          </w:p>
        </w:tc>
        <w:tc>
          <w:tcPr>
            <w:tcW w:type="dxa" w:w="3312"/>
          </w:tcPr>
          <w:p>
            <w:r>
              <w:t>Simultaneously couples &gt;= 3 environmental variables with quantified delta estimates</w:t>
            </w:r>
          </w:p>
        </w:tc>
      </w:tr>
      <w:tr>
        <w:tc>
          <w:tcPr>
            <w:tcW w:type="dxa" w:w="3312"/>
          </w:tcPr>
          <w:p>
            <w:r>
              <w:t>Scientific Grounding (25%)</w:t>
            </w:r>
          </w:p>
        </w:tc>
        <w:tc>
          <w:tcPr>
            <w:tcW w:type="dxa" w:w="3312"/>
          </w:tcPr>
          <w:p>
            <w:r>
              <w:t>Every recommendation is linked to exact mechanisms, metrics, and academic citations</w:t>
            </w:r>
          </w:p>
        </w:tc>
        <w:tc>
          <w:tcPr>
            <w:tcW w:type="dxa" w:w="3312"/>
          </w:tcPr>
          <w:p>
            <w:r>
              <w:t>Strict prohibition of generic advice; verified permanent HTTP 200 citations with exact chapter/page &amp; quotes</w:t>
            </w:r>
          </w:p>
        </w:tc>
      </w:tr>
      <w:tr>
        <w:tc>
          <w:tcPr>
            <w:tcW w:type="dxa" w:w="3312"/>
          </w:tcPr>
          <w:p>
            <w:r>
              <w:t>Conversational Intelligence (15%)</w:t>
            </w:r>
          </w:p>
        </w:tc>
        <w:tc>
          <w:tcPr>
            <w:tcW w:type="dxa" w:w="3312"/>
          </w:tcPr>
          <w:p>
            <w:r>
              <w:t>Multi-turn dialog memory with automatic missing-variable detector (&lt;3 vars)</w:t>
            </w:r>
          </w:p>
        </w:tc>
        <w:tc>
          <w:tcPr>
            <w:tcW w:type="dxa" w:w="3312"/>
          </w:tcPr>
          <w:p>
            <w:r>
              <w:t>Detects incomplete input ('Biodiversity is declining') and asks clarifying questions</w:t>
            </w:r>
          </w:p>
        </w:tc>
      </w:tr>
      <w:tr>
        <w:tc>
          <w:tcPr>
            <w:tcW w:type="dxa" w:w="3312"/>
          </w:tcPr>
          <w:p>
            <w:r>
              <w:t>Human Impact &amp; Pollution</w:t>
            </w:r>
          </w:p>
        </w:tc>
        <w:tc>
          <w:tcPr>
            <w:tcW w:type="dxa" w:w="3312"/>
          </w:tcPr>
          <w:p>
            <w:r>
              <w:t>Riparian bio-filtration and biochar sorption modeling for chemical runoff</w:t>
            </w:r>
          </w:p>
        </w:tc>
        <w:tc>
          <w:tcPr>
            <w:tcW w:type="dxa" w:w="3312"/>
          </w:tcPr>
          <w:p>
            <w:r>
              <w:t>UNEP/FAO Global Assessment of Soil Pollution (2021)</w:t>
            </w:r>
          </w:p>
        </w:tc>
      </w:tr>
      <w:tr>
        <w:tc>
          <w:tcPr>
            <w:tcW w:type="dxa" w:w="3312"/>
          </w:tcPr>
          <w:p>
            <w:r>
              <w:t>Geo-Spatial Bonus</w:t>
            </w:r>
          </w:p>
        </w:tc>
        <w:tc>
          <w:tcPr>
            <w:tcW w:type="dxa" w:w="3312"/>
          </w:tcPr>
          <w:p>
            <w:r>
              <w:t>Lat/Long coordinate bounding box resolver to Agro-Ecological Zones (AEZ)</w:t>
            </w:r>
          </w:p>
        </w:tc>
        <w:tc>
          <w:tcPr>
            <w:tcW w:type="dxa" w:w="3312"/>
          </w:tcPr>
          <w:p>
            <w:r>
              <w:t>Resolves semi-arid, Deccan vertisols, and temperate biomes + flagship species</w:t>
            </w:r>
          </w:p>
        </w:tc>
      </w:tr>
    </w:tbl>
    <w:p>
      <w:pPr>
        <w:pStyle w:val="Heading1"/>
      </w:pPr>
      <w:r>
        <w:t>3. Database Schema &amp; Data Architecture</w:t>
      </w:r>
    </w:p>
    <w:p>
      <w:r>
        <w:t>The system maintains structured Pydantic schemas for data integrity and RAG vector indexing:</w:t>
        <w:br/>
        <w:t>• StructuredEnvironmentalInput: Captures soil_organic_carbon_pct, soil_ph, soil_moisture, rainfall_pattern, annual_rainfall_mm, crop, cropping_system, tillage_practice, and coordinates.</w:t>
        <w:br/>
        <w:t>• EnvironmentalIntervention: Requires intervention title, what_to_do, why_it_works (mechanism), environmental_variables_coupled (&gt;= 3 required), impacted_metrics (with quantified % improvements), and scientific_citations.</w:t>
        <w:br/>
        <w:t>• Vector Store Corpus: Indexed FAO, IPCC, IPBES, and ICAR consensus reports in knowledge_base/raw_documents/.</w:t>
      </w:r>
    </w:p>
    <w:p>
      <w:pPr>
        <w:pStyle w:val="Heading1"/>
      </w:pPr>
      <w:r>
        <w:t>4. Local Setup &amp; Execution Guide</w:t>
      </w:r>
    </w:p>
    <w:p>
      <w:r>
        <w:t>The system can be executed in under 2 minutes with Python 3.10+:</w:t>
      </w:r>
    </w:p>
    <w:p>
      <w:r>
        <w:rPr>
          <w:rFonts w:ascii="Consolas" w:hAnsi="Consolas"/>
          <w:sz w:val="19"/>
        </w:rPr>
        <w:t># 1. Clone or navigate to the repository</w:t>
        <w:br/>
        <w:t>git clone https://github.com/itsayushkr-dotcom/darukaa-biodiversity-ai.git</w:t>
        <w:br/>
        <w:t>cd darukaa-biodiversity-ai</w:t>
        <w:br/>
        <w:br/>
        <w:t># 2. Install dependencies</w:t>
        <w:br/>
        <w:t>pip install -r requirements.txt</w:t>
        <w:br/>
        <w:br/>
        <w:t># 3. Run Automated Benchmark Suite (18 tests across all criteria &amp; edge cases)</w:t>
        <w:br/>
        <w:t>python evaluation/benchmark_cases.py</w:t>
        <w:br/>
        <w:br/>
        <w:t># 4. Launch Streamlit Environmental Scientist Dashboard</w:t>
        <w:br/>
        <w:t>python -m streamlit run app.py</w:t>
        <w:br/>
        <w:br/>
        <w:t># 5. (Optional) Run FastAPI REST Service</w:t>
        <w:br/>
        <w:t>python -m uvicorn api.main:app --port 8000 --reload</w:t>
      </w:r>
    </w:p>
    <w:p>
      <w:pPr>
        <w:pStyle w:val="Heading1"/>
      </w:pPr>
      <w:r>
        <w:t>5. Verification Suite &amp; Test Results (18/18 Tests Passed)</w:t>
      </w:r>
    </w:p>
    <w:p>
      <w:r>
        <w:t>An exhaustive automated test suite (evaluation/benchmark_cases.py) tests all 5 Hackathon Evaluation Criteria, mandatory constraints, and complex edge cases with 100% pass rate:</w:t>
      </w:r>
    </w:p>
    <w:p>
      <w:pPr>
        <w:pStyle w:val="ListBullet"/>
      </w:pPr>
      <w:r>
        <w:rPr>
          <w:b/>
        </w:rPr>
        <w:t xml:space="preserve">Criterion 1: Depth of Reasoning: </w:t>
      </w:r>
      <w:r>
        <w:t>Enforces &gt;= 3 variable coupling, biological mechanisms (hydraulic lift, mycorrhizal networks), multi-variable causal graphs.</w:t>
      </w:r>
    </w:p>
    <w:p>
      <w:pPr>
        <w:pStyle w:val="ListBullet"/>
      </w:pPr>
      <w:r>
        <w:rPr>
          <w:b/>
        </w:rPr>
        <w:t xml:space="preserve">Criterion 2: Scientific Grounding: </w:t>
      </w:r>
      <w:r>
        <w:t>Enforces non-generic actionable steps, quantified delta estimates (+15-35%), and verified academic citations.</w:t>
      </w:r>
    </w:p>
    <w:p>
      <w:pPr>
        <w:pStyle w:val="ListBullet"/>
      </w:pPr>
      <w:r>
        <w:rPr>
          <w:b/>
        </w:rPr>
        <w:t xml:space="preserve">Criterion 3: Knowledge System Design: </w:t>
      </w:r>
      <w:r>
        <w:t>Validates dense vector store retrieval, subword token TF-IDF + cosine similarity, and metadata domain filtering.</w:t>
      </w:r>
    </w:p>
    <w:p>
      <w:pPr>
        <w:pStyle w:val="ListBullet"/>
      </w:pPr>
      <w:r>
        <w:rPr>
          <w:b/>
        </w:rPr>
        <w:t xml:space="preserve">Criterion 4: Conversational Intelligence: </w:t>
      </w:r>
      <w:r>
        <w:t>Validates detection of incomplete queries ('Biodiversity is declining'), targeted clarifying questions, multi-turn state accumulation, and parameter overrides.</w:t>
      </w:r>
    </w:p>
    <w:p>
      <w:pPr>
        <w:pStyle w:val="ListBullet"/>
      </w:pPr>
      <w:r>
        <w:rPr>
          <w:b/>
        </w:rPr>
        <w:t xml:space="preserve">Criterion 5: Output Clarity: </w:t>
      </w:r>
      <w:r>
        <w:t>Enforces strict Pydantic schema validation, clean field serialization, and confidence score ranges.</w:t>
      </w:r>
    </w:p>
    <w:p>
      <w:pPr>
        <w:pStyle w:val="ListBullet"/>
      </w:pPr>
      <w:r>
        <w:rPr>
          <w:b/>
        </w:rPr>
        <w:t xml:space="preserve">Constraints &amp; Edge Cases: </w:t>
      </w:r>
      <w:r>
        <w:t>Guarantees offline deterministic execution without API keys, per-user session isolation, extreme soil pH/salinity, and chemical runoff modeling.</w:t>
      </w:r>
    </w:p>
    <w:p>
      <w:pPr>
        <w:pStyle w:val="Heading1"/>
      </w:pPr>
      <w:r>
        <w:t>6. Grounding Literature &amp; Institutional Citations</w:t>
      </w:r>
    </w:p>
    <w:p>
      <w:r>
        <w:t>All scientific recommendations are anchored in official multilateral publications:</w:t>
      </w:r>
    </w:p>
    <w:p>
      <w:pPr>
        <w:pStyle w:val="ListBullet"/>
      </w:pPr>
      <w:r>
        <w:t xml:space="preserve">• FAO RECSOIL (2020) — Recarbonizing Global Soils Technical Guidelines: </w:t>
      </w:r>
      <w:hyperlink r:id="rId18">
        <w:r>
          <w:rPr>
            <w:color w:val="0066CC"/>
            <w:u w:val="single"/>
          </w:rPr>
          <w:t>https://openknowledge.fao.org/handle/20.500.14283/cb6378en</w:t>
        </w:r>
      </w:hyperlink>
    </w:p>
    <w:p>
      <w:pPr>
        <w:pStyle w:val="ListBullet"/>
      </w:pPr>
      <w:r>
        <w:t xml:space="preserve">• FAO Conservation Agriculture — Ecosystem Management &amp; Soil Health Portal: </w:t>
      </w:r>
      <w:hyperlink r:id="rId19">
        <w:r>
          <w:rPr>
            <w:color w:val="0066CC"/>
            <w:u w:val="single"/>
          </w:rPr>
          <w:t>https://www.fao.org/conservation-agriculture/en/</w:t>
        </w:r>
      </w:hyperlink>
    </w:p>
    <w:p>
      <w:pPr>
        <w:pStyle w:val="ListBullet"/>
      </w:pPr>
      <w:r>
        <w:t xml:space="preserve">• IPCC SRCCL (2019) — Special Report on Climate Change and Land, Chapter 4: Land Degradation: </w:t>
      </w:r>
      <w:hyperlink r:id="rId20">
        <w:r>
          <w:rPr>
            <w:color w:val="0066CC"/>
            <w:u w:val="single"/>
          </w:rPr>
          <w:t>https://www.ipcc.ch/srccl/chapter/chapter-4/</w:t>
        </w:r>
      </w:hyperlink>
    </w:p>
    <w:p>
      <w:pPr>
        <w:pStyle w:val="ListBullet"/>
      </w:pPr>
      <w:r>
        <w:t xml:space="preserve">• IPBES (2018) — The Assessment Report on Pollinators, Pollination and Food Production: </w:t>
      </w:r>
      <w:hyperlink r:id="rId21">
        <w:r>
          <w:rPr>
            <w:color w:val="0066CC"/>
            <w:u w:val="single"/>
          </w:rPr>
          <w:t>https://www.ipbes.net/assessment-reports/pollinators</w:t>
        </w:r>
      </w:hyperlink>
    </w:p>
    <w:p>
      <w:pPr>
        <w:pStyle w:val="ListBullet"/>
      </w:pPr>
      <w:r>
        <w:t xml:space="preserve">• UNCCD (2022) — Global Land Outlook 2: Land Restoration for a Resilient Future: </w:t>
      </w:r>
      <w:hyperlink r:id="rId22">
        <w:r>
          <w:rPr>
            <w:color w:val="0066CC"/>
            <w:u w:val="single"/>
          </w:rPr>
          <w:t>https://www.unccd.int/our-work/land-degradation-neutrality</w:t>
        </w:r>
      </w:hyperlink>
    </w:p>
    <w:p>
      <w:pPr>
        <w:pStyle w:val="Heading1"/>
      </w:pPr>
      <w:r>
        <w:t>7. Notes for Hackathon Evaluators</w:t>
      </w:r>
    </w:p>
    <w:p>
      <w:r>
        <w:t>• Offline Resilience: The system does NOT crash or halt if an external LLM API key is absent. Its native deterministic scientific reasoning engine and local vector store execute complete, valid interventions offline.</w:t>
        <w:br/>
        <w:t>• Optional Gemini API Key: You can dynamically supply a Gemini API Key via the Streamlit UI sidebar or in an `.env` file to unlock dynamic generative commentary.</w:t>
        <w:br/>
        <w:t>• Live Deployment: Test without any local installation directly at https://darukaa-earth.streamlit.app/.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s://github.com/itsayushkr-dotcom/darukaa-biodiversity-ai" TargetMode="External"/><Relationship Id="rId11" Type="http://schemas.openxmlformats.org/officeDocument/2006/relationships/hyperlink" Target="https://darukaa-earth.streamlit.app/" TargetMode="External"/><Relationship Id="rId12" Type="http://schemas.openxmlformats.org/officeDocument/2006/relationships/hyperlink" Target="http://localhost:8501" TargetMode="External"/><Relationship Id="rId13" Type="http://schemas.openxmlformats.org/officeDocument/2006/relationships/hyperlink" Target="http://localhost:8000/docs" TargetMode="External"/><Relationship Id="rId14" Type="http://schemas.openxmlformats.org/officeDocument/2006/relationships/hyperlink" Target="mailto:ankita.dasgupta@darukaa.com" TargetMode="External"/><Relationship Id="rId15" Type="http://schemas.openxmlformats.org/officeDocument/2006/relationships/hyperlink" Target="mailto:harsh.kumar@darukaa.com" TargetMode="External"/><Relationship Id="rId16" Type="http://schemas.openxmlformats.org/officeDocument/2006/relationships/hyperlink" Target="mailto:utkarsh.gauniyal@darukaa.com" TargetMode="External"/><Relationship Id="rId17" Type="http://schemas.openxmlformats.org/officeDocument/2006/relationships/hyperlink" Target="mailto:guneet.mutreja@darukaa.com" TargetMode="External"/><Relationship Id="rId18" Type="http://schemas.openxmlformats.org/officeDocument/2006/relationships/hyperlink" Target="https://openknowledge.fao.org/handle/20.500.14283/cb6378en" TargetMode="External"/><Relationship Id="rId19" Type="http://schemas.openxmlformats.org/officeDocument/2006/relationships/hyperlink" Target="https://www.fao.org/conservation-agriculture/en/" TargetMode="External"/><Relationship Id="rId20" Type="http://schemas.openxmlformats.org/officeDocument/2006/relationships/hyperlink" Target="https://www.ipcc.ch/srccl/chapter/chapter-4/" TargetMode="External"/><Relationship Id="rId21" Type="http://schemas.openxmlformats.org/officeDocument/2006/relationships/hyperlink" Target="https://www.ipbes.net/assessment-reports/pollinators" TargetMode="External"/><Relationship Id="rId22" Type="http://schemas.openxmlformats.org/officeDocument/2006/relationships/hyperlink" Target="https://www.unccd.int/our-work/land-degradation-neutr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