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880" w:rsidRPr="00E91880" w:rsidRDefault="00E91880" w:rsidP="00E91880">
      <w:pPr>
        <w:shd w:val="clear" w:color="auto" w:fill="F7F8F9"/>
        <w:spacing w:line="360" w:lineRule="auto"/>
        <w:rPr>
          <w:rFonts w:eastAsia="Times New Roman" w:cs="Arial"/>
          <w:b/>
          <w:bCs/>
          <w:color w:val="002A4C"/>
          <w:sz w:val="28"/>
          <w:szCs w:val="28"/>
        </w:rPr>
      </w:pPr>
      <w:r w:rsidRPr="00E91880">
        <w:rPr>
          <w:rFonts w:eastAsia="Times New Roman" w:cs="Arial"/>
          <w:b/>
          <w:bCs/>
          <w:color w:val="002A4C"/>
          <w:sz w:val="28"/>
          <w:szCs w:val="28"/>
        </w:rPr>
        <w:t>Machine Learning Challenge</w:t>
      </w:r>
    </w:p>
    <w:p w:rsidR="00E91880" w:rsidRPr="00E91880" w:rsidRDefault="00E91880" w:rsidP="00E91880">
      <w:pPr>
        <w:shd w:val="clear" w:color="auto" w:fill="F7F8F9"/>
        <w:spacing w:line="360" w:lineRule="auto"/>
        <w:rPr>
          <w:rFonts w:eastAsia="Times New Roman" w:cs="Arial"/>
          <w:color w:val="333333"/>
          <w:sz w:val="28"/>
          <w:szCs w:val="28"/>
        </w:rPr>
      </w:pPr>
      <w:r w:rsidRPr="00E15AB1">
        <w:rPr>
          <w:rStyle w:val="TitleChar"/>
        </w:rPr>
        <w:t>Data Description</w:t>
      </w:r>
      <w:r w:rsidRPr="00E91880">
        <w:rPr>
          <w:rFonts w:eastAsia="Times New Roman" w:cs="Arial"/>
          <w:color w:val="333333"/>
          <w:sz w:val="28"/>
          <w:szCs w:val="28"/>
        </w:rPr>
        <w:t> </w:t>
      </w:r>
      <w:r w:rsidRPr="00E91880">
        <w:rPr>
          <w:rFonts w:eastAsia="Times New Roman" w:cs="Arial"/>
          <w:color w:val="333333"/>
          <w:sz w:val="28"/>
          <w:szCs w:val="28"/>
        </w:rPr>
        <w:br/>
        <w:t xml:space="preserve">The dataset as provided is a summary of data available about various mutual funds and it is our task to identify which would be the most profitable funds as per basis point spread of the fund. The dataset contains details of all kinds of rated funds under a title but for this challenge we are only clustering the </w:t>
      </w:r>
      <w:proofErr w:type="spellStart"/>
      <w:proofErr w:type="gramStart"/>
      <w:r w:rsidRPr="00E91880">
        <w:rPr>
          <w:rFonts w:eastAsia="Times New Roman" w:cs="Arial"/>
          <w:color w:val="333333"/>
          <w:sz w:val="28"/>
          <w:szCs w:val="28"/>
        </w:rPr>
        <w:t>aaa</w:t>
      </w:r>
      <w:proofErr w:type="spellEnd"/>
      <w:proofErr w:type="gramEnd"/>
      <w:r w:rsidRPr="00E91880">
        <w:rPr>
          <w:rFonts w:eastAsia="Times New Roman" w:cs="Arial"/>
          <w:color w:val="333333"/>
          <w:sz w:val="28"/>
          <w:szCs w:val="28"/>
        </w:rPr>
        <w:t xml:space="preserve"> rated funds. Please read the description below to understand the significance of each variable:</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 xml:space="preserve">Isn’t it a difficult job looking at a seed and trying to guess which one would grow up to be a tree of fruits and which one would die at the hint of </w:t>
      </w:r>
      <w:proofErr w:type="gramStart"/>
      <w:r w:rsidRPr="00E91880">
        <w:rPr>
          <w:rFonts w:eastAsia="Times New Roman" w:cs="Arial"/>
          <w:color w:val="333333"/>
          <w:sz w:val="28"/>
          <w:szCs w:val="28"/>
        </w:rPr>
        <w:t>hardships.</w:t>
      </w:r>
      <w:proofErr w:type="gramEnd"/>
      <w:r w:rsidRPr="00E91880">
        <w:rPr>
          <w:rFonts w:eastAsia="Times New Roman" w:cs="Arial"/>
          <w:color w:val="333333"/>
          <w:sz w:val="28"/>
          <w:szCs w:val="28"/>
        </w:rPr>
        <w:t xml:space="preserve"> Well the same is not always true for choosing your funds, owing to statistical relationships the related data pose. This document is to help one cut through the jargons related to fund analysis so that it may help you choose the significant variables to work with in order to predict our target variable into clusters. Please study the following terms which would enhance your understanding of funds so that you may find relevant statistical relationships.</w:t>
      </w:r>
    </w:p>
    <w:p w:rsidR="00E91880" w:rsidRPr="00E91880" w:rsidRDefault="00E91880" w:rsidP="00E91880">
      <w:pPr>
        <w:shd w:val="clear" w:color="auto" w:fill="F7F8F9"/>
        <w:spacing w:line="360" w:lineRule="auto"/>
        <w:rPr>
          <w:rFonts w:eastAsia="Times New Roman" w:cs="Arial"/>
          <w:color w:val="333333"/>
          <w:sz w:val="28"/>
          <w:szCs w:val="28"/>
        </w:rPr>
      </w:pPr>
      <w:r w:rsidRPr="00E15AB1">
        <w:rPr>
          <w:rStyle w:val="TitleChar"/>
        </w:rPr>
        <w:t xml:space="preserve">Basis Point Spread (Value of </w:t>
      </w:r>
      <w:proofErr w:type="spellStart"/>
      <w:r w:rsidRPr="00E15AB1">
        <w:rPr>
          <w:rStyle w:val="TitleChar"/>
        </w:rPr>
        <w:t>bonds_aaa</w:t>
      </w:r>
      <w:proofErr w:type="spellEnd"/>
      <w:r w:rsidRPr="00E15AB1">
        <w:rPr>
          <w:rStyle w:val="TitleChar"/>
        </w:rPr>
        <w:t xml:space="preserve">, </w:t>
      </w:r>
      <w:proofErr w:type="spellStart"/>
      <w:r w:rsidRPr="00E15AB1">
        <w:rPr>
          <w:rStyle w:val="TitleChar"/>
        </w:rPr>
        <w:t>bonds_aa</w:t>
      </w:r>
      <w:proofErr w:type="spellEnd"/>
      <w:r w:rsidRPr="00E15AB1">
        <w:rPr>
          <w:rStyle w:val="TitleChar"/>
        </w:rPr>
        <w:t xml:space="preserve">….. Variable signifies the bps for the </w:t>
      </w:r>
      <w:proofErr w:type="spellStart"/>
      <w:proofErr w:type="gramStart"/>
      <w:r w:rsidRPr="00E15AB1">
        <w:rPr>
          <w:rStyle w:val="TitleChar"/>
        </w:rPr>
        <w:t>aaa</w:t>
      </w:r>
      <w:proofErr w:type="spellEnd"/>
      <w:proofErr w:type="gramEnd"/>
      <w:r w:rsidRPr="00E15AB1">
        <w:rPr>
          <w:rStyle w:val="TitleChar"/>
        </w:rPr>
        <w:t xml:space="preserve"> shares, </w:t>
      </w:r>
      <w:proofErr w:type="spellStart"/>
      <w:r w:rsidRPr="00E15AB1">
        <w:rPr>
          <w:rStyle w:val="TitleChar"/>
        </w:rPr>
        <w:t>aa</w:t>
      </w:r>
      <w:proofErr w:type="spellEnd"/>
      <w:r w:rsidRPr="00E15AB1">
        <w:rPr>
          <w:rStyle w:val="TitleChar"/>
        </w:rPr>
        <w:t xml:space="preserve"> shares and so on for the same fund):</w:t>
      </w:r>
      <w:r w:rsidRPr="00E91880">
        <w:rPr>
          <w:rFonts w:eastAsia="Times New Roman" w:cs="Arial"/>
          <w:color w:val="333333"/>
          <w:sz w:val="28"/>
          <w:szCs w:val="28"/>
        </w:rPr>
        <w:t xml:space="preserve"> The basis point is commonly used for calculating changes in interest rates, equity indices, and the yield of a fixed-income security. It is common for bonds and loans to be quoted in basis point terms. For example, it could be said that the interest rate offered by your bank is 50 basis points higher than LIBOR (London Interbank Offered Rate). A bond whose yield increases from 5% to 5.5% is said to increase by 50 basis points; or interest rates that have risen 1% are said to have increased by 100 basis points. If the Federal Reserve Board raises the </w:t>
      </w:r>
      <w:r w:rsidRPr="00E91880">
        <w:rPr>
          <w:rFonts w:eastAsia="Times New Roman" w:cs="Arial"/>
          <w:color w:val="333333"/>
          <w:sz w:val="28"/>
          <w:szCs w:val="28"/>
        </w:rPr>
        <w:lastRenderedPageBreak/>
        <w:t>target interest rate by 25 basis points, it means that rates have risen by 0.25% percentage points. If rates were at 2.50%, and the Fed raised them by 0.25%, or 25 basis points, the new interest rate would be 2.75%. </w:t>
      </w:r>
      <w:r w:rsidRPr="00E91880">
        <w:rPr>
          <w:rFonts w:eastAsia="Times New Roman" w:cs="Arial"/>
          <w:color w:val="333333"/>
          <w:sz w:val="28"/>
          <w:szCs w:val="28"/>
        </w:rPr>
        <w:br/>
        <w:t xml:space="preserve">By using basis points in conversation, traders and analysts remove some of the ambiguity that can arise when talking about things in percentage moves. For example, if a financial instrument is priced at a 10% rate of interest and the rate experiences a 10% increase, it could conceivably mean that it is now 0.10 x (1 + 0.10) = 11% OR it could also mean 10% + 10% = 20%. The intent of the statement is unclear. Use of basis points in this case makes the meaning obvious: if the instrument is priced at a 10% rate of interest and experiences a 100 </w:t>
      </w:r>
      <w:proofErr w:type="spellStart"/>
      <w:r w:rsidRPr="00E91880">
        <w:rPr>
          <w:rFonts w:eastAsia="Times New Roman" w:cs="Arial"/>
          <w:color w:val="333333"/>
          <w:sz w:val="28"/>
          <w:szCs w:val="28"/>
        </w:rPr>
        <w:t>bp</w:t>
      </w:r>
      <w:proofErr w:type="spellEnd"/>
      <w:r w:rsidRPr="00E91880">
        <w:rPr>
          <w:rFonts w:eastAsia="Times New Roman" w:cs="Arial"/>
          <w:color w:val="333333"/>
          <w:sz w:val="28"/>
          <w:szCs w:val="28"/>
        </w:rPr>
        <w:t xml:space="preserve"> move up, it is now 11%. The 20% result would occur if there was instead a move of 1,000 bps. </w:t>
      </w:r>
      <w:r w:rsidRPr="00E91880">
        <w:rPr>
          <w:rFonts w:eastAsia="Times New Roman" w:cs="Arial"/>
          <w:color w:val="333333"/>
          <w:sz w:val="28"/>
          <w:szCs w:val="28"/>
        </w:rPr>
        <w:br/>
        <w:t>(Courtesy Investopedia.com)</w:t>
      </w:r>
    </w:p>
    <w:p w:rsidR="00E91880" w:rsidRPr="00E91880" w:rsidRDefault="00E91880" w:rsidP="00E91880">
      <w:pPr>
        <w:shd w:val="clear" w:color="auto" w:fill="F7F8F9"/>
        <w:spacing w:line="360" w:lineRule="auto"/>
        <w:rPr>
          <w:rFonts w:eastAsia="Times New Roman" w:cs="Arial"/>
          <w:color w:val="333333"/>
          <w:sz w:val="28"/>
          <w:szCs w:val="28"/>
        </w:rPr>
      </w:pPr>
      <w:r w:rsidRPr="00E15AB1">
        <w:rPr>
          <w:rStyle w:val="TitleChar"/>
        </w:rPr>
        <w:t xml:space="preserve">Net Expense Ratio </w:t>
      </w:r>
      <w:r w:rsidR="009A6E14" w:rsidRPr="00E15AB1">
        <w:rPr>
          <w:rStyle w:val="TitleChar"/>
        </w:rPr>
        <w:t>(Value</w:t>
      </w:r>
      <w:r w:rsidRPr="00E15AB1">
        <w:rPr>
          <w:rStyle w:val="TitleChar"/>
        </w:rPr>
        <w:t xml:space="preserve"> of net_annual_expenses_ratio Variable):</w:t>
      </w:r>
      <w:r w:rsidRPr="00E91880">
        <w:rPr>
          <w:rFonts w:eastAsia="Times New Roman" w:cs="Arial"/>
          <w:color w:val="333333"/>
          <w:sz w:val="28"/>
          <w:szCs w:val="28"/>
        </w:rPr>
        <w:t xml:space="preserve"> The expense ratio measures </w:t>
      </w:r>
      <w:proofErr w:type="gramStart"/>
      <w:r w:rsidRPr="00E91880">
        <w:rPr>
          <w:rFonts w:eastAsia="Times New Roman" w:cs="Arial"/>
          <w:color w:val="333333"/>
          <w:sz w:val="28"/>
          <w:szCs w:val="28"/>
        </w:rPr>
        <w:t>the per</w:t>
      </w:r>
      <w:proofErr w:type="gramEnd"/>
      <w:r w:rsidRPr="00E91880">
        <w:rPr>
          <w:rFonts w:eastAsia="Times New Roman" w:cs="Arial"/>
          <w:color w:val="333333"/>
          <w:sz w:val="28"/>
          <w:szCs w:val="28"/>
        </w:rPr>
        <w:t xml:space="preserve"> unit cost of managing a fund. It is calculated by dividing the fund’s total expenses by its assets under management. Asset management companies (AMCs) employ highly qualified professionals to track developments in equity, debt and money markets and then transact accordingly in the asset markets to attain the objectives that are stated in the fund’s offer documents. For such </w:t>
      </w:r>
      <w:proofErr w:type="spellStart"/>
      <w:r w:rsidRPr="00E91880">
        <w:rPr>
          <w:rFonts w:eastAsia="Times New Roman" w:cs="Arial"/>
          <w:color w:val="333333"/>
          <w:sz w:val="28"/>
          <w:szCs w:val="28"/>
        </w:rPr>
        <w:t>specialised</w:t>
      </w:r>
      <w:proofErr w:type="spellEnd"/>
      <w:r w:rsidRPr="00E91880">
        <w:rPr>
          <w:rFonts w:eastAsia="Times New Roman" w:cs="Arial"/>
          <w:color w:val="333333"/>
          <w:sz w:val="28"/>
          <w:szCs w:val="28"/>
        </w:rPr>
        <w:t xml:space="preserve"> services, the AMC pays a management fee to the professionals.</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Read more at: </w:t>
      </w:r>
      <w:r w:rsidRPr="00E91880">
        <w:rPr>
          <w:rFonts w:eastAsia="Times New Roman" w:cs="Arial"/>
          <w:color w:val="333333"/>
          <w:sz w:val="28"/>
          <w:szCs w:val="28"/>
        </w:rPr>
        <w:br/>
      </w:r>
      <w:hyperlink r:id="rId6" w:tgtFrame="_blank" w:history="1">
        <w:r w:rsidRPr="00E91880">
          <w:rPr>
            <w:rFonts w:eastAsia="Times New Roman" w:cs="Arial"/>
            <w:color w:val="23527C"/>
            <w:sz w:val="28"/>
            <w:szCs w:val="28"/>
            <w:u w:val="single"/>
          </w:rPr>
          <w:t>Net Expense Ratio</w:t>
        </w:r>
      </w:hyperlink>
    </w:p>
    <w:p w:rsidR="00E91880" w:rsidRPr="00E91880" w:rsidRDefault="00E91880" w:rsidP="00E91880">
      <w:pPr>
        <w:shd w:val="clear" w:color="auto" w:fill="F7F8F9"/>
        <w:spacing w:line="360" w:lineRule="auto"/>
        <w:rPr>
          <w:rFonts w:eastAsia="Times New Roman" w:cs="Arial"/>
          <w:color w:val="333333"/>
          <w:sz w:val="28"/>
          <w:szCs w:val="28"/>
        </w:rPr>
      </w:pPr>
      <w:r w:rsidRPr="009A6E14">
        <w:rPr>
          <w:rStyle w:val="TitleChar"/>
        </w:rPr>
        <w:t xml:space="preserve">Portfolio Cash Level </w:t>
      </w:r>
      <w:proofErr w:type="gramStart"/>
      <w:r w:rsidRPr="009A6E14">
        <w:rPr>
          <w:rStyle w:val="TitleChar"/>
        </w:rPr>
        <w:t xml:space="preserve">( </w:t>
      </w:r>
      <w:proofErr w:type="spellStart"/>
      <w:r w:rsidRPr="009A6E14">
        <w:rPr>
          <w:rStyle w:val="TitleChar"/>
        </w:rPr>
        <w:t>portfolio</w:t>
      </w:r>
      <w:proofErr w:type="gramEnd"/>
      <w:r w:rsidRPr="009A6E14">
        <w:rPr>
          <w:rStyle w:val="TitleChar"/>
        </w:rPr>
        <w:t>_cash</w:t>
      </w:r>
      <w:proofErr w:type="spellEnd"/>
      <w:r w:rsidRPr="009A6E14">
        <w:rPr>
          <w:rStyle w:val="TitleChar"/>
        </w:rPr>
        <w:t xml:space="preserve"> variable):</w:t>
      </w:r>
      <w:r w:rsidRPr="00E91880">
        <w:rPr>
          <w:rFonts w:eastAsia="Times New Roman" w:cs="Arial"/>
          <w:color w:val="333333"/>
          <w:sz w:val="28"/>
          <w:szCs w:val="28"/>
        </w:rPr>
        <w:t xml:space="preserve"> Every mutual fund scheme comes with a mandate to invest in certain type of securities. </w:t>
      </w:r>
      <w:proofErr w:type="gramStart"/>
      <w:r w:rsidRPr="00E91880">
        <w:rPr>
          <w:rFonts w:eastAsia="Times New Roman" w:cs="Arial"/>
          <w:color w:val="333333"/>
          <w:sz w:val="28"/>
          <w:szCs w:val="28"/>
        </w:rPr>
        <w:t>And at all times, as well.</w:t>
      </w:r>
      <w:proofErr w:type="gramEnd"/>
      <w:r w:rsidRPr="00E91880">
        <w:rPr>
          <w:rFonts w:eastAsia="Times New Roman" w:cs="Arial"/>
          <w:color w:val="333333"/>
          <w:sz w:val="28"/>
          <w:szCs w:val="28"/>
        </w:rPr>
        <w:t xml:space="preserve"> But every mutual fund scheme is allowed a tiny part of </w:t>
      </w:r>
      <w:r w:rsidRPr="00E91880">
        <w:rPr>
          <w:rFonts w:eastAsia="Times New Roman" w:cs="Arial"/>
          <w:color w:val="333333"/>
          <w:sz w:val="28"/>
          <w:szCs w:val="28"/>
        </w:rPr>
        <w:lastRenderedPageBreak/>
        <w:t>its portfolio in cash. This is allowed to meet redemptions or any ‘buy’ opportunities that the fund may come across on any day. </w:t>
      </w:r>
      <w:r w:rsidRPr="00E91880">
        <w:rPr>
          <w:rFonts w:eastAsia="Times New Roman" w:cs="Arial"/>
          <w:color w:val="333333"/>
          <w:sz w:val="28"/>
          <w:szCs w:val="28"/>
        </w:rPr>
        <w:br/>
        <w:t>Usually, equity funds hold cash between 1% and 5% of a fund’s corpus, though some funds can hold as high as 7-10% of their corpuses in cash. Some funds prefer to hold larger portions of their portfolios in cash because their mandate allows them to hold high cash levels if—as per their analysis—good stocks are not available at desirable valuations. Few others like dynamic equity funds also hold higher cash if they feel equity markets are overheated. </w:t>
      </w:r>
      <w:r w:rsidRPr="00E91880">
        <w:rPr>
          <w:rFonts w:eastAsia="Times New Roman" w:cs="Arial"/>
          <w:color w:val="333333"/>
          <w:sz w:val="28"/>
          <w:szCs w:val="28"/>
        </w:rPr>
        <w:br/>
        <w:t>(Courtesy: Livemint.com)</w:t>
      </w:r>
    </w:p>
    <w:p w:rsidR="00E91880" w:rsidRPr="00E91880" w:rsidRDefault="00E91880" w:rsidP="00E91880">
      <w:pPr>
        <w:shd w:val="clear" w:color="auto" w:fill="F7F8F9"/>
        <w:spacing w:line="360" w:lineRule="auto"/>
        <w:rPr>
          <w:rFonts w:eastAsia="Times New Roman" w:cs="Arial"/>
          <w:color w:val="333333"/>
          <w:sz w:val="28"/>
          <w:szCs w:val="28"/>
        </w:rPr>
      </w:pPr>
      <w:proofErr w:type="spellStart"/>
      <w:r w:rsidRPr="00657A28">
        <w:rPr>
          <w:rStyle w:val="TitleChar"/>
        </w:rPr>
        <w:t>Portfolio_Bonds</w:t>
      </w:r>
      <w:proofErr w:type="gramStart"/>
      <w:r w:rsidRPr="00657A28">
        <w:rPr>
          <w:rStyle w:val="TitleChar"/>
        </w:rPr>
        <w:t>,Portfolio</w:t>
      </w:r>
      <w:proofErr w:type="gramEnd"/>
      <w:r w:rsidRPr="00657A28">
        <w:rPr>
          <w:rStyle w:val="TitleChar"/>
        </w:rPr>
        <w:t>_Stocks</w:t>
      </w:r>
      <w:proofErr w:type="spellEnd"/>
      <w:r w:rsidRPr="00657A28">
        <w:rPr>
          <w:rStyle w:val="TitleChar"/>
        </w:rPr>
        <w:t xml:space="preserve"> and </w:t>
      </w:r>
      <w:proofErr w:type="spellStart"/>
      <w:r w:rsidRPr="00657A28">
        <w:rPr>
          <w:rStyle w:val="TitleChar"/>
        </w:rPr>
        <w:t>Portfolio_others</w:t>
      </w:r>
      <w:proofErr w:type="spellEnd"/>
      <w:r w:rsidRPr="00657A28">
        <w:rPr>
          <w:rStyle w:val="TitleChar"/>
        </w:rPr>
        <w:t xml:space="preserve"> Variable:</w:t>
      </w:r>
      <w:r w:rsidRPr="00E91880">
        <w:rPr>
          <w:rFonts w:eastAsia="Times New Roman" w:cs="Arial"/>
          <w:color w:val="333333"/>
          <w:sz w:val="28"/>
          <w:szCs w:val="28"/>
        </w:rPr>
        <w:t> The percentage of total holdings held in bonds and in stocks. The sum of the three variables plus portfolio cash, preference and convertibles is 100.</w:t>
      </w:r>
    </w:p>
    <w:p w:rsidR="00E91880" w:rsidRPr="00E91880" w:rsidRDefault="00E91880" w:rsidP="00E91880">
      <w:pPr>
        <w:shd w:val="clear" w:color="auto" w:fill="F7F8F9"/>
        <w:spacing w:line="360" w:lineRule="auto"/>
        <w:rPr>
          <w:rFonts w:eastAsia="Times New Roman" w:cs="Arial"/>
          <w:color w:val="333333"/>
          <w:sz w:val="28"/>
          <w:szCs w:val="28"/>
        </w:rPr>
      </w:pPr>
      <w:r w:rsidRPr="00657A28">
        <w:rPr>
          <w:rFonts w:eastAsia="Times New Roman" w:cs="Arial"/>
          <w:b/>
          <w:bCs/>
          <w:color w:val="333333"/>
          <w:sz w:val="32"/>
          <w:szCs w:val="32"/>
          <w:u w:val="single"/>
        </w:rPr>
        <w:t>Convertibles (</w:t>
      </w:r>
      <w:proofErr w:type="spellStart"/>
      <w:r w:rsidRPr="00657A28">
        <w:rPr>
          <w:rFonts w:eastAsia="Times New Roman" w:cs="Arial"/>
          <w:b/>
          <w:bCs/>
          <w:color w:val="333333"/>
          <w:sz w:val="32"/>
          <w:szCs w:val="32"/>
          <w:u w:val="single"/>
        </w:rPr>
        <w:t>Portfolio_convertible</w:t>
      </w:r>
      <w:proofErr w:type="spellEnd"/>
      <w:r w:rsidRPr="00657A28">
        <w:rPr>
          <w:rFonts w:eastAsia="Times New Roman" w:cs="Arial"/>
          <w:b/>
          <w:bCs/>
          <w:color w:val="333333"/>
          <w:sz w:val="32"/>
          <w:szCs w:val="32"/>
          <w:u w:val="single"/>
        </w:rPr>
        <w:t xml:space="preserve"> variable expressed in percentage):</w:t>
      </w:r>
      <w:r w:rsidRPr="00E91880">
        <w:rPr>
          <w:rFonts w:eastAsia="Times New Roman" w:cs="Arial"/>
          <w:color w:val="333333"/>
          <w:sz w:val="28"/>
          <w:szCs w:val="28"/>
        </w:rPr>
        <w:t xml:space="preserve"> Convertibles are securities, usually bonds or preferred </w:t>
      </w:r>
      <w:proofErr w:type="gramStart"/>
      <w:r w:rsidRPr="00E91880">
        <w:rPr>
          <w:rFonts w:eastAsia="Times New Roman" w:cs="Arial"/>
          <w:color w:val="333333"/>
          <w:sz w:val="28"/>
          <w:szCs w:val="28"/>
        </w:rPr>
        <w:t>shares, that</w:t>
      </w:r>
      <w:proofErr w:type="gramEnd"/>
      <w:r w:rsidRPr="00E91880">
        <w:rPr>
          <w:rFonts w:eastAsia="Times New Roman" w:cs="Arial"/>
          <w:color w:val="333333"/>
          <w:sz w:val="28"/>
          <w:szCs w:val="28"/>
        </w:rPr>
        <w:t xml:space="preserve"> can be converted into common stock. Convertibles are most often associated with convertible bonds, which allow bond holders to convert their creditor position to that of an equity holder at an agreed-upon price. Other convertible securities can include notes and preferred shares, which can possess many different traits. </w:t>
      </w:r>
      <w:r w:rsidRPr="00E91880">
        <w:rPr>
          <w:rFonts w:eastAsia="Times New Roman" w:cs="Arial"/>
          <w:color w:val="333333"/>
          <w:sz w:val="28"/>
          <w:szCs w:val="28"/>
        </w:rPr>
        <w:br/>
        <w:t>Read more: </w:t>
      </w:r>
      <w:hyperlink r:id="rId7" w:anchor="ixzz5U1IaPmEt" w:tgtFrame="_blank" w:history="1">
        <w:r w:rsidRPr="00E91880">
          <w:rPr>
            <w:rFonts w:eastAsia="Times New Roman" w:cs="Arial"/>
            <w:color w:val="23527C"/>
            <w:sz w:val="28"/>
            <w:szCs w:val="28"/>
            <w:u w:val="single"/>
          </w:rPr>
          <w:t>Convertibles</w:t>
        </w:r>
      </w:hyperlink>
    </w:p>
    <w:p w:rsidR="00E91880" w:rsidRPr="00E91880" w:rsidRDefault="00E91880" w:rsidP="00E91880">
      <w:pPr>
        <w:shd w:val="clear" w:color="auto" w:fill="F7F8F9"/>
        <w:spacing w:line="360" w:lineRule="auto"/>
        <w:rPr>
          <w:rFonts w:eastAsia="Times New Roman" w:cs="Arial"/>
          <w:color w:val="333333"/>
          <w:sz w:val="28"/>
          <w:szCs w:val="28"/>
        </w:rPr>
      </w:pPr>
      <w:r w:rsidRPr="00657A28">
        <w:rPr>
          <w:rFonts w:eastAsia="Times New Roman" w:cs="Arial"/>
          <w:b/>
          <w:bCs/>
          <w:color w:val="333333"/>
          <w:sz w:val="32"/>
          <w:szCs w:val="32"/>
          <w:u w:val="single"/>
        </w:rPr>
        <w:t>Preferred Stock (</w:t>
      </w:r>
      <w:proofErr w:type="spellStart"/>
      <w:r w:rsidRPr="00657A28">
        <w:rPr>
          <w:rFonts w:eastAsia="Times New Roman" w:cs="Arial"/>
          <w:b/>
          <w:bCs/>
          <w:color w:val="333333"/>
          <w:sz w:val="32"/>
          <w:szCs w:val="32"/>
          <w:u w:val="single"/>
        </w:rPr>
        <w:t>Portfolio_preferred</w:t>
      </w:r>
      <w:proofErr w:type="spellEnd"/>
      <w:r w:rsidRPr="00657A28">
        <w:rPr>
          <w:rFonts w:eastAsia="Times New Roman" w:cs="Arial"/>
          <w:b/>
          <w:bCs/>
          <w:color w:val="333333"/>
          <w:sz w:val="32"/>
          <w:szCs w:val="32"/>
          <w:u w:val="single"/>
        </w:rPr>
        <w:t xml:space="preserve"> variable expressed in percentage</w:t>
      </w:r>
      <w:r w:rsidRPr="00E91880">
        <w:rPr>
          <w:rFonts w:eastAsia="Times New Roman" w:cs="Arial"/>
          <w:b/>
          <w:bCs/>
          <w:color w:val="333333"/>
          <w:sz w:val="28"/>
          <w:szCs w:val="28"/>
        </w:rPr>
        <w:t>):</w:t>
      </w:r>
      <w:r w:rsidRPr="00E91880">
        <w:rPr>
          <w:rFonts w:eastAsia="Times New Roman" w:cs="Arial"/>
          <w:color w:val="333333"/>
          <w:sz w:val="28"/>
          <w:szCs w:val="28"/>
        </w:rPr>
        <w:t> A preferred stock is a class of ownership in a corporation that has a higher claim on its assets and earnings than common stock. Preferred shares generally have a dividend that must be paid out before dividends to common shareholders, and the shares usually do not carry voting rights. </w:t>
      </w:r>
      <w:r w:rsidRPr="00E91880">
        <w:rPr>
          <w:rFonts w:eastAsia="Times New Roman" w:cs="Arial"/>
          <w:color w:val="333333"/>
          <w:sz w:val="28"/>
          <w:szCs w:val="28"/>
        </w:rPr>
        <w:br/>
        <w:t xml:space="preserve">Preferred stock combines features of debt, in that it pays fixed dividends, and equity, in that it </w:t>
      </w:r>
      <w:r w:rsidRPr="00E91880">
        <w:rPr>
          <w:rFonts w:eastAsia="Times New Roman" w:cs="Arial"/>
          <w:color w:val="333333"/>
          <w:sz w:val="28"/>
          <w:szCs w:val="28"/>
        </w:rPr>
        <w:lastRenderedPageBreak/>
        <w:t>has the potential to appreciate in price. The details of each preferred stock depend on the issue. </w:t>
      </w:r>
      <w:r w:rsidRPr="00E91880">
        <w:rPr>
          <w:rFonts w:eastAsia="Times New Roman" w:cs="Arial"/>
          <w:color w:val="333333"/>
          <w:sz w:val="28"/>
          <w:szCs w:val="28"/>
        </w:rPr>
        <w:br/>
        <w:t>Read more: </w:t>
      </w:r>
      <w:hyperlink r:id="rId8" w:anchor="ixzz5U1JNo2dF" w:tgtFrame="_blank" w:history="1">
        <w:r w:rsidRPr="00E91880">
          <w:rPr>
            <w:rFonts w:eastAsia="Times New Roman" w:cs="Arial"/>
            <w:color w:val="23527C"/>
            <w:sz w:val="28"/>
            <w:szCs w:val="28"/>
            <w:u w:val="single"/>
          </w:rPr>
          <w:t>Preferred Stock</w:t>
        </w:r>
      </w:hyperlink>
    </w:p>
    <w:p w:rsidR="00E91880" w:rsidRPr="00E91880" w:rsidRDefault="00E91880" w:rsidP="00E91880">
      <w:pPr>
        <w:shd w:val="clear" w:color="auto" w:fill="F7F8F9"/>
        <w:spacing w:line="360" w:lineRule="auto"/>
        <w:rPr>
          <w:rFonts w:eastAsia="Times New Roman" w:cs="Arial"/>
          <w:color w:val="333333"/>
          <w:sz w:val="28"/>
          <w:szCs w:val="28"/>
        </w:rPr>
      </w:pPr>
      <w:r w:rsidRPr="00657A28">
        <w:rPr>
          <w:rStyle w:val="TitleChar"/>
        </w:rPr>
        <w:t>Sectors variables (</w:t>
      </w:r>
      <w:proofErr w:type="spellStart"/>
      <w:r w:rsidRPr="00657A28">
        <w:rPr>
          <w:rStyle w:val="TitleChar"/>
        </w:rPr>
        <w:t>sectors_basic_materials</w:t>
      </w:r>
      <w:proofErr w:type="gramStart"/>
      <w:r w:rsidRPr="00657A28">
        <w:rPr>
          <w:rStyle w:val="TitleChar"/>
        </w:rPr>
        <w:t>,sectors</w:t>
      </w:r>
      <w:proofErr w:type="gramEnd"/>
      <w:r w:rsidRPr="00657A28">
        <w:rPr>
          <w:rStyle w:val="TitleChar"/>
        </w:rPr>
        <w:t>_financial_services</w:t>
      </w:r>
      <w:proofErr w:type="spellEnd"/>
      <w:r w:rsidRPr="00657A28">
        <w:rPr>
          <w:rStyle w:val="TitleChar"/>
        </w:rPr>
        <w:t>…..):</w:t>
      </w:r>
      <w:r w:rsidRPr="00E91880">
        <w:rPr>
          <w:rFonts w:eastAsia="Times New Roman" w:cs="Arial"/>
          <w:color w:val="333333"/>
          <w:sz w:val="28"/>
          <w:szCs w:val="28"/>
        </w:rPr>
        <w:t xml:space="preserve"> The percentage of investable assets spread. It defines the percentage of asset investment on various sectors. </w:t>
      </w:r>
      <w:proofErr w:type="gramStart"/>
      <w:r w:rsidRPr="00E91880">
        <w:rPr>
          <w:rFonts w:eastAsia="Times New Roman" w:cs="Arial"/>
          <w:color w:val="333333"/>
          <w:sz w:val="28"/>
          <w:szCs w:val="28"/>
        </w:rPr>
        <w:t>The sum of sector variables in 100.</w:t>
      </w:r>
      <w:proofErr w:type="gramEnd"/>
    </w:p>
    <w:p w:rsidR="00E91880" w:rsidRPr="00E91880" w:rsidRDefault="00E91880" w:rsidP="00E91880">
      <w:pPr>
        <w:shd w:val="clear" w:color="auto" w:fill="F7F8F9"/>
        <w:spacing w:line="360" w:lineRule="auto"/>
        <w:rPr>
          <w:rFonts w:eastAsia="Times New Roman" w:cs="Arial"/>
          <w:color w:val="333333"/>
          <w:sz w:val="28"/>
          <w:szCs w:val="28"/>
        </w:rPr>
      </w:pPr>
      <w:r w:rsidRPr="00657A28">
        <w:rPr>
          <w:rStyle w:val="TitleChar"/>
        </w:rPr>
        <w:t xml:space="preserve">Year </w:t>
      </w:r>
      <w:proofErr w:type="gramStart"/>
      <w:r w:rsidRPr="00657A28">
        <w:rPr>
          <w:rStyle w:val="TitleChar"/>
        </w:rPr>
        <w:t>To</w:t>
      </w:r>
      <w:proofErr w:type="gramEnd"/>
      <w:r w:rsidRPr="00657A28">
        <w:rPr>
          <w:rStyle w:val="TitleChar"/>
        </w:rPr>
        <w:t xml:space="preserve"> Date Returns (</w:t>
      </w:r>
      <w:proofErr w:type="spellStart"/>
      <w:r w:rsidRPr="00657A28">
        <w:rPr>
          <w:rStyle w:val="TitleChar"/>
        </w:rPr>
        <w:t>returns_ytd</w:t>
      </w:r>
      <w:proofErr w:type="spellEnd"/>
      <w:r w:rsidRPr="00657A28">
        <w:rPr>
          <w:rStyle w:val="TitleChar"/>
        </w:rPr>
        <w:t xml:space="preserve"> Variable expressed in percentage):</w:t>
      </w:r>
      <w:r w:rsidRPr="00E91880">
        <w:rPr>
          <w:rFonts w:eastAsia="Times New Roman" w:cs="Arial"/>
          <w:color w:val="333333"/>
          <w:sz w:val="28"/>
          <w:szCs w:val="28"/>
        </w:rPr>
        <w:t> Year to date (YTD) refers to the period beginning the first day of the current calendar year or fiscal year up to the current date. YTD information is useful for analyzing business trends or comparing performance data, and the acronym often modifies concepts such as investment returns, earnings and net pay. </w:t>
      </w:r>
      <w:r w:rsidRPr="00E91880">
        <w:rPr>
          <w:rFonts w:eastAsia="Times New Roman" w:cs="Arial"/>
          <w:color w:val="333333"/>
          <w:sz w:val="28"/>
          <w:szCs w:val="28"/>
        </w:rPr>
        <w:br/>
        <w:t>Read more: </w:t>
      </w:r>
      <w:hyperlink r:id="rId9" w:anchor="ixzz5U1Sm7diQ" w:tgtFrame="_blank" w:history="1">
        <w:r w:rsidRPr="00E91880">
          <w:rPr>
            <w:rFonts w:eastAsia="Times New Roman" w:cs="Arial"/>
            <w:color w:val="23527C"/>
            <w:sz w:val="28"/>
            <w:szCs w:val="28"/>
            <w:u w:val="single"/>
          </w:rPr>
          <w:t>Year To Date (YTD)</w:t>
        </w:r>
      </w:hyperlink>
    </w:p>
    <w:p w:rsidR="00E91880" w:rsidRPr="00E91880" w:rsidRDefault="00E91880" w:rsidP="00E91880">
      <w:pPr>
        <w:shd w:val="clear" w:color="auto" w:fill="F7F8F9"/>
        <w:spacing w:line="360" w:lineRule="auto"/>
        <w:rPr>
          <w:rFonts w:eastAsia="Times New Roman" w:cs="Arial"/>
          <w:color w:val="333333"/>
          <w:sz w:val="28"/>
          <w:szCs w:val="28"/>
        </w:rPr>
      </w:pPr>
      <w:r w:rsidRPr="00657A28">
        <w:rPr>
          <w:rStyle w:val="TitleChar"/>
        </w:rPr>
        <w:t>Annualized return of a year (basis) (returns_2010</w:t>
      </w:r>
      <w:proofErr w:type="gramStart"/>
      <w:r w:rsidRPr="00657A28">
        <w:rPr>
          <w:rStyle w:val="TitleChar"/>
        </w:rPr>
        <w:t>,returns</w:t>
      </w:r>
      <w:proofErr w:type="gramEnd"/>
      <w:r w:rsidRPr="00657A28">
        <w:rPr>
          <w:rStyle w:val="TitleChar"/>
        </w:rPr>
        <w:t>_2011….):</w:t>
      </w:r>
      <w:r w:rsidRPr="00E91880">
        <w:rPr>
          <w:rFonts w:eastAsia="Times New Roman" w:cs="Arial"/>
          <w:color w:val="333333"/>
          <w:sz w:val="28"/>
          <w:szCs w:val="28"/>
        </w:rPr>
        <w:t xml:space="preserve"> ‘Return’ is the yield that an investment generates over a period of time. It is the percentage increase or decrease in the value of the investment in that period. Returns on mutual funds are expressed in 2 different ways, </w:t>
      </w:r>
      <w:proofErr w:type="spellStart"/>
      <w:r w:rsidRPr="00E91880">
        <w:rPr>
          <w:rFonts w:eastAsia="Times New Roman" w:cs="Arial"/>
          <w:color w:val="333333"/>
          <w:sz w:val="28"/>
          <w:szCs w:val="28"/>
        </w:rPr>
        <w:t>viz</w:t>
      </w:r>
      <w:proofErr w:type="spellEnd"/>
      <w:r w:rsidRPr="00E91880">
        <w:rPr>
          <w:rFonts w:eastAsia="Times New Roman" w:cs="Arial"/>
          <w:color w:val="333333"/>
          <w:sz w:val="28"/>
          <w:szCs w:val="28"/>
        </w:rPr>
        <w:t xml:space="preserve">, absolute and annualized. </w:t>
      </w:r>
      <w:proofErr w:type="gramStart"/>
      <w:r w:rsidRPr="00E91880">
        <w:rPr>
          <w:rFonts w:eastAsia="Times New Roman" w:cs="Arial"/>
          <w:color w:val="333333"/>
          <w:sz w:val="28"/>
          <w:szCs w:val="28"/>
        </w:rPr>
        <w:t>The most popular one being the annualized return or CAGR (Compounded Annual Growth Rate).</w:t>
      </w:r>
      <w:proofErr w:type="gramEnd"/>
      <w:r w:rsidRPr="00E91880">
        <w:rPr>
          <w:rFonts w:eastAsia="Times New Roman" w:cs="Arial"/>
          <w:color w:val="333333"/>
          <w:sz w:val="28"/>
          <w:szCs w:val="28"/>
        </w:rPr>
        <w:t> </w:t>
      </w:r>
      <w:r w:rsidRPr="00E91880">
        <w:rPr>
          <w:rFonts w:eastAsia="Times New Roman" w:cs="Arial"/>
          <w:color w:val="333333"/>
          <w:sz w:val="28"/>
          <w:szCs w:val="28"/>
        </w:rPr>
        <w:br/>
        <w:t xml:space="preserve">A mutual fund fact sheet shows the fund facts and the most important to us as investors are its return. The returns are usually given for 1-month, 3-month, 6-month, 1-year, 3-year, 5- year </w:t>
      </w:r>
      <w:r w:rsidRPr="00E91880">
        <w:rPr>
          <w:rFonts w:eastAsia="Times New Roman" w:cs="Arial"/>
          <w:color w:val="333333"/>
          <w:sz w:val="28"/>
          <w:szCs w:val="28"/>
        </w:rPr>
        <w:lastRenderedPageBreak/>
        <w:t xml:space="preserve">and so on. The </w:t>
      </w:r>
      <w:proofErr w:type="gramStart"/>
      <w:r w:rsidRPr="00E91880">
        <w:rPr>
          <w:rFonts w:eastAsia="Times New Roman" w:cs="Arial"/>
          <w:color w:val="333333"/>
          <w:sz w:val="28"/>
          <w:szCs w:val="28"/>
        </w:rPr>
        <w:t>returns for 1 to 3 months is</w:t>
      </w:r>
      <w:proofErr w:type="gramEnd"/>
      <w:r w:rsidRPr="00E91880">
        <w:rPr>
          <w:rFonts w:eastAsia="Times New Roman" w:cs="Arial"/>
          <w:color w:val="333333"/>
          <w:sz w:val="28"/>
          <w:szCs w:val="28"/>
        </w:rPr>
        <w:t xml:space="preserve"> given in absolute basis and the returns from 1 year and above are given in absolute basis. So when you see a 5% under the 3-month column, it means the fund has given 5% in 3 months’ time. 12% annualized return in 3 years means 12% return earned every year for the past three years and not 12% total return in 3 years. </w:t>
      </w:r>
      <w:r w:rsidRPr="00E91880">
        <w:rPr>
          <w:rFonts w:eastAsia="Times New Roman" w:cs="Arial"/>
          <w:color w:val="333333"/>
          <w:sz w:val="28"/>
          <w:szCs w:val="28"/>
        </w:rPr>
        <w:br/>
        <w:t>Albert Einstein hasn’t simply said that compound interest is the 8th wonder of the world. Compounding can do wonders to your money. 12% annualized return can double your money in 6 years. And 15% annualized return can double your money in less than 5 years! Below is the table that shows how long different interest rates take to double your money. </w:t>
      </w:r>
      <w:r w:rsidRPr="00E91880">
        <w:rPr>
          <w:rFonts w:eastAsia="Times New Roman" w:cs="Arial"/>
          <w:color w:val="333333"/>
          <w:sz w:val="28"/>
          <w:szCs w:val="28"/>
        </w:rPr>
        <w:br/>
        <w:t>Absolute Return </w:t>
      </w:r>
      <w:r w:rsidRPr="00E91880">
        <w:rPr>
          <w:rFonts w:eastAsia="Times New Roman" w:cs="Arial"/>
          <w:color w:val="333333"/>
          <w:sz w:val="28"/>
          <w:szCs w:val="28"/>
        </w:rPr>
        <w:br/>
        <w:t>Absolute returns, also known as point-to-point returns, calculate the simple returns on initial investment. To calculate this return all one needs is the initial and ending NAV (present NAV). In this method, the duration of holding the fund is not important. One usually uses absolute returns to calculate returns for a period of less than one year. </w:t>
      </w:r>
      <w:r w:rsidRPr="00E91880">
        <w:rPr>
          <w:rFonts w:eastAsia="Times New Roman" w:cs="Arial"/>
          <w:color w:val="333333"/>
          <w:sz w:val="28"/>
          <w:szCs w:val="28"/>
        </w:rPr>
        <w:br/>
        <w:t>Formula for absolute returns </w:t>
      </w:r>
      <w:r w:rsidRPr="00E91880">
        <w:rPr>
          <w:rFonts w:eastAsia="Times New Roman" w:cs="Arial"/>
          <w:color w:val="333333"/>
          <w:sz w:val="28"/>
          <w:szCs w:val="28"/>
        </w:rPr>
        <w:br/>
        <w:t>Absolute returns = ((Present NAV – Initial NAV)/ Initial NAV) *100 </w:t>
      </w:r>
      <w:r w:rsidRPr="00E91880">
        <w:rPr>
          <w:rFonts w:eastAsia="Times New Roman" w:cs="Arial"/>
          <w:color w:val="333333"/>
          <w:sz w:val="28"/>
          <w:szCs w:val="28"/>
        </w:rPr>
        <w:br/>
        <w:t>Annualized Return </w:t>
      </w:r>
      <w:r w:rsidRPr="00E91880">
        <w:rPr>
          <w:rFonts w:eastAsia="Times New Roman" w:cs="Arial"/>
          <w:color w:val="333333"/>
          <w:sz w:val="28"/>
          <w:szCs w:val="28"/>
        </w:rPr>
        <w:br/>
        <w:t xml:space="preserve">Annualized return is the amount of money the investment has earned for the investor per annum. CAGR is compounding of returns earned over a period of time. It provides a snapshot of </w:t>
      </w:r>
      <w:proofErr w:type="gramStart"/>
      <w:r w:rsidRPr="00E91880">
        <w:rPr>
          <w:rFonts w:eastAsia="Times New Roman" w:cs="Arial"/>
          <w:color w:val="333333"/>
          <w:sz w:val="28"/>
          <w:szCs w:val="28"/>
        </w:rPr>
        <w:t>the of</w:t>
      </w:r>
      <w:proofErr w:type="gramEnd"/>
      <w:r w:rsidRPr="00E91880">
        <w:rPr>
          <w:rFonts w:eastAsia="Times New Roman" w:cs="Arial"/>
          <w:color w:val="333333"/>
          <w:sz w:val="28"/>
          <w:szCs w:val="28"/>
        </w:rPr>
        <w:t xml:space="preserve"> an investment’s performance but doesn’t give investors any indication about the volatility. Using annualized return gives a clearer picture when comparing various mutual funds that have traded over different periods of time. However, this is applicable only if you re-invest your gains every year. </w:t>
      </w:r>
      <w:r w:rsidRPr="00E91880">
        <w:rPr>
          <w:rFonts w:eastAsia="Times New Roman" w:cs="Arial"/>
          <w:color w:val="333333"/>
          <w:sz w:val="28"/>
          <w:szCs w:val="28"/>
        </w:rPr>
        <w:br/>
        <w:t>Formula for annualized return </w:t>
      </w:r>
      <w:r w:rsidRPr="00E91880">
        <w:rPr>
          <w:rFonts w:eastAsia="Times New Roman" w:cs="Arial"/>
          <w:color w:val="333333"/>
          <w:sz w:val="28"/>
          <w:szCs w:val="28"/>
        </w:rPr>
        <w:br/>
        <w:t>Annualized return = ((1 + Absolute Rate of Return) ^ (365/no. of days)) – 1 </w:t>
      </w:r>
      <w:r w:rsidRPr="00E91880">
        <w:rPr>
          <w:rFonts w:eastAsia="Times New Roman" w:cs="Arial"/>
          <w:color w:val="333333"/>
          <w:sz w:val="28"/>
          <w:szCs w:val="28"/>
        </w:rPr>
        <w:br/>
        <w:t>OR </w:t>
      </w:r>
      <w:r w:rsidRPr="00E91880">
        <w:rPr>
          <w:rFonts w:eastAsia="Times New Roman" w:cs="Arial"/>
          <w:color w:val="333333"/>
          <w:sz w:val="28"/>
          <w:szCs w:val="28"/>
        </w:rPr>
        <w:br/>
        <w:t>Annualized return = ((1 + Absolute Rate of Return) ^ (1/no. of years)) – 1</w:t>
      </w:r>
    </w:p>
    <w:p w:rsidR="00E91880" w:rsidRPr="00E91880" w:rsidRDefault="00E91880" w:rsidP="00E91880">
      <w:pPr>
        <w:shd w:val="clear" w:color="auto" w:fill="F7F8F9"/>
        <w:spacing w:line="360" w:lineRule="auto"/>
        <w:rPr>
          <w:rFonts w:eastAsia="Times New Roman" w:cs="Arial"/>
          <w:color w:val="333333"/>
          <w:sz w:val="28"/>
          <w:szCs w:val="28"/>
        </w:rPr>
      </w:pPr>
      <w:r w:rsidRPr="00657A28">
        <w:rPr>
          <w:rStyle w:val="TitleChar"/>
        </w:rPr>
        <w:lastRenderedPageBreak/>
        <w:t>Alpha risk parameter for final 3 year assessment (alpha_3y variable):</w:t>
      </w:r>
      <w:r w:rsidRPr="00E91880">
        <w:rPr>
          <w:rFonts w:eastAsia="Times New Roman" w:cs="Arial"/>
          <w:color w:val="333333"/>
          <w:sz w:val="28"/>
          <w:szCs w:val="28"/>
        </w:rPr>
        <w:t xml:space="preserve"> Alpha is a measure of an investment’s performance on a risk-adjusted basis. It takes the volatility (price risk) of a security or fund portfolio and compares its risk-adjusted performance to a benchmark index. The excess return of the investment relative to the return of the benchmark index is its “alpha.” Simply stated, alpha is often considered to represent the value that a portfolio manager adds or subtracts from a fund portfolio’s return. An alpha of 1.0 means the fund has outperformed its benchmark index by 1%. Correspondingly, an alpha of -1.0 would indicate an underperformance of 1%. </w:t>
      </w:r>
      <w:proofErr w:type="gramStart"/>
      <w:r w:rsidRPr="00E91880">
        <w:rPr>
          <w:rFonts w:eastAsia="Times New Roman" w:cs="Arial"/>
          <w:color w:val="333333"/>
          <w:sz w:val="28"/>
          <w:szCs w:val="28"/>
        </w:rPr>
        <w:t>For investors, the higher the alpha the better.</w:t>
      </w:r>
      <w:proofErr w:type="gramEnd"/>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Read more: </w:t>
      </w:r>
      <w:hyperlink r:id="rId10" w:anchor="ixzz5U1kaI0bk" w:tgtFrame="_blank" w:history="1">
        <w:r w:rsidRPr="00E91880">
          <w:rPr>
            <w:rFonts w:eastAsia="Times New Roman" w:cs="Arial"/>
            <w:color w:val="23527C"/>
            <w:sz w:val="28"/>
            <w:szCs w:val="28"/>
            <w:u w:val="single"/>
          </w:rPr>
          <w:t>Risk Parameters</w:t>
        </w:r>
      </w:hyperlink>
    </w:p>
    <w:p w:rsidR="00E91880" w:rsidRPr="00E91880" w:rsidRDefault="00E91880" w:rsidP="00E91880">
      <w:pPr>
        <w:shd w:val="clear" w:color="auto" w:fill="F7F8F9"/>
        <w:spacing w:line="360" w:lineRule="auto"/>
        <w:rPr>
          <w:rFonts w:eastAsia="Times New Roman" w:cs="Arial"/>
          <w:color w:val="333333"/>
          <w:sz w:val="28"/>
          <w:szCs w:val="28"/>
        </w:rPr>
      </w:pPr>
      <w:r w:rsidRPr="00657A28">
        <w:rPr>
          <w:rStyle w:val="TitleChar"/>
        </w:rPr>
        <w:t>Beta risks parameter for final 3 year assessment (beta_3y variable):</w:t>
      </w:r>
      <w:r w:rsidRPr="00E91880">
        <w:rPr>
          <w:rFonts w:eastAsia="Times New Roman" w:cs="Arial"/>
          <w:color w:val="333333"/>
          <w:sz w:val="28"/>
          <w:szCs w:val="28"/>
        </w:rPr>
        <w:t> </w:t>
      </w:r>
      <w:r w:rsidRPr="00E91880">
        <w:rPr>
          <w:rFonts w:eastAsia="Times New Roman" w:cs="Arial"/>
          <w:color w:val="333333"/>
          <w:sz w:val="28"/>
          <w:szCs w:val="28"/>
        </w:rPr>
        <w:br/>
        <w:t>Beta, also known as the “beta coefficient,” is a measure of the volatility, or systematic risk, of a security or a portfolio in comparison to the market as a whole. Beta is calculated using regression analysis, and you can think of it as the tendency of an investment’s return to respond to movements in the market. By definition, the market has a beta of 1.0. Individual security and portfolio values are measured according to how they deviate from the market. </w:t>
      </w:r>
      <w:r w:rsidRPr="00E91880">
        <w:rPr>
          <w:rFonts w:eastAsia="Times New Roman" w:cs="Arial"/>
          <w:color w:val="333333"/>
          <w:sz w:val="28"/>
          <w:szCs w:val="28"/>
        </w:rPr>
        <w:br/>
        <w:t>A beta of 1.0 indicates that the investment’s price will move in lock-step with the market. A beta of less than 1.0 indicates that the investment will be less volatile than the market. Correspondingly, a beta of more than 1.0 indicates that the investment’s price will be more volatile than the market. For example, if a fund portfolio’s beta is 1.2, it’s theoretically 20% more volatile than the market. </w:t>
      </w:r>
      <w:r w:rsidRPr="00E91880">
        <w:rPr>
          <w:rFonts w:eastAsia="Times New Roman" w:cs="Arial"/>
          <w:color w:val="333333"/>
          <w:sz w:val="28"/>
          <w:szCs w:val="28"/>
        </w:rPr>
        <w:br/>
        <w:t xml:space="preserve">Conservative investors looking to preserve capital should focus on securities and fund </w:t>
      </w:r>
      <w:r w:rsidRPr="00E91880">
        <w:rPr>
          <w:rFonts w:eastAsia="Times New Roman" w:cs="Arial"/>
          <w:color w:val="333333"/>
          <w:sz w:val="28"/>
          <w:szCs w:val="28"/>
        </w:rPr>
        <w:lastRenderedPageBreak/>
        <w:t>portfolios with low betas, while those investors willing to take on more risk in search of higher returns should look for high beta investments.</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Read more: </w:t>
      </w:r>
      <w:hyperlink r:id="rId11" w:anchor="ixzz5U1lKtSsl" w:tgtFrame="_blank" w:history="1">
        <w:r w:rsidRPr="00E91880">
          <w:rPr>
            <w:rFonts w:eastAsia="Times New Roman" w:cs="Arial"/>
            <w:color w:val="23527C"/>
            <w:sz w:val="28"/>
            <w:szCs w:val="28"/>
            <w:u w:val="single"/>
          </w:rPr>
          <w:t>Risk Parameters</w:t>
        </w:r>
      </w:hyperlink>
    </w:p>
    <w:p w:rsidR="00E91880" w:rsidRPr="00E91880" w:rsidRDefault="00E91880" w:rsidP="00E91880">
      <w:pPr>
        <w:shd w:val="clear" w:color="auto" w:fill="F7F8F9"/>
        <w:spacing w:line="360" w:lineRule="auto"/>
        <w:rPr>
          <w:rFonts w:eastAsia="Times New Roman" w:cs="Arial"/>
          <w:color w:val="333333"/>
          <w:sz w:val="28"/>
          <w:szCs w:val="28"/>
        </w:rPr>
      </w:pPr>
      <w:r w:rsidRPr="00312DA9">
        <w:rPr>
          <w:rStyle w:val="TitleChar"/>
        </w:rPr>
        <w:t>3 year mean annual return (mean_annual_return_3y variable):</w:t>
      </w:r>
      <w:r w:rsidRPr="00E91880">
        <w:rPr>
          <w:rFonts w:eastAsia="Times New Roman" w:cs="Arial"/>
          <w:color w:val="333333"/>
          <w:sz w:val="28"/>
          <w:szCs w:val="28"/>
        </w:rPr>
        <w:t> The average of individual percentage returns of last three years</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Standard Deviation (standard_deviation_3y Variable): Standard deviation (SD) </w:t>
      </w:r>
      <w:r w:rsidRPr="00E91880">
        <w:rPr>
          <w:rFonts w:eastAsia="Times New Roman" w:cs="Arial"/>
          <w:color w:val="333333"/>
          <w:sz w:val="28"/>
          <w:szCs w:val="28"/>
        </w:rPr>
        <w:br/>
        <w:t>measures the volatility the fund’s returns in relation to its average. </w:t>
      </w:r>
      <w:r w:rsidRPr="00E91880">
        <w:rPr>
          <w:rFonts w:eastAsia="Times New Roman" w:cs="Arial"/>
          <w:color w:val="333333"/>
          <w:sz w:val="28"/>
          <w:szCs w:val="28"/>
        </w:rPr>
        <w:br/>
        <w:t>It tells you how much the fund’s return can deviate from the historical mean return of the scheme. If a fund has a 12% average rate of return and a standard deviation of 4%, its return will range from 8-16%.</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Computation: </w:t>
      </w:r>
      <w:r w:rsidRPr="00E91880">
        <w:rPr>
          <w:rFonts w:eastAsia="Times New Roman" w:cs="Arial"/>
          <w:color w:val="333333"/>
          <w:sz w:val="28"/>
          <w:szCs w:val="28"/>
        </w:rPr>
        <w:br/>
        <w:t>Standard Deviation (SD) = Square root of Variance (V) </w:t>
      </w:r>
      <w:r w:rsidRPr="00E91880">
        <w:rPr>
          <w:rFonts w:eastAsia="Times New Roman" w:cs="Arial"/>
          <w:color w:val="333333"/>
          <w:sz w:val="28"/>
          <w:szCs w:val="28"/>
        </w:rPr>
        <w:br/>
        <w:t>Variance = (Sum of squared difference between each monthly return and its mean / number of monthly return data.</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 xml:space="preserve">Sharpe Ratio (sharpe_ratio_3y Variable): The Sharpe ratio is the average return earned in excess of the risk-free rate per unit of volatility or total risk. Subtracting the risk-free rate from the mean return, the performance associated with risk-taking activities can be isolated. One intuition of this calculation is that a portfolio engaging in “zero risk” investment, such as the purchase of U.S. Treasury bills (for which the expected return is the risk-free rate), has a Sharpe ratio of exactly zero. </w:t>
      </w:r>
      <w:proofErr w:type="gramStart"/>
      <w:r w:rsidRPr="00E91880">
        <w:rPr>
          <w:rFonts w:eastAsia="Times New Roman" w:cs="Arial"/>
          <w:color w:val="333333"/>
          <w:sz w:val="28"/>
          <w:szCs w:val="28"/>
        </w:rPr>
        <w:t>Generally, the greater the value of the Sharpe ratio, the more attractive the risk-adjusted return.</w:t>
      </w:r>
      <w:proofErr w:type="gramEnd"/>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Read more: </w:t>
      </w:r>
      <w:hyperlink w:anchor="ixzz5U1o0nBxG" w:tgtFrame="_blank" w:history="1">
        <w:r w:rsidRPr="00E91880">
          <w:rPr>
            <w:rFonts w:eastAsia="Times New Roman" w:cs="Arial"/>
            <w:color w:val="23527C"/>
            <w:sz w:val="28"/>
            <w:szCs w:val="28"/>
            <w:u w:val="single"/>
          </w:rPr>
          <w:t>Sharpe Ratio</w:t>
        </w:r>
      </w:hyperlink>
    </w:p>
    <w:p w:rsidR="00E91880" w:rsidRPr="00E91880" w:rsidRDefault="00E91880" w:rsidP="00E91880">
      <w:pPr>
        <w:shd w:val="clear" w:color="auto" w:fill="F7F8F9"/>
        <w:spacing w:line="360" w:lineRule="auto"/>
        <w:rPr>
          <w:rFonts w:eastAsia="Times New Roman" w:cs="Arial"/>
          <w:color w:val="333333"/>
          <w:sz w:val="28"/>
          <w:szCs w:val="28"/>
        </w:rPr>
      </w:pPr>
      <w:proofErr w:type="spellStart"/>
      <w:r w:rsidRPr="00981EB2">
        <w:rPr>
          <w:rStyle w:val="TitleChar"/>
        </w:rPr>
        <w:lastRenderedPageBreak/>
        <w:t>Treynor</w:t>
      </w:r>
      <w:proofErr w:type="spellEnd"/>
      <w:r w:rsidRPr="00981EB2">
        <w:rPr>
          <w:rStyle w:val="TitleChar"/>
        </w:rPr>
        <w:t xml:space="preserve"> Ratio (treynor_ratio_3y Variable):</w:t>
      </w:r>
      <w:r w:rsidRPr="00E91880">
        <w:rPr>
          <w:rFonts w:eastAsia="Times New Roman" w:cs="Arial"/>
          <w:color w:val="333333"/>
          <w:sz w:val="28"/>
          <w:szCs w:val="28"/>
        </w:rPr>
        <w:t xml:space="preserve"> The </w:t>
      </w:r>
      <w:proofErr w:type="spellStart"/>
      <w:r w:rsidRPr="00E91880">
        <w:rPr>
          <w:rFonts w:eastAsia="Times New Roman" w:cs="Arial"/>
          <w:color w:val="333333"/>
          <w:sz w:val="28"/>
          <w:szCs w:val="28"/>
        </w:rPr>
        <w:t>Treynor</w:t>
      </w:r>
      <w:proofErr w:type="spellEnd"/>
      <w:r w:rsidRPr="00E91880">
        <w:rPr>
          <w:rFonts w:eastAsia="Times New Roman" w:cs="Arial"/>
          <w:color w:val="333333"/>
          <w:sz w:val="28"/>
          <w:szCs w:val="28"/>
        </w:rPr>
        <w:t xml:space="preserve"> ratio, also known as the reward-to-volatility ratio, is a metric for determining how much excess return was generated for each unit of risk taken on by a portfolio. Excess return in this sense refers to the return earned above the return that could have been earned in a risk-free investment. Although there is no true risk-free investment, treasury bills are often used to represent the risk-free return in the </w:t>
      </w:r>
      <w:proofErr w:type="spellStart"/>
      <w:r w:rsidRPr="00E91880">
        <w:rPr>
          <w:rFonts w:eastAsia="Times New Roman" w:cs="Arial"/>
          <w:color w:val="333333"/>
          <w:sz w:val="28"/>
          <w:szCs w:val="28"/>
        </w:rPr>
        <w:t>Treynor</w:t>
      </w:r>
      <w:proofErr w:type="spellEnd"/>
      <w:r w:rsidRPr="00E91880">
        <w:rPr>
          <w:rFonts w:eastAsia="Times New Roman" w:cs="Arial"/>
          <w:color w:val="333333"/>
          <w:sz w:val="28"/>
          <w:szCs w:val="28"/>
        </w:rPr>
        <w:t xml:space="preserve"> ratio. Risk in the </w:t>
      </w:r>
      <w:proofErr w:type="spellStart"/>
      <w:r w:rsidRPr="00E91880">
        <w:rPr>
          <w:rFonts w:eastAsia="Times New Roman" w:cs="Arial"/>
          <w:color w:val="333333"/>
          <w:sz w:val="28"/>
          <w:szCs w:val="28"/>
        </w:rPr>
        <w:t>Treynor</w:t>
      </w:r>
      <w:proofErr w:type="spellEnd"/>
      <w:r w:rsidRPr="00E91880">
        <w:rPr>
          <w:rFonts w:eastAsia="Times New Roman" w:cs="Arial"/>
          <w:color w:val="333333"/>
          <w:sz w:val="28"/>
          <w:szCs w:val="28"/>
        </w:rPr>
        <w:t xml:space="preserve"> ratio refers to market risk, as measured by beta. Beta measures the tendency of a portfolio’s return to change in response to changes in return for the overall market.</w:t>
      </w:r>
    </w:p>
    <w:p w:rsidR="00E91880" w:rsidRPr="00E91880" w:rsidRDefault="00E91880" w:rsidP="00E91880">
      <w:pPr>
        <w:shd w:val="clear" w:color="auto" w:fill="F7F8F9"/>
        <w:spacing w:line="360" w:lineRule="auto"/>
        <w:rPr>
          <w:rFonts w:eastAsia="Times New Roman" w:cs="Arial"/>
          <w:color w:val="333333"/>
          <w:sz w:val="28"/>
          <w:szCs w:val="28"/>
        </w:rPr>
      </w:pPr>
      <w:r w:rsidRPr="00E91880">
        <w:rPr>
          <w:rFonts w:eastAsia="Times New Roman" w:cs="Arial"/>
          <w:color w:val="333333"/>
          <w:sz w:val="28"/>
          <w:szCs w:val="28"/>
        </w:rPr>
        <w:t>Read more: </w:t>
      </w:r>
      <w:proofErr w:type="spellStart"/>
      <w:r w:rsidRPr="00E91880">
        <w:rPr>
          <w:rFonts w:eastAsia="Times New Roman" w:cs="Arial"/>
          <w:color w:val="333333"/>
          <w:sz w:val="28"/>
          <w:szCs w:val="28"/>
        </w:rPr>
        <w:fldChar w:fldCharType="begin"/>
      </w:r>
      <w:r w:rsidRPr="00E91880">
        <w:rPr>
          <w:rFonts w:eastAsia="Times New Roman" w:cs="Arial"/>
          <w:color w:val="333333"/>
          <w:sz w:val="28"/>
          <w:szCs w:val="28"/>
        </w:rPr>
        <w:instrText xml:space="preserve"> HYPERLINK "https://www.investopedia.com/terms/t/treynorratio.asp" \l "ixzz5U1rFVbYG" \t "_blank" </w:instrText>
      </w:r>
      <w:r w:rsidRPr="00E91880">
        <w:rPr>
          <w:rFonts w:eastAsia="Times New Roman" w:cs="Arial"/>
          <w:color w:val="333333"/>
          <w:sz w:val="28"/>
          <w:szCs w:val="28"/>
        </w:rPr>
        <w:fldChar w:fldCharType="separate"/>
      </w:r>
      <w:r w:rsidRPr="00E91880">
        <w:rPr>
          <w:rFonts w:eastAsia="Times New Roman" w:cs="Arial"/>
          <w:color w:val="23527C"/>
          <w:sz w:val="28"/>
          <w:szCs w:val="28"/>
          <w:u w:val="single"/>
        </w:rPr>
        <w:t>Treynor</w:t>
      </w:r>
      <w:proofErr w:type="spellEnd"/>
      <w:r w:rsidRPr="00E91880">
        <w:rPr>
          <w:rFonts w:eastAsia="Times New Roman" w:cs="Arial"/>
          <w:color w:val="23527C"/>
          <w:sz w:val="28"/>
          <w:szCs w:val="28"/>
          <w:u w:val="single"/>
        </w:rPr>
        <w:t xml:space="preserve"> Ratio</w:t>
      </w:r>
      <w:r w:rsidRPr="00E91880">
        <w:rPr>
          <w:rFonts w:eastAsia="Times New Roman" w:cs="Arial"/>
          <w:color w:val="333333"/>
          <w:sz w:val="28"/>
          <w:szCs w:val="28"/>
        </w:rPr>
        <w:fldChar w:fldCharType="end"/>
      </w:r>
    </w:p>
    <w:p w:rsidR="00E91880" w:rsidRPr="00E91880" w:rsidRDefault="00E91880" w:rsidP="00E91880">
      <w:pPr>
        <w:shd w:val="clear" w:color="auto" w:fill="F7F8F9"/>
        <w:spacing w:line="360" w:lineRule="auto"/>
        <w:rPr>
          <w:rFonts w:eastAsia="Times New Roman" w:cs="Arial"/>
          <w:color w:val="333333"/>
          <w:sz w:val="28"/>
          <w:szCs w:val="28"/>
        </w:rPr>
      </w:pPr>
      <w:bookmarkStart w:id="0" w:name="_GoBack"/>
      <w:r w:rsidRPr="00E91880">
        <w:rPr>
          <w:rFonts w:eastAsia="Times New Roman" w:cs="Arial"/>
          <w:b/>
          <w:bCs/>
          <w:color w:val="333333"/>
          <w:sz w:val="28"/>
          <w:szCs w:val="28"/>
        </w:rPr>
        <w:t>Objective of the problem</w:t>
      </w:r>
      <w:r w:rsidRPr="00E91880">
        <w:rPr>
          <w:rFonts w:eastAsia="Times New Roman" w:cs="Arial"/>
          <w:color w:val="333333"/>
          <w:sz w:val="28"/>
          <w:szCs w:val="28"/>
        </w:rPr>
        <w:t> </w:t>
      </w:r>
      <w:bookmarkEnd w:id="0"/>
      <w:r w:rsidRPr="00E91880">
        <w:rPr>
          <w:rFonts w:eastAsia="Times New Roman" w:cs="Arial"/>
          <w:color w:val="333333"/>
          <w:sz w:val="28"/>
          <w:szCs w:val="28"/>
        </w:rPr>
        <w:br/>
      </w:r>
      <w:proofErr w:type="gramStart"/>
      <w:r w:rsidRPr="00E91880">
        <w:rPr>
          <w:rFonts w:eastAsia="Times New Roman" w:cs="Arial"/>
          <w:color w:val="333333"/>
          <w:sz w:val="28"/>
          <w:szCs w:val="28"/>
        </w:rPr>
        <w:t>The</w:t>
      </w:r>
      <w:proofErr w:type="gramEnd"/>
      <w:r w:rsidRPr="00E91880">
        <w:rPr>
          <w:rFonts w:eastAsia="Times New Roman" w:cs="Arial"/>
          <w:color w:val="333333"/>
          <w:sz w:val="28"/>
          <w:szCs w:val="28"/>
        </w:rPr>
        <w:t xml:space="preserve"> objective of the problem is to predict which basis point spread zone of </w:t>
      </w:r>
      <w:proofErr w:type="spellStart"/>
      <w:r w:rsidRPr="00E91880">
        <w:rPr>
          <w:rFonts w:eastAsia="Times New Roman" w:cs="Arial"/>
          <w:color w:val="333333"/>
          <w:sz w:val="28"/>
          <w:szCs w:val="28"/>
        </w:rPr>
        <w:t>aaa</w:t>
      </w:r>
      <w:proofErr w:type="spellEnd"/>
      <w:r w:rsidRPr="00E91880">
        <w:rPr>
          <w:rFonts w:eastAsia="Times New Roman" w:cs="Arial"/>
          <w:color w:val="333333"/>
          <w:sz w:val="28"/>
          <w:szCs w:val="28"/>
        </w:rPr>
        <w:t xml:space="preserve"> rated mutual fund might fall into considering an investment from 2010 to 2017. The idea is to find funds with maximum yield potential and to figure out how bps varies in correlation to other fund variables. </w:t>
      </w:r>
      <w:r w:rsidRPr="00E91880">
        <w:rPr>
          <w:rFonts w:eastAsia="Times New Roman" w:cs="Arial"/>
          <w:color w:val="333333"/>
          <w:sz w:val="28"/>
          <w:szCs w:val="28"/>
        </w:rPr>
        <w:br/>
        <w:t>The Basis point spread range is divided into 3 clusters which are: </w:t>
      </w:r>
      <w:r w:rsidRPr="00E91880">
        <w:rPr>
          <w:rFonts w:eastAsia="Times New Roman" w:cs="Arial"/>
          <w:color w:val="333333"/>
          <w:sz w:val="28"/>
          <w:szCs w:val="28"/>
        </w:rPr>
        <w:br/>
        <w:t>1) Less than 50 </w:t>
      </w:r>
      <w:r w:rsidRPr="00E91880">
        <w:rPr>
          <w:rFonts w:eastAsia="Times New Roman" w:cs="Arial"/>
          <w:color w:val="333333"/>
          <w:sz w:val="28"/>
          <w:szCs w:val="28"/>
        </w:rPr>
        <w:br/>
        <w:t>2) 50 to less than 100 </w:t>
      </w:r>
      <w:r w:rsidRPr="00E91880">
        <w:rPr>
          <w:rFonts w:eastAsia="Times New Roman" w:cs="Arial"/>
          <w:color w:val="333333"/>
          <w:sz w:val="28"/>
          <w:szCs w:val="28"/>
        </w:rPr>
        <w:br/>
        <w:t>3) 100 </w:t>
      </w:r>
      <w:r w:rsidRPr="00E91880">
        <w:rPr>
          <w:rFonts w:eastAsia="Times New Roman" w:cs="Arial"/>
          <w:color w:val="333333"/>
          <w:sz w:val="28"/>
          <w:szCs w:val="28"/>
        </w:rPr>
        <w:br/>
        <w:t xml:space="preserve">The sample submission file contains the </w:t>
      </w:r>
      <w:proofErr w:type="spellStart"/>
      <w:r w:rsidRPr="00E91880">
        <w:rPr>
          <w:rFonts w:eastAsia="Times New Roman" w:cs="Arial"/>
          <w:color w:val="333333"/>
          <w:sz w:val="28"/>
          <w:szCs w:val="28"/>
        </w:rPr>
        <w:t>the</w:t>
      </w:r>
      <w:proofErr w:type="spellEnd"/>
      <w:r w:rsidRPr="00E91880">
        <w:rPr>
          <w:rFonts w:eastAsia="Times New Roman" w:cs="Arial"/>
          <w:color w:val="333333"/>
          <w:sz w:val="28"/>
          <w:szCs w:val="28"/>
        </w:rPr>
        <w:t xml:space="preserve"> serial number wise sorted data as per clusters, going from lower values to higher values, as in the order above. Please note that the sample submission is only for demonstration of how </w:t>
      </w:r>
      <w:proofErr w:type="gramStart"/>
      <w:r w:rsidRPr="00E91880">
        <w:rPr>
          <w:rFonts w:eastAsia="Times New Roman" w:cs="Arial"/>
          <w:color w:val="333333"/>
          <w:sz w:val="28"/>
          <w:szCs w:val="28"/>
        </w:rPr>
        <w:t>a the</w:t>
      </w:r>
      <w:proofErr w:type="gramEnd"/>
      <w:r w:rsidRPr="00E91880">
        <w:rPr>
          <w:rFonts w:eastAsia="Times New Roman" w:cs="Arial"/>
          <w:color w:val="333333"/>
          <w:sz w:val="28"/>
          <w:szCs w:val="28"/>
        </w:rPr>
        <w:t xml:space="preserve"> correct prediction file should be uploaded. </w:t>
      </w:r>
      <w:r w:rsidRPr="00E91880">
        <w:rPr>
          <w:rFonts w:eastAsia="Times New Roman" w:cs="Arial"/>
          <w:color w:val="333333"/>
          <w:sz w:val="28"/>
          <w:szCs w:val="28"/>
        </w:rPr>
        <w:br/>
      </w:r>
      <w:r w:rsidRPr="00E91880">
        <w:rPr>
          <w:rFonts w:eastAsia="Times New Roman" w:cs="Arial"/>
          <w:b/>
          <w:bCs/>
          <w:color w:val="333333"/>
          <w:sz w:val="28"/>
          <w:szCs w:val="28"/>
        </w:rPr>
        <w:t>Please note that the training data is only for creating your data model and all predictions are to be made as per serial numbers on the test file.</w:t>
      </w:r>
      <w:r w:rsidRPr="00E91880">
        <w:rPr>
          <w:rFonts w:eastAsia="Times New Roman" w:cs="Arial"/>
          <w:color w:val="333333"/>
          <w:sz w:val="28"/>
          <w:szCs w:val="28"/>
        </w:rPr>
        <w:t> </w:t>
      </w:r>
      <w:r w:rsidRPr="00E91880">
        <w:rPr>
          <w:rFonts w:eastAsia="Times New Roman" w:cs="Arial"/>
          <w:color w:val="333333"/>
          <w:sz w:val="28"/>
          <w:szCs w:val="28"/>
        </w:rPr>
        <w:br/>
        <w:t xml:space="preserve">- Please predict the values of </w:t>
      </w:r>
      <w:proofErr w:type="spellStart"/>
      <w:r w:rsidRPr="00E91880">
        <w:rPr>
          <w:rFonts w:eastAsia="Times New Roman" w:cs="Arial"/>
          <w:color w:val="333333"/>
          <w:sz w:val="28"/>
          <w:szCs w:val="28"/>
        </w:rPr>
        <w:t>bonds_aaa</w:t>
      </w:r>
      <w:proofErr w:type="spellEnd"/>
      <w:r w:rsidRPr="00E91880">
        <w:rPr>
          <w:rFonts w:eastAsia="Times New Roman" w:cs="Arial"/>
          <w:color w:val="333333"/>
          <w:sz w:val="28"/>
          <w:szCs w:val="28"/>
        </w:rPr>
        <w:t xml:space="preserve"> variable for the test dataset and sort it into a list as per clusters. The sorted file which is to be uploaded be a continuous file </w:t>
      </w:r>
      <w:proofErr w:type="spellStart"/>
      <w:r w:rsidRPr="00E91880">
        <w:rPr>
          <w:rFonts w:eastAsia="Times New Roman" w:cs="Arial"/>
          <w:color w:val="333333"/>
          <w:sz w:val="28"/>
          <w:szCs w:val="28"/>
        </w:rPr>
        <w:t>upto</w:t>
      </w:r>
      <w:proofErr w:type="spellEnd"/>
      <w:r w:rsidRPr="00E91880">
        <w:rPr>
          <w:rFonts w:eastAsia="Times New Roman" w:cs="Arial"/>
          <w:color w:val="333333"/>
          <w:sz w:val="28"/>
          <w:szCs w:val="28"/>
        </w:rPr>
        <w:t xml:space="preserve"> all serial numbers in the test data. </w:t>
      </w:r>
      <w:r w:rsidRPr="00E91880">
        <w:rPr>
          <w:rFonts w:eastAsia="Times New Roman" w:cs="Arial"/>
          <w:color w:val="333333"/>
          <w:sz w:val="28"/>
          <w:szCs w:val="28"/>
        </w:rPr>
        <w:br/>
      </w:r>
      <w:r w:rsidRPr="00E91880">
        <w:rPr>
          <w:rFonts w:eastAsia="Times New Roman" w:cs="Arial"/>
          <w:color w:val="333333"/>
          <w:sz w:val="28"/>
          <w:szCs w:val="28"/>
        </w:rPr>
        <w:lastRenderedPageBreak/>
        <w:t xml:space="preserve">- Each serial number has a one to one mapping with the </w:t>
      </w:r>
      <w:proofErr w:type="spellStart"/>
      <w:r w:rsidRPr="00E91880">
        <w:rPr>
          <w:rFonts w:eastAsia="Times New Roman" w:cs="Arial"/>
          <w:color w:val="333333"/>
          <w:sz w:val="28"/>
          <w:szCs w:val="28"/>
        </w:rPr>
        <w:t>the</w:t>
      </w:r>
      <w:proofErr w:type="spellEnd"/>
      <w:r w:rsidRPr="00E91880">
        <w:rPr>
          <w:rFonts w:eastAsia="Times New Roman" w:cs="Arial"/>
          <w:color w:val="333333"/>
          <w:sz w:val="28"/>
          <w:szCs w:val="28"/>
        </w:rPr>
        <w:t xml:space="preserve"> </w:t>
      </w:r>
      <w:proofErr w:type="spellStart"/>
      <w:r w:rsidRPr="00E91880">
        <w:rPr>
          <w:rFonts w:eastAsia="Times New Roman" w:cs="Arial"/>
          <w:color w:val="333333"/>
          <w:sz w:val="28"/>
          <w:szCs w:val="28"/>
        </w:rPr>
        <w:t>bonds_aaa</w:t>
      </w:r>
      <w:proofErr w:type="spellEnd"/>
      <w:r w:rsidRPr="00E91880">
        <w:rPr>
          <w:rFonts w:eastAsia="Times New Roman" w:cs="Arial"/>
          <w:color w:val="333333"/>
          <w:sz w:val="28"/>
          <w:szCs w:val="28"/>
        </w:rPr>
        <w:t xml:space="preserve"> variable so the mapping must be preserved while predicting. For example, if the predicted value for serial number 10 is 40, the same relationship must be preserved in whichever cluster </w:t>
      </w:r>
      <w:proofErr w:type="gramStart"/>
      <w:r w:rsidRPr="00E91880">
        <w:rPr>
          <w:rFonts w:eastAsia="Times New Roman" w:cs="Arial"/>
          <w:color w:val="333333"/>
          <w:sz w:val="28"/>
          <w:szCs w:val="28"/>
        </w:rPr>
        <w:t>might it</w:t>
      </w:r>
      <w:proofErr w:type="gramEnd"/>
      <w:r w:rsidRPr="00E91880">
        <w:rPr>
          <w:rFonts w:eastAsia="Times New Roman" w:cs="Arial"/>
          <w:color w:val="333333"/>
          <w:sz w:val="28"/>
          <w:szCs w:val="28"/>
        </w:rPr>
        <w:t xml:space="preserve"> be filtered to.</w:t>
      </w:r>
    </w:p>
    <w:p w:rsidR="007A6227" w:rsidRPr="00E91880" w:rsidRDefault="007A6227" w:rsidP="00E91880">
      <w:pPr>
        <w:spacing w:line="360" w:lineRule="auto"/>
        <w:rPr>
          <w:sz w:val="28"/>
          <w:szCs w:val="28"/>
        </w:rPr>
      </w:pPr>
    </w:p>
    <w:sectPr w:rsidR="007A6227" w:rsidRPr="00E91880" w:rsidSect="00E918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53"/>
    <w:rsid w:val="00312DA9"/>
    <w:rsid w:val="00657A28"/>
    <w:rsid w:val="007A6227"/>
    <w:rsid w:val="00981EB2"/>
    <w:rsid w:val="009A6E14"/>
    <w:rsid w:val="00E15AB1"/>
    <w:rsid w:val="00E91880"/>
    <w:rsid w:val="00F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880"/>
    <w:rPr>
      <w:b/>
      <w:bCs/>
    </w:rPr>
  </w:style>
  <w:style w:type="character" w:styleId="Hyperlink">
    <w:name w:val="Hyperlink"/>
    <w:basedOn w:val="DefaultParagraphFont"/>
    <w:uiPriority w:val="99"/>
    <w:semiHidden/>
    <w:unhideWhenUsed/>
    <w:rsid w:val="00E91880"/>
    <w:rPr>
      <w:color w:val="0000FF"/>
      <w:u w:val="single"/>
    </w:rPr>
  </w:style>
  <w:style w:type="paragraph" w:styleId="Title">
    <w:name w:val="Title"/>
    <w:basedOn w:val="Normal"/>
    <w:next w:val="Normal"/>
    <w:link w:val="TitleChar"/>
    <w:uiPriority w:val="10"/>
    <w:qFormat/>
    <w:rsid w:val="00E1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A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880"/>
    <w:rPr>
      <w:b/>
      <w:bCs/>
    </w:rPr>
  </w:style>
  <w:style w:type="character" w:styleId="Hyperlink">
    <w:name w:val="Hyperlink"/>
    <w:basedOn w:val="DefaultParagraphFont"/>
    <w:uiPriority w:val="99"/>
    <w:semiHidden/>
    <w:unhideWhenUsed/>
    <w:rsid w:val="00E91880"/>
    <w:rPr>
      <w:color w:val="0000FF"/>
      <w:u w:val="single"/>
    </w:rPr>
  </w:style>
  <w:style w:type="paragraph" w:styleId="Title">
    <w:name w:val="Title"/>
    <w:basedOn w:val="Normal"/>
    <w:next w:val="Normal"/>
    <w:link w:val="TitleChar"/>
    <w:uiPriority w:val="10"/>
    <w:qFormat/>
    <w:rsid w:val="00E1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A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03271">
      <w:bodyDiv w:val="1"/>
      <w:marLeft w:val="0"/>
      <w:marRight w:val="0"/>
      <w:marTop w:val="0"/>
      <w:marBottom w:val="0"/>
      <w:divBdr>
        <w:top w:val="none" w:sz="0" w:space="0" w:color="auto"/>
        <w:left w:val="none" w:sz="0" w:space="0" w:color="auto"/>
        <w:bottom w:val="none" w:sz="0" w:space="0" w:color="auto"/>
        <w:right w:val="none" w:sz="0" w:space="0" w:color="auto"/>
      </w:divBdr>
      <w:divsChild>
        <w:div w:id="31033510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eferredstock.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vestopedia.com/terms/c/convertible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conomictimes.indiatimes.com/articleshow/12410645.cms?utm_source=contentofinterest&amp;utm_medium=text&amp;utm_campaign=cppst" TargetMode="External"/><Relationship Id="rId11" Type="http://schemas.openxmlformats.org/officeDocument/2006/relationships/hyperlink" Target="https://www.investopedia.com/investing/measure-mutual-fund-risk/" TargetMode="External"/><Relationship Id="rId5" Type="http://schemas.openxmlformats.org/officeDocument/2006/relationships/webSettings" Target="webSettings.xml"/><Relationship Id="rId10" Type="http://schemas.openxmlformats.org/officeDocument/2006/relationships/hyperlink" Target="https://www.investopedia.com/investing/measure-mutual-fund-risk/" TargetMode="External"/><Relationship Id="rId4" Type="http://schemas.openxmlformats.org/officeDocument/2006/relationships/settings" Target="settings.xml"/><Relationship Id="rId9" Type="http://schemas.openxmlformats.org/officeDocument/2006/relationships/hyperlink" Target="https://www.investopedia.com/terms/y/yt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0BB6A-C1D9-43F2-9FDC-4A3AEE3E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2183</Words>
  <Characters>12444</Characters>
  <Application>Microsoft Office Word</Application>
  <DocSecurity>0</DocSecurity>
  <Lines>103</Lines>
  <Paragraphs>29</Paragraphs>
  <ScaleCrop>false</ScaleCrop>
  <Company>CtrlSoft</Company>
  <LinksUpToDate>false</LinksUpToDate>
  <CharactersWithSpaces>14598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2018-10-19T18:41:00Z</dcterms:created>
  <dcterms:modified xsi:type="dcterms:W3CDTF">2018-10-19T18:50:00Z</dcterms:modified>
</cp:coreProperties>
</file>