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4: Novelty Summary</w:t>
      </w:r>
    </w:p>
    <w:p>
      <w:r>
        <w:rPr>
          <w:i/>
        </w:rPr>
        <w:t>AI-Based Multi-Cloud Migration Decision Framework for Healthcare Enterprises</w:t>
      </w:r>
    </w:p>
    <w:p>
      <w:r>
        <w:t>BCSE355L Cloud Architecture Design — VIT University, 2026</w:t>
      </w:r>
    </w:p>
    <w:p>
      <w:r>
        <w:t>Team: Charles Jehanabad (24BIT0522) · Tanmay Kapoor (24BIT0079) · Rani Gupta (24BIT0543)</w:t>
      </w:r>
    </w:p>
    <w:p>
      <w:r>
        <w:t>————————————————————————————————————————</w:t>
      </w:r>
    </w:p>
    <w:p>
      <w:r>
        <w:t>The central contribution is a decision framework that joins three things the reviewed papers treat separately: a forecast of network degradation, a transparent multi-criteria routing decision with hard clinical safety rules, and a tamper-evident record of every decision. Routing therefore changes before the network fails, can be explained from stored scores, and can be checked afterwards. The contribution is demonstrated on a working local implementation with an AWS migration path. It has not yet been deployed on AWS or validated in a hospital, and no claim is made that it is the first such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Novelty dimension</w:t>
            </w:r>
          </w:p>
        </w:tc>
        <w:tc>
          <w:tcPr>
            <w:tcW w:type="dxa" w:w="2160"/>
          </w:tcPr>
          <w:p>
            <w:r>
              <w:t>Existing approach / limitation</w:t>
            </w:r>
          </w:p>
        </w:tc>
        <w:tc>
          <w:tcPr>
            <w:tcW w:type="dxa" w:w="2160"/>
          </w:tcPr>
          <w:p>
            <w:r>
              <w:t>Proposed difference</w:t>
            </w:r>
          </w:p>
        </w:tc>
        <w:tc>
          <w:tcPr>
            <w:tcW w:type="dxa" w:w="2160"/>
          </w:tcPr>
          <w:p>
            <w:r>
              <w:t>How it will be demonstrated</w:t>
            </w:r>
          </w:p>
        </w:tc>
      </w:tr>
      <w:tr>
        <w:tc>
          <w:tcPr>
            <w:tcW w:type="dxa" w:w="2160"/>
          </w:tcPr>
          <w:p>
            <w:r>
              <w:t>New feature</w:t>
            </w:r>
          </w:p>
        </w:tc>
        <w:tc>
          <w:tcPr>
            <w:tcW w:type="dxa" w:w="2160"/>
          </w:tcPr>
          <w:p>
            <w:r>
              <w:t>Static, reactive routing rules; forecasting papers stop at prediction [1], [3]; static priority rules [10]</w:t>
            </w:r>
          </w:p>
        </w:tc>
        <w:tc>
          <w:tcPr>
            <w:tcW w:type="dxa" w:w="2160"/>
          </w:tcPr>
          <w:p>
            <w:r>
              <w:t>Predictive, context-aware routing: the forecast is used inside the routing decision, with an emergency override and a network veto that lock execution to the edge without human action</w:t>
            </w:r>
          </w:p>
        </w:tc>
        <w:tc>
          <w:tcPr>
            <w:tcW w:type="dxa" w:w="2160"/>
          </w:tcPr>
          <w:p>
            <w:r>
              <w:t>Test cases T01–T03 (Chapter 10) and dashboard routing counts (Figures 4–6)</w:t>
            </w:r>
          </w:p>
        </w:tc>
      </w:tr>
      <w:tr>
        <w:tc>
          <w:tcPr>
            <w:tcW w:type="dxa" w:w="2160"/>
          </w:tcPr>
          <w:p>
            <w:r>
              <w:t>Algorithm / processing</w:t>
            </w:r>
          </w:p>
        </w:tc>
        <w:tc>
          <w:tcPr>
            <w:tcW w:type="dxa" w:w="2160"/>
          </w:tcPr>
          <w:p>
            <w:r>
              <w:t>Binary threshold checks, for example latency above 100 ms, or black-box DRL [4], [7], [9]</w:t>
            </w:r>
          </w:p>
        </w:tc>
        <w:tc>
          <w:tcPr>
            <w:tcW w:type="dxa" w:w="2160"/>
          </w:tcPr>
          <w:p>
            <w:r>
              <w:t>LSTM forecast plus AHP weighting (consistency ratio 0.037) with hard vetoes; every decision stores its scores and reason</w:t>
            </w:r>
          </w:p>
        </w:tc>
        <w:tc>
          <w:tcPr>
            <w:tcW w:type="dxa" w:w="2160"/>
          </w:tcPr>
          <w:p>
            <w:r>
              <w:t>Planned comparison with a threshold baseline on identical events (Section 10.3)</w:t>
            </w:r>
          </w:p>
        </w:tc>
      </w:tr>
      <w:tr>
        <w:tc>
          <w:tcPr>
            <w:tcW w:type="dxa" w:w="2160"/>
          </w:tcPr>
          <w:p>
            <w:r>
              <w:t>Cloud architecture / AWS integration</w:t>
            </w:r>
          </w:p>
        </w:tc>
        <w:tc>
          <w:tcPr>
            <w:tcW w:type="dxa" w:w="2160"/>
          </w:tcPr>
          <w:p>
            <w:r>
              <w:t>All data sent to a central cloud, or heavy container stacks [15]</w:t>
            </w:r>
          </w:p>
        </w:tc>
        <w:tc>
          <w:tcPr>
            <w:tcW w:type="dxa" w:w="2160"/>
          </w:tcPr>
          <w:p>
            <w:r>
              <w:t>Serverless edge–cloud design with IoT Core, Greengrass, Lambda and SageMaker; every component has a local stand-in and a named AWS target</w:t>
            </w:r>
          </w:p>
        </w:tc>
        <w:tc>
          <w:tcPr>
            <w:tcW w:type="dxa" w:w="2160"/>
          </w:tcPr>
          <w:p>
            <w:r>
              <w:t>Local end-to-end run now; Lambda handler written; AWS deployment, latency and cost test planned</w:t>
            </w:r>
          </w:p>
        </w:tc>
      </w:tr>
      <w:tr>
        <w:tc>
          <w:tcPr>
            <w:tcW w:type="dxa" w:w="2160"/>
          </w:tcPr>
          <w:p>
            <w:r>
              <w:t>Security / automation / scalability</w:t>
            </w:r>
          </w:p>
        </w:tc>
        <w:tc>
          <w:tcPr>
            <w:tcW w:type="dxa" w:w="2160"/>
          </w:tcPr>
          <w:p>
            <w:r>
              <w:t>Limited privacy and abstract compliance rules [8], [13]; blockchain audit too slow [14]</w:t>
            </w:r>
          </w:p>
        </w:tc>
        <w:tc>
          <w:tcPr>
            <w:tcW w:type="dxa" w:w="2160"/>
          </w:tcPr>
          <w:p>
            <w:r>
              <w:t>JWT roles, no patient identifiers, SHA-256 audit chain, automatic override, event-driven scaling design</w:t>
            </w:r>
          </w:p>
        </w:tc>
        <w:tc>
          <w:tcPr>
            <w:tcW w:type="dxa" w:w="2160"/>
          </w:tcPr>
          <w:p>
            <w:r>
              <w:t>Audit tamper test, role tests, planned load test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