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3: Project Objectives &amp; Expected Outcomes</w:t>
      </w:r>
    </w:p>
    <w:p>
      <w:r>
        <w:rPr>
          <w:i/>
        </w:rPr>
        <w:t>AI-Based Multi-Cloud Migration Decision Framework for Healthcare Enterprises</w:t>
      </w:r>
    </w:p>
    <w:p>
      <w:r>
        <w:t>BCSE355L Cloud Architecture Design — VIT University, 2026</w:t>
      </w:r>
    </w:p>
    <w:p>
      <w:r>
        <w:t>Team: Charles Jehanabad (24BIT0522) · Tanmay Kapoor (24BIT0079) · Rani Gupta (24BIT0543)</w:t>
      </w:r>
    </w:p>
    <w:p>
      <w:r>
        <w:t>————————————————————————————————————————</w:t>
      </w:r>
    </w:p>
    <w:p>
      <w:pPr>
        <w:pStyle w:val="Heading2"/>
      </w:pPr>
      <w:r>
        <w:t>3. Project Objectives</w:t>
      </w:r>
    </w:p>
    <w:p>
      <w:pPr>
        <w:pStyle w:val="ListBullet"/>
      </w:pPr>
      <w:r>
        <w:t>Objective 1 – Forecast network latency ahead of time: train an LSTM on 2,830,022 real RIPE Atlas measurements to predict the next latency from 20 readings. Success criterion: held-out MAE and RMSE lower than a persistence baseline to be measured and inserted.</w:t>
      </w:r>
    </w:p>
    <w:p>
      <w:pPr>
        <w:pStyle w:val="ListBullet"/>
      </w:pPr>
      <w:r>
        <w:t>Objective 2 – Route every reading automatically with transparent mathematics: implement an AHP engine (criticality 0.6396, latency 0.2583, cost 0.1021) with two hard vetoes. Success criteria: consistency ratio below 0.10 (achieved: 0.037) and 100% of readings with criticality of 9.0 or more, or predicted latency of 300 ms or more, routed to the edge.</w:t>
      </w:r>
    </w:p>
    <w:p>
      <w:pPr>
        <w:pStyle w:val="ListBullet"/>
      </w:pPr>
      <w:r>
        <w:t>Objective 3 – Reduce response time and keep critical data local: keep the 95th-percentile routing response of POST /ingest below 200 ms under load target; load test not yet run.</w:t>
      </w:r>
    </w:p>
    <w:p>
      <w:pPr>
        <w:pStyle w:val="ListBullet"/>
      </w:pPr>
      <w:r>
        <w:t>Objective 4 – Alert clinicians immediately in emergencies: send Telegram and e-mail alerts on every emergency override without delaying the API. Success criterion: delivery recorded for 100% of overrides, within 5 s to be measured.</w:t>
      </w:r>
    </w:p>
    <w:p>
      <w:pPr>
        <w:pStyle w:val="ListBullet"/>
      </w:pPr>
      <w:r>
        <w:t>Objective 5 – Store and audit data securely: use JWT authentication with roles, store no patient identifiers, and keep a SHA-256 hash-chained audit log. Success criterion: altering any stored audit record is detected by chain verification.</w:t>
      </w:r>
    </w:p>
    <w:p>
      <w:pPr>
        <w:pStyle w:val="ListBullet"/>
      </w:pPr>
      <w:r>
        <w:t>Objective 6 – Visualise results and prepare the AWS migration: provide a live dashboard of routing decisions and map every component to an AWS service with a local stand-in. Success criteria: the pipeline runs end to end with one command, 99 automated tests pass in CI, and at least Lambda and S3 are deployed on AWS in the next phase.</w:t>
      </w:r>
    </w:p>
    <w:p>
      <w:pPr>
        <w:pStyle w:val="Heading2"/>
      </w:pPr>
      <w:r>
        <w:t>3.1 Expected Outcomes</w:t>
      </w:r>
    </w:p>
    <w:p>
      <w:r>
        <w:t>Trained forecasting model and evaluation graphs: assessed by MAE and RMSE against a baseline (Objective 1).</w:t>
      </w:r>
    </w:p>
    <w:p>
      <w:r>
        <w:t>Decision engine with tests: assessed by the consistency ratio and routing test cases (Objective 2).</w:t>
      </w:r>
    </w:p>
    <w:p>
      <w:r>
        <w:t>Execution layer, API and storage: assessed by end-to-end tests and a load test (Objective 3).</w:t>
      </w:r>
    </w:p>
    <w:p>
      <w:r>
        <w:t>Alert service, authentication and audit log: assessed by delivery logs, role tests and a tamper test (Objectives 4 and 5).</w:t>
      </w:r>
    </w:p>
    <w:p>
      <w:r>
        <w:t>Dashboard and AWS mapping with Lambda handler: assessed by live demonstration and by deploying selected services in the next phase (Objective 6).</w:t>
      </w:r>
    </w:p>
    <w:p>
      <w:r>
        <w:t>GitHub repository and documentation: assessed by commits, pull requests and this report (Chapter 12).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