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Gap Analysis — Charles Jehanabad (24BIT0522)</w:t>
      </w:r>
    </w:p>
    <w:p>
      <w:r>
        <w:rPr>
          <w:i/>
        </w:rPr>
        <w:t>AI-Based Multi-Cloud Migration Decision Framework for Healthcare Enterprises</w:t>
      </w:r>
    </w:p>
    <w:p>
      <w:r>
        <w:t>BCSE355L Cloud Architecture Design — VIT University, 2026</w:t>
      </w:r>
    </w:p>
    <w:p>
      <w:r>
        <w:t>Team: Charles Jehanabad (24BIT0522) · Tanmay Kapoor (24BIT0079) · Rani Gupta (24BIT0543)</w:t>
      </w:r>
    </w:p>
    <w:p>
      <w:r>
        <w:t>————————————————————————————————————————</w:t>
      </w:r>
    </w:p>
    <w:p>
      <w:r>
        <w:t>Assigned Papers: P1 to P5</w:t>
      </w:r>
    </w:p>
    <w:p>
      <w:pPr>
        <w:pStyle w:val="Heading2"/>
      </w:pPr>
      <w:r>
        <w:t>Existing Work &amp; Identified Limitations</w:t>
      </w:r>
    </w:p>
    <w:p>
      <w:r>
        <w:t>Forecasting literature (P1, P3) accurately predicts congestion or latency spikes, but stops at prediction without executing automated routing. Edge-AI literature (P2, P4) focuses primarily on energy efficiency or local sensor heuristics without considering real global network degradation. In our project, Student 1 bridges this gap by training a 2-layer stacked LSTM on 2,830,022 real RIPE Atlas measurements across global probes to forecast future latency with 30-second lead time.</w:t>
      </w:r>
    </w:p>
    <w:p>
      <w:pPr>
        <w:pStyle w:val="Heading2"/>
      </w:pPr>
      <w:r>
        <w:t>Proposed Research Contribution in Telemedicine Workload Offloader</w:t>
      </w:r>
    </w:p>
    <w:p>
      <w:r>
        <w:t>In this project, we overcome these limitations by establishing a mathematically sound, real-data-trained pipeline with transparent multi-criteria decision making, emergency overrides, and cryptographically chained audit trails.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