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Gap Analysis — Tanmay Kapoor (24BIT0079)</w:t>
      </w:r>
    </w:p>
    <w:p>
      <w:r>
        <w:rPr>
          <w:i/>
        </w:rPr>
        <w:t>AI-Based Multi-Cloud Migration Decision Framework for Healthcare Enterprises</w:t>
      </w:r>
    </w:p>
    <w:p>
      <w:r>
        <w:t>BCSE355L Cloud Architecture Design — VIT University, 2026</w:t>
      </w:r>
    </w:p>
    <w:p>
      <w:r>
        <w:t>Team: Charles Jehanabad (24BIT0522) · Tanmay Kapoor (24BIT0079) · Rani Gupta (24BIT0543)</w:t>
      </w:r>
    </w:p>
    <w:p>
      <w:r>
        <w:t>————————————————————————————————————————</w:t>
      </w:r>
    </w:p>
    <w:p>
      <w:r>
        <w:t>Assigned Papers: P6 to P10</w:t>
      </w:r>
    </w:p>
    <w:p>
      <w:pPr>
        <w:pStyle w:val="Heading2"/>
      </w:pPr>
      <w:r>
        <w:t>Existing Work &amp; Identified Limitations</w:t>
      </w:r>
    </w:p>
    <w:p>
      <w:r>
        <w:t>Offloading literature (P6, P7, P8, P9, P10) predominantly relies on complex RL/DQN models or single-criterion delay minimization. These algorithms act as black boxes, making them unexplainable and unacceptable to clinical auditors and hospital regulators. Student 2 addresses this research gap by implementing an Analytic Hierarchy Process (AHP) decision engine with clinical priority weights (Criticality: 63.96%, Latency: 25.83%, Cost: 10.21%, CR = 0.037 &lt; 0.10) paired with deterministic hard safety vetoes (Criticality &gt;= 9.0 and Latency &gt;= 300 ms).</w:t>
      </w:r>
    </w:p>
    <w:p>
      <w:pPr>
        <w:pStyle w:val="Heading2"/>
      </w:pPr>
      <w:r>
        <w:t>Proposed Research Contribution in Telemedicine Workload Offloader</w:t>
      </w:r>
    </w:p>
    <w:p>
      <w:r>
        <w:t>In this project, we overcome these limitations by establishing a mathematically sound, real-data-trained pipeline with transparent multi-criteria decision making, emergency overrides, and cryptographically chained audit trails.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