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Gap Analysis — Rani Gupta (24BIT0543)</w:t>
      </w:r>
    </w:p>
    <w:p>
      <w:r>
        <w:rPr>
          <w:i/>
        </w:rPr>
        <w:t>AI-Based Multi-Cloud Migration Decision Framework for Healthcare Enterprises</w:t>
      </w:r>
    </w:p>
    <w:p>
      <w:r>
        <w:t>BCSE355L Cloud Architecture Design — VIT University, 2026</w:t>
      </w:r>
    </w:p>
    <w:p>
      <w:r>
        <w:t>Team: Charles Jehanabad (24BIT0522) · Tanmay Kapoor (24BIT0079) · Rani Gupta (24BIT0543)</w:t>
      </w:r>
    </w:p>
    <w:p>
      <w:r>
        <w:t>————————————————————————————————————————</w:t>
      </w:r>
    </w:p>
    <w:p>
      <w:r>
        <w:t>Assigned Papers: P11 to P15</w:t>
      </w:r>
    </w:p>
    <w:p>
      <w:pPr>
        <w:pStyle w:val="Heading2"/>
      </w:pPr>
      <w:r>
        <w:t>Existing Work &amp; Identified Limitations</w:t>
      </w:r>
    </w:p>
    <w:p>
      <w:r>
        <w:t>Architectural and security literature (P11, P12, P13, P14, P15) addresses serverless execution and HIPAA compliance in silos. Existing systems either lack immutable audit logs or propose heavy blockchain architectures impractical for high-frequency IoMT telemetry. Student 3 resolves this gap by designing a dual-tier execution node (Edge vs Cloud), real Telegram/SMTP clinical alerting, and an append-only SHA-256 hash-chained audit log providing blockchain-like tamper-evidence with microsecond execution overhead.</w:t>
      </w:r>
    </w:p>
    <w:p>
      <w:pPr>
        <w:pStyle w:val="Heading2"/>
      </w:pPr>
      <w:r>
        <w:t>Proposed Research Contribution in Telemedicine Workload Offloader</w:t>
      </w:r>
    </w:p>
    <w:p>
      <w:r>
        <w:t>In this project, we overcome these limitations by establishing a mathematically sound, real-data-trained pipeline with transparent multi-criteria decision making, emergency overrides, and cryptographically chained audit trails.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