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A Simplified Overview of the Arizona State Budget</w:t>
      </w:r>
    </w:p>
    <w:p w:rsidR="00000000" w:rsidDel="00000000" w:rsidP="00000000" w:rsidRDefault="00000000" w:rsidRPr="00000000" w14:paraId="00000002">
      <w:pPr>
        <w:jc w:val="center"/>
        <w:rPr>
          <w:b w:val="1"/>
          <w:sz w:val="20"/>
          <w:szCs w:val="20"/>
        </w:rPr>
      </w:pPr>
      <w:r w:rsidDel="00000000" w:rsidR="00000000" w:rsidRPr="00000000">
        <w:rPr>
          <w:rtl w:val="0"/>
        </w:rPr>
      </w:r>
    </w:p>
    <w:p w:rsidR="00000000" w:rsidDel="00000000" w:rsidP="00000000" w:rsidRDefault="00000000" w:rsidRPr="00000000" w14:paraId="00000003">
      <w:pPr>
        <w:jc w:val="left"/>
        <w:rPr>
          <w:sz w:val="20"/>
          <w:szCs w:val="20"/>
        </w:rPr>
      </w:pPr>
      <w:r w:rsidDel="00000000" w:rsidR="00000000" w:rsidRPr="00000000">
        <w:rPr>
          <w:b w:val="1"/>
          <w:sz w:val="20"/>
          <w:szCs w:val="20"/>
          <w:rtl w:val="0"/>
        </w:rPr>
        <w:t xml:space="preserve">PREPARED BY: </w:t>
      </w:r>
      <w:r w:rsidDel="00000000" w:rsidR="00000000" w:rsidRPr="00000000">
        <w:rPr>
          <w:sz w:val="20"/>
          <w:szCs w:val="20"/>
          <w:rtl w:val="0"/>
        </w:rPr>
        <w:t xml:space="preserve">Destin Moss</w:t>
      </w:r>
    </w:p>
    <w:p w:rsidR="00000000" w:rsidDel="00000000" w:rsidP="00000000" w:rsidRDefault="00000000" w:rsidRPr="00000000" w14:paraId="00000004">
      <w:pPr>
        <w:jc w:val="left"/>
        <w:rPr>
          <w:sz w:val="20"/>
          <w:szCs w:val="20"/>
        </w:rPr>
      </w:pPr>
      <w:r w:rsidDel="00000000" w:rsidR="00000000" w:rsidRPr="00000000">
        <w:rPr>
          <w:rtl w:val="0"/>
        </w:rPr>
      </w:r>
    </w:p>
    <w:p w:rsidR="00000000" w:rsidDel="00000000" w:rsidP="00000000" w:rsidRDefault="00000000" w:rsidRPr="00000000" w14:paraId="00000005">
      <w:pPr>
        <w:jc w:val="center"/>
        <w:rPr>
          <w:sz w:val="20"/>
          <w:szCs w:val="20"/>
        </w:rPr>
      </w:pPr>
      <w:r w:rsidDel="00000000" w:rsidR="00000000" w:rsidRPr="00000000">
        <w:rPr>
          <w:rtl w:val="0"/>
        </w:rPr>
      </w:r>
    </w:p>
    <w:p w:rsidR="00000000" w:rsidDel="00000000" w:rsidP="00000000" w:rsidRDefault="00000000" w:rsidRPr="00000000" w14:paraId="00000006">
      <w:pPr>
        <w:jc w:val="center"/>
        <w:rPr>
          <w:b w:val="1"/>
          <w:sz w:val="20"/>
          <w:szCs w:val="20"/>
        </w:rPr>
      </w:pPr>
      <w:r w:rsidDel="00000000" w:rsidR="00000000" w:rsidRPr="00000000">
        <w:rPr>
          <w:b w:val="1"/>
          <w:sz w:val="20"/>
          <w:szCs w:val="20"/>
          <w:u w:val="single"/>
          <w:rtl w:val="0"/>
        </w:rPr>
        <w:t xml:space="preserve">Purpose</w:t>
      </w:r>
      <w:r w:rsidDel="00000000" w:rsidR="00000000" w:rsidRPr="00000000">
        <w:rPr>
          <w:rtl w:val="0"/>
        </w:rPr>
      </w:r>
    </w:p>
    <w:p w:rsidR="00000000" w:rsidDel="00000000" w:rsidP="00000000" w:rsidRDefault="00000000" w:rsidRPr="00000000" w14:paraId="00000007">
      <w:pPr>
        <w:jc w:val="left"/>
        <w:rPr>
          <w:sz w:val="20"/>
          <w:szCs w:val="20"/>
        </w:rPr>
      </w:pPr>
      <w:r w:rsidDel="00000000" w:rsidR="00000000" w:rsidRPr="00000000">
        <w:rPr>
          <w:sz w:val="20"/>
          <w:szCs w:val="20"/>
          <w:rtl w:val="0"/>
        </w:rPr>
        <w:t xml:space="preserve">For those who aren’t already familiar with the State budget, trying to understand it can be a real challenge. The State maintains over 100 distinct funds, gathers revenue from nearly as many different sources, and doesn’t necessarily publish this information in a way that the average individual can quickly comprehend. The goal of this document is to analyze and explain the budget and the process by which it is formed such that it may be more easily understood.</w:t>
      </w:r>
    </w:p>
    <w:p w:rsidR="00000000" w:rsidDel="00000000" w:rsidP="00000000" w:rsidRDefault="00000000" w:rsidRPr="00000000" w14:paraId="00000008">
      <w:pPr>
        <w:jc w:val="left"/>
        <w:rPr>
          <w:sz w:val="20"/>
          <w:szCs w:val="20"/>
        </w:rPr>
      </w:pPr>
      <w:r w:rsidDel="00000000" w:rsidR="00000000" w:rsidRPr="00000000">
        <w:rPr>
          <w:rtl w:val="0"/>
        </w:rPr>
      </w:r>
    </w:p>
    <w:p w:rsidR="00000000" w:rsidDel="00000000" w:rsidP="00000000" w:rsidRDefault="00000000" w:rsidRPr="00000000" w14:paraId="00000009">
      <w:pPr>
        <w:jc w:val="center"/>
        <w:rPr>
          <w:b w:val="1"/>
          <w:sz w:val="20"/>
          <w:szCs w:val="20"/>
          <w:u w:val="single"/>
        </w:rPr>
      </w:pPr>
      <w:r w:rsidDel="00000000" w:rsidR="00000000" w:rsidRPr="00000000">
        <w:rPr>
          <w:b w:val="1"/>
          <w:sz w:val="20"/>
          <w:szCs w:val="20"/>
          <w:u w:val="single"/>
          <w:rtl w:val="0"/>
        </w:rPr>
        <w:t xml:space="preserve">Formation of the Budget</w:t>
      </w:r>
    </w:p>
    <w:p w:rsidR="00000000" w:rsidDel="00000000" w:rsidP="00000000" w:rsidRDefault="00000000" w:rsidRPr="00000000" w14:paraId="0000000A">
      <w:pPr>
        <w:jc w:val="left"/>
        <w:rPr>
          <w:sz w:val="20"/>
          <w:szCs w:val="20"/>
        </w:rPr>
      </w:pPr>
      <w:r w:rsidDel="00000000" w:rsidR="00000000" w:rsidRPr="00000000">
        <w:rPr>
          <w:b w:val="1"/>
          <w:sz w:val="20"/>
          <w:szCs w:val="20"/>
          <w:rtl w:val="0"/>
        </w:rPr>
        <w:t xml:space="preserve">Overview</w:t>
      </w:r>
      <w:r w:rsidDel="00000000" w:rsidR="00000000" w:rsidRPr="00000000">
        <w:rPr>
          <w:rtl w:val="0"/>
        </w:rPr>
      </w:r>
    </w:p>
    <w:p w:rsidR="00000000" w:rsidDel="00000000" w:rsidP="00000000" w:rsidRDefault="00000000" w:rsidRPr="00000000" w14:paraId="0000000B">
      <w:pPr>
        <w:jc w:val="left"/>
        <w:rPr>
          <w:sz w:val="20"/>
          <w:szCs w:val="20"/>
        </w:rPr>
      </w:pPr>
      <w:r w:rsidDel="00000000" w:rsidR="00000000" w:rsidRPr="00000000">
        <w:rPr>
          <w:sz w:val="20"/>
          <w:szCs w:val="20"/>
          <w:rtl w:val="0"/>
        </w:rPr>
        <w:t xml:space="preserve">The first step in the budgeting process is for State agencies to submit their budget requests to the Governor. These requests usually consist of a strategic plan for the agency, an explanation of previously received funding and expenditures, and, if necessary, an explanation of the need for additional funding. The Governor’s office takes each of these requests into account, along with revenue forecasts and the Governor’s policy priorities, in order to determine how much should be appropriated to each agency in the future. A budget proposal must then be drafted and submitted to the State Legislature by the fifth day of the Legislative session.</w:t>
      </w:r>
    </w:p>
    <w:p w:rsidR="00000000" w:rsidDel="00000000" w:rsidP="00000000" w:rsidRDefault="00000000" w:rsidRPr="00000000" w14:paraId="0000000C">
      <w:pPr>
        <w:jc w:val="left"/>
        <w:rPr>
          <w:sz w:val="20"/>
          <w:szCs w:val="20"/>
        </w:rPr>
      </w:pPr>
      <w:r w:rsidDel="00000000" w:rsidR="00000000" w:rsidRPr="00000000">
        <w:rPr>
          <w:sz w:val="20"/>
          <w:szCs w:val="20"/>
          <w:rtl w:val="0"/>
        </w:rPr>
        <w:t xml:space="preserve">The Legislature then considers the Governor’s proposal. The two branches will disagree on at least some elements of the proposed budget in most cases, but it serves as the starting point from which they may negotiate a final proposition that is amiable to both. Once the two parties reach an agreement, the budget is ready to become law.</w:t>
      </w:r>
    </w:p>
    <w:p w:rsidR="00000000" w:rsidDel="00000000" w:rsidP="00000000" w:rsidRDefault="00000000" w:rsidRPr="00000000" w14:paraId="0000000D">
      <w:pPr>
        <w:jc w:val="left"/>
        <w:rPr>
          <w:sz w:val="20"/>
          <w:szCs w:val="20"/>
        </w:rPr>
      </w:pPr>
      <w:r w:rsidDel="00000000" w:rsidR="00000000" w:rsidRPr="00000000">
        <w:rPr>
          <w:sz w:val="20"/>
          <w:szCs w:val="20"/>
          <w:rtl w:val="0"/>
        </w:rPr>
        <w:t xml:space="preserve">To enact the budget, two different types of bills must first be passed. The General Appropriations Act is the first, and it is responsible for officially appropriating money from the General Fund. Budget Reconciliation Bills are the second, and they help to put the act into effect.</w:t>
      </w:r>
    </w:p>
    <w:p w:rsidR="00000000" w:rsidDel="00000000" w:rsidP="00000000" w:rsidRDefault="00000000" w:rsidRPr="00000000" w14:paraId="0000000E">
      <w:pPr>
        <w:jc w:val="left"/>
        <w:rPr>
          <w:b w:val="1"/>
          <w:i w:val="1"/>
          <w:sz w:val="20"/>
          <w:szCs w:val="20"/>
        </w:rPr>
      </w:pPr>
      <w:r w:rsidDel="00000000" w:rsidR="00000000" w:rsidRPr="00000000">
        <w:rPr>
          <w:b w:val="1"/>
          <w:i w:val="1"/>
          <w:sz w:val="20"/>
          <w:szCs w:val="20"/>
          <w:rtl w:val="0"/>
        </w:rPr>
        <w:t xml:space="preserve">Key Organizations</w:t>
      </w:r>
    </w:p>
    <w:p w:rsidR="00000000" w:rsidDel="00000000" w:rsidP="00000000" w:rsidRDefault="00000000" w:rsidRPr="00000000" w14:paraId="0000000F">
      <w:pPr>
        <w:ind w:left="0" w:firstLine="720"/>
        <w:jc w:val="left"/>
        <w:rPr>
          <w:b w:val="1"/>
          <w:sz w:val="20"/>
          <w:szCs w:val="20"/>
        </w:rPr>
      </w:pPr>
      <w:r w:rsidDel="00000000" w:rsidR="00000000" w:rsidRPr="00000000">
        <w:rPr>
          <w:b w:val="1"/>
          <w:sz w:val="20"/>
          <w:szCs w:val="20"/>
          <w:rtl w:val="0"/>
        </w:rPr>
        <w:t xml:space="preserve">OSBP.</w:t>
      </w:r>
    </w:p>
    <w:p w:rsidR="00000000" w:rsidDel="00000000" w:rsidP="00000000" w:rsidRDefault="00000000" w:rsidRPr="00000000" w14:paraId="00000010">
      <w:pPr>
        <w:ind w:left="720" w:firstLine="0"/>
        <w:jc w:val="left"/>
        <w:rPr>
          <w:sz w:val="20"/>
          <w:szCs w:val="20"/>
        </w:rPr>
      </w:pPr>
      <w:r w:rsidDel="00000000" w:rsidR="00000000" w:rsidRPr="00000000">
        <w:rPr>
          <w:sz w:val="20"/>
          <w:szCs w:val="20"/>
          <w:rtl w:val="0"/>
        </w:rPr>
        <w:t xml:space="preserve">The Governor’s Office of Strategic Planning and Budgeting (OSPB) is responsible for advising the Governor in all budgetary matters. The OSPB provides the Governor with economic forecasts, fiscal policy analysis, and strategic planning services. The office also assists State agencies with their own budgetary concerns when necessary and performs “performance data management” duties to help those agencies operate more efficiently and effectively.</w:t>
      </w:r>
    </w:p>
    <w:p w:rsidR="00000000" w:rsidDel="00000000" w:rsidP="00000000" w:rsidRDefault="00000000" w:rsidRPr="00000000" w14:paraId="00000011">
      <w:pPr>
        <w:ind w:firstLine="720"/>
        <w:jc w:val="left"/>
        <w:rPr>
          <w:b w:val="1"/>
          <w:sz w:val="20"/>
          <w:szCs w:val="20"/>
        </w:rPr>
      </w:pPr>
      <w:r w:rsidDel="00000000" w:rsidR="00000000" w:rsidRPr="00000000">
        <w:rPr>
          <w:b w:val="1"/>
          <w:sz w:val="20"/>
          <w:szCs w:val="20"/>
          <w:rtl w:val="0"/>
        </w:rPr>
        <w:t xml:space="preserve">JLBC.</w:t>
      </w:r>
    </w:p>
    <w:p w:rsidR="00000000" w:rsidDel="00000000" w:rsidP="00000000" w:rsidRDefault="00000000" w:rsidRPr="00000000" w14:paraId="00000012">
      <w:pPr>
        <w:ind w:left="720" w:firstLine="0"/>
        <w:jc w:val="left"/>
        <w:rPr>
          <w:sz w:val="20"/>
          <w:szCs w:val="20"/>
        </w:rPr>
      </w:pPr>
      <w:r w:rsidDel="00000000" w:rsidR="00000000" w:rsidRPr="00000000">
        <w:rPr>
          <w:sz w:val="20"/>
          <w:szCs w:val="20"/>
          <w:rtl w:val="0"/>
        </w:rPr>
        <w:t xml:space="preserve">The Joint Legislative Budget Committee (JLBC) is a joint legislative committee composed of 8 members from each legislative chamber.</w:t>
      </w:r>
    </w:p>
    <w:p w:rsidR="00000000" w:rsidDel="00000000" w:rsidP="00000000" w:rsidRDefault="00000000" w:rsidRPr="00000000" w14:paraId="00000013">
      <w:pPr>
        <w:ind w:left="720" w:firstLine="0"/>
        <w:jc w:val="left"/>
        <w:rPr>
          <w:sz w:val="20"/>
          <w:szCs w:val="20"/>
        </w:rPr>
      </w:pPr>
      <w:r w:rsidDel="00000000" w:rsidR="00000000" w:rsidRPr="00000000">
        <w:rPr>
          <w:sz w:val="20"/>
          <w:szCs w:val="20"/>
          <w:rtl w:val="0"/>
        </w:rPr>
        <w:t xml:space="preserve">The chair and vice chair of the Committee are responsible for appointing a “Legislative Budget Analyst,” most often referred to as JLBC’s Director. The current Director, Richard Stavneak, was named Deputy Director in 1990 after the resignation of his predecessor, Don Sockrider. He then assumed the Director position in 1998, and he has led the committee staff ever since.</w:t>
      </w:r>
    </w:p>
    <w:p w:rsidR="00000000" w:rsidDel="00000000" w:rsidP="00000000" w:rsidRDefault="00000000" w:rsidRPr="00000000" w14:paraId="00000014">
      <w:pPr>
        <w:ind w:left="720" w:firstLine="0"/>
        <w:jc w:val="left"/>
        <w:rPr>
          <w:sz w:val="20"/>
          <w:szCs w:val="20"/>
        </w:rPr>
      </w:pPr>
      <w:r w:rsidDel="00000000" w:rsidR="00000000" w:rsidRPr="00000000">
        <w:rPr>
          <w:sz w:val="20"/>
          <w:szCs w:val="20"/>
          <w:rtl w:val="0"/>
        </w:rPr>
        <w:t xml:space="preserve">In practice,  the term “JLBC” is most often used to refer to this unelected Director and staff. The committee staff serves in a similar capacity as that of the OSPB, providing economic forecasts and fiscal policy analysis to the Legislature. Together, the OSPB and JLBC walk their respective branches of government through the annual budget negotiation process.</w:t>
      </w:r>
    </w:p>
    <w:p w:rsidR="00000000" w:rsidDel="00000000" w:rsidP="00000000" w:rsidRDefault="00000000" w:rsidRPr="00000000" w14:paraId="00000015">
      <w:pPr>
        <w:ind w:firstLine="720"/>
        <w:jc w:val="left"/>
        <w:rPr>
          <w:b w:val="1"/>
          <w:sz w:val="20"/>
          <w:szCs w:val="20"/>
        </w:rPr>
      </w:pPr>
      <w:r w:rsidDel="00000000" w:rsidR="00000000" w:rsidRPr="00000000">
        <w:rPr>
          <w:b w:val="1"/>
          <w:sz w:val="20"/>
          <w:szCs w:val="20"/>
          <w:rtl w:val="0"/>
        </w:rPr>
        <w:t xml:space="preserve">JCCR.</w:t>
      </w:r>
    </w:p>
    <w:p w:rsidR="00000000" w:rsidDel="00000000" w:rsidP="00000000" w:rsidRDefault="00000000" w:rsidRPr="00000000" w14:paraId="00000016">
      <w:pPr>
        <w:ind w:left="720" w:firstLine="0"/>
        <w:jc w:val="left"/>
        <w:rPr>
          <w:sz w:val="20"/>
          <w:szCs w:val="20"/>
        </w:rPr>
      </w:pPr>
      <w:r w:rsidDel="00000000" w:rsidR="00000000" w:rsidRPr="00000000">
        <w:rPr>
          <w:sz w:val="20"/>
          <w:szCs w:val="20"/>
          <w:rtl w:val="0"/>
        </w:rPr>
        <w:t xml:space="preserve">Much like JLBC, the Joint Committee on Capital Review (JCCR) is a joint legislative committee, but it is composed of 7 members from each legislative chamber rather than 8. JLBC’s website explains that “The primary powers and duties of the Joint Committee on Capital Review relate to ascertaining facts and making recommendations to the Legislature regarding State expenditures for land, buildings, and improvements.” JCCR and JLBC share the same set of staff.</w:t>
      </w:r>
    </w:p>
    <w:p w:rsidR="00000000" w:rsidDel="00000000" w:rsidP="00000000" w:rsidRDefault="00000000" w:rsidRPr="00000000" w14:paraId="00000017">
      <w:pPr>
        <w:ind w:firstLine="720"/>
        <w:jc w:val="left"/>
        <w:rPr>
          <w:b w:val="1"/>
          <w:sz w:val="20"/>
          <w:szCs w:val="20"/>
        </w:rPr>
      </w:pPr>
      <w:r w:rsidDel="00000000" w:rsidR="00000000" w:rsidRPr="00000000">
        <w:rPr>
          <w:b w:val="1"/>
          <w:sz w:val="20"/>
          <w:szCs w:val="20"/>
          <w:rtl w:val="0"/>
        </w:rPr>
        <w:t xml:space="preserve">FAC.</w:t>
      </w:r>
    </w:p>
    <w:p w:rsidR="00000000" w:rsidDel="00000000" w:rsidP="00000000" w:rsidRDefault="00000000" w:rsidRPr="00000000" w14:paraId="00000018">
      <w:pPr>
        <w:ind w:left="720" w:firstLine="0"/>
        <w:jc w:val="left"/>
        <w:rPr>
          <w:sz w:val="20"/>
          <w:szCs w:val="20"/>
        </w:rPr>
      </w:pPr>
      <w:r w:rsidDel="00000000" w:rsidR="00000000" w:rsidRPr="00000000">
        <w:rPr>
          <w:sz w:val="20"/>
          <w:szCs w:val="20"/>
          <w:rtl w:val="0"/>
        </w:rPr>
        <w:t xml:space="preserve">Unlike JLBC and JCCR, the Finance Advisory Committee (FAC) is not a true legislative committee. Rather, it is an independent panel of 14 economists from both the public and private sectors that provides the Legislature with insight into the current status of the Arizona economy.</w:t>
      </w:r>
    </w:p>
    <w:p w:rsidR="00000000" w:rsidDel="00000000" w:rsidP="00000000" w:rsidRDefault="00000000" w:rsidRPr="00000000" w14:paraId="00000019">
      <w:pPr>
        <w:jc w:val="left"/>
        <w:rPr>
          <w:b w:val="1"/>
          <w:i w:val="1"/>
          <w:sz w:val="20"/>
          <w:szCs w:val="20"/>
        </w:rPr>
      </w:pPr>
      <w:r w:rsidDel="00000000" w:rsidR="00000000" w:rsidRPr="00000000">
        <w:rPr>
          <w:b w:val="1"/>
          <w:i w:val="1"/>
          <w:sz w:val="20"/>
          <w:szCs w:val="20"/>
          <w:rtl w:val="0"/>
        </w:rPr>
        <w:t xml:space="preserve">Budget Forecasting and Planning</w:t>
      </w:r>
    </w:p>
    <w:p w:rsidR="00000000" w:rsidDel="00000000" w:rsidP="00000000" w:rsidRDefault="00000000" w:rsidRPr="00000000" w14:paraId="0000001A">
      <w:pPr>
        <w:jc w:val="left"/>
        <w:rPr>
          <w:sz w:val="20"/>
          <w:szCs w:val="20"/>
        </w:rPr>
      </w:pPr>
      <w:r w:rsidDel="00000000" w:rsidR="00000000" w:rsidRPr="00000000">
        <w:rPr>
          <w:sz w:val="20"/>
          <w:szCs w:val="20"/>
          <w:rtl w:val="0"/>
        </w:rPr>
        <w:t xml:space="preserve">To ensure the State is staying within its means and spending responsibly, revenue forecasts are compared to baseline expenditures when planning future appropriations. State finances are tracked by fiscal years (FY), which begin on July 1st and end on June 30th of the following calendar year. The fiscal year is denoted by the year in which it ends, so “FY23” refers to the period of time between July 1st, 2022, and June 30th, 2023.</w:t>
      </w:r>
    </w:p>
    <w:p w:rsidR="00000000" w:rsidDel="00000000" w:rsidP="00000000" w:rsidRDefault="00000000" w:rsidRPr="00000000" w14:paraId="0000001B">
      <w:pPr>
        <w:jc w:val="left"/>
        <w:rPr>
          <w:b w:val="1"/>
          <w:sz w:val="20"/>
          <w:szCs w:val="20"/>
        </w:rPr>
      </w:pPr>
      <w:r w:rsidDel="00000000" w:rsidR="00000000" w:rsidRPr="00000000">
        <w:rPr>
          <w:b w:val="1"/>
          <w:sz w:val="20"/>
          <w:szCs w:val="20"/>
          <w:rtl w:val="0"/>
        </w:rPr>
        <w:tab/>
        <w:t xml:space="preserve">The Legislature’s 4-Sector Revenue Forecast</w:t>
      </w:r>
      <w:r w:rsidDel="00000000" w:rsidR="00000000" w:rsidRPr="00000000">
        <w:rPr>
          <w:sz w:val="20"/>
          <w:szCs w:val="20"/>
          <w:vertAlign w:val="superscript"/>
          <w:rtl w:val="0"/>
        </w:rPr>
        <w:t xml:space="preserve">[</w:t>
      </w:r>
      <w:hyperlink r:id="rId6">
        <w:r w:rsidDel="00000000" w:rsidR="00000000" w:rsidRPr="00000000">
          <w:rPr>
            <w:color w:val="1155cc"/>
            <w:sz w:val="20"/>
            <w:szCs w:val="20"/>
            <w:u w:val="single"/>
            <w:vertAlign w:val="superscript"/>
            <w:rtl w:val="0"/>
          </w:rPr>
          <w:t xml:space="preserve">P</w:t>
        </w:r>
      </w:hyperlink>
      <w:r w:rsidDel="00000000" w:rsidR="00000000" w:rsidRPr="00000000">
        <w:rPr>
          <w:sz w:val="20"/>
          <w:szCs w:val="20"/>
          <w:vertAlign w:val="superscript"/>
          <w:rtl w:val="0"/>
        </w:rPr>
        <w:t xml:space="preserve">]</w:t>
      </w:r>
      <w:r w:rsidDel="00000000" w:rsidR="00000000" w:rsidRPr="00000000">
        <w:rPr>
          <w:b w:val="1"/>
          <w:sz w:val="20"/>
          <w:szCs w:val="20"/>
          <w:rtl w:val="0"/>
        </w:rPr>
        <w:t xml:space="preserve">.</w:t>
      </w:r>
    </w:p>
    <w:p w:rsidR="00000000" w:rsidDel="00000000" w:rsidP="00000000" w:rsidRDefault="00000000" w:rsidRPr="00000000" w14:paraId="0000001C">
      <w:pPr>
        <w:ind w:left="720" w:firstLine="0"/>
        <w:jc w:val="left"/>
        <w:rPr>
          <w:sz w:val="20"/>
          <w:szCs w:val="20"/>
        </w:rPr>
      </w:pPr>
      <w:r w:rsidDel="00000000" w:rsidR="00000000" w:rsidRPr="00000000">
        <w:rPr>
          <w:sz w:val="20"/>
          <w:szCs w:val="20"/>
          <w:rtl w:val="0"/>
        </w:rPr>
        <w:t xml:space="preserve">In Arizona, the GF is primarily funded by the “Big 3” sources of revenue; sales tax, individual income tax, and corporate income tax. In order to provide the Legislature with an accurate budget for the next upcoming fiscal year, the JLBC uses a “Big 3” revenue forecast derived from both of the University of Arizona’s Economic and Business Research GF revenue models (base and conservative), the input of the FAC, and the expectations of the JLBC itself. This forecast encompasses not just the current fiscal year, but also the next three upcoming fiscal years. Those sources of revenue not captured by the “Big 3” are forecasted exclusively by the JLBC.</w:t>
      </w:r>
    </w:p>
    <w:p w:rsidR="00000000" w:rsidDel="00000000" w:rsidP="00000000" w:rsidRDefault="00000000" w:rsidRPr="00000000" w14:paraId="0000001D">
      <w:pPr>
        <w:ind w:left="720" w:firstLine="0"/>
        <w:jc w:val="left"/>
        <w:rPr>
          <w:sz w:val="20"/>
          <w:szCs w:val="20"/>
        </w:rPr>
      </w:pPr>
      <w:r w:rsidDel="00000000" w:rsidR="00000000" w:rsidRPr="00000000">
        <w:rPr>
          <w:sz w:val="20"/>
          <w:szCs w:val="20"/>
          <w:rtl w:val="0"/>
        </w:rPr>
        <w:t xml:space="preserve">The forecast is updated every October, January, and April to provide elected officials with the most current information possible as they develop the budget. </w:t>
      </w:r>
    </w:p>
    <w:p w:rsidR="00000000" w:rsidDel="00000000" w:rsidP="00000000" w:rsidRDefault="00000000" w:rsidRPr="00000000" w14:paraId="0000001E">
      <w:pPr>
        <w:ind w:left="720" w:firstLine="0"/>
        <w:jc w:val="left"/>
        <w:rPr>
          <w:b w:val="1"/>
          <w:sz w:val="20"/>
          <w:szCs w:val="20"/>
        </w:rPr>
      </w:pPr>
      <w:r w:rsidDel="00000000" w:rsidR="00000000" w:rsidRPr="00000000">
        <w:rPr>
          <w:b w:val="1"/>
          <w:sz w:val="20"/>
          <w:szCs w:val="20"/>
          <w:rtl w:val="0"/>
        </w:rPr>
        <w:t xml:space="preserve">The Governor’s Revenue Forecast.</w:t>
      </w:r>
    </w:p>
    <w:p w:rsidR="00000000" w:rsidDel="00000000" w:rsidP="00000000" w:rsidRDefault="00000000" w:rsidRPr="00000000" w14:paraId="0000001F">
      <w:pPr>
        <w:ind w:left="720" w:firstLine="0"/>
        <w:jc w:val="left"/>
        <w:rPr>
          <w:sz w:val="20"/>
          <w:szCs w:val="20"/>
        </w:rPr>
      </w:pPr>
      <w:r w:rsidDel="00000000" w:rsidR="00000000" w:rsidRPr="00000000">
        <w:rPr>
          <w:sz w:val="20"/>
          <w:szCs w:val="20"/>
          <w:rtl w:val="0"/>
        </w:rPr>
        <w:t xml:space="preserve">In addition to the 4-Sector revenue forecast provided by JLBC, the OSPB creates its own revenue forecast. The Office isn’t particularly clear about how its forecast is created, but it is generally quite similar to that of the JLBC.</w:t>
      </w:r>
    </w:p>
    <w:p w:rsidR="00000000" w:rsidDel="00000000" w:rsidP="00000000" w:rsidRDefault="00000000" w:rsidRPr="00000000" w14:paraId="00000020">
      <w:pPr>
        <w:jc w:val="left"/>
        <w:rPr>
          <w:b w:val="1"/>
          <w:sz w:val="20"/>
          <w:szCs w:val="20"/>
        </w:rPr>
      </w:pPr>
      <w:r w:rsidDel="00000000" w:rsidR="00000000" w:rsidRPr="00000000">
        <w:rPr>
          <w:b w:val="1"/>
          <w:sz w:val="20"/>
          <w:szCs w:val="20"/>
          <w:rtl w:val="0"/>
        </w:rPr>
        <w:tab/>
        <w:t xml:space="preserve">The Baseline.</w:t>
      </w:r>
    </w:p>
    <w:p w:rsidR="00000000" w:rsidDel="00000000" w:rsidP="00000000" w:rsidRDefault="00000000" w:rsidRPr="00000000" w14:paraId="00000021">
      <w:pPr>
        <w:ind w:left="720" w:firstLine="0"/>
        <w:jc w:val="left"/>
        <w:rPr>
          <w:sz w:val="20"/>
          <w:szCs w:val="20"/>
        </w:rPr>
      </w:pPr>
      <w:r w:rsidDel="00000000" w:rsidR="00000000" w:rsidRPr="00000000">
        <w:rPr>
          <w:sz w:val="20"/>
          <w:szCs w:val="20"/>
          <w:rtl w:val="0"/>
        </w:rPr>
        <w:t xml:space="preserve">Both the OSPB and JLBC provide their respective branches of government with an annual baseline budget. This baseline budget consists of the revenue forecast for the next upcoming fiscal year, along with the bare-minimum statutory spending requirements. The purpose of this budget is to identify how much discretionary money is expected to be available for new spending initiatives after the State has allocated non-discretionary funds, or to predict when the State might fall short and be unable to uphold its statutory funding obligations. The baseline is updated regularly alongside revenue forecasts.</w:t>
      </w:r>
    </w:p>
    <w:p w:rsidR="00000000" w:rsidDel="00000000" w:rsidP="00000000" w:rsidRDefault="00000000" w:rsidRPr="00000000" w14:paraId="00000022">
      <w:pPr>
        <w:jc w:val="left"/>
        <w:rPr>
          <w:b w:val="1"/>
          <w:sz w:val="20"/>
          <w:szCs w:val="20"/>
        </w:rPr>
      </w:pPr>
      <w:r w:rsidDel="00000000" w:rsidR="00000000" w:rsidRPr="00000000">
        <w:rPr>
          <w:b w:val="1"/>
          <w:sz w:val="20"/>
          <w:szCs w:val="20"/>
          <w:rtl w:val="0"/>
        </w:rPr>
        <w:tab/>
        <w:t xml:space="preserve">Accuracy.</w:t>
      </w:r>
    </w:p>
    <w:p w:rsidR="00000000" w:rsidDel="00000000" w:rsidP="00000000" w:rsidRDefault="00000000" w:rsidRPr="00000000" w14:paraId="00000023">
      <w:pPr>
        <w:ind w:left="720" w:firstLine="0"/>
        <w:jc w:val="left"/>
        <w:rPr>
          <w:b w:val="1"/>
          <w:i w:val="1"/>
          <w:sz w:val="20"/>
          <w:szCs w:val="20"/>
        </w:rPr>
      </w:pPr>
      <w:r w:rsidDel="00000000" w:rsidR="00000000" w:rsidRPr="00000000">
        <w:rPr>
          <w:sz w:val="20"/>
          <w:szCs w:val="20"/>
          <w:rtl w:val="0"/>
        </w:rPr>
        <w:t xml:space="preserve">Given the sheer scale of the State economy, precise forecasts are nearly impossible to create. Small changes in the economy, shifting tax policies, and simple calculating errors can all lead to significant shifts in State revenues. According to the JLBC, during the period between FY 2004 and FY 2014, the lowest annual variance between the JLBC revenue forecast and actual revenue collections was $125 million, while the highest was $3.1 billion </w:t>
      </w:r>
      <w:r w:rsidDel="00000000" w:rsidR="00000000" w:rsidRPr="00000000">
        <w:rPr>
          <w:sz w:val="20"/>
          <w:szCs w:val="20"/>
          <w:vertAlign w:val="superscript"/>
          <w:rtl w:val="0"/>
        </w:rPr>
        <w:t xml:space="preserve">[</w:t>
      </w:r>
      <w:hyperlink r:id="rId7">
        <w:r w:rsidDel="00000000" w:rsidR="00000000" w:rsidRPr="00000000">
          <w:rPr>
            <w:color w:val="1155cc"/>
            <w:sz w:val="20"/>
            <w:szCs w:val="20"/>
            <w:u w:val="single"/>
            <w:vertAlign w:val="superscript"/>
            <w:rtl w:val="0"/>
          </w:rPr>
          <w:t xml:space="preserve">P</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This may at first appear to defeat the purpose of the baseline forecast, but this variance is precisely why forecasts are regularly updated. By keeping track of the status of the economy throughout the fiscal year, JLBC and OSPB staff can quickly alert elected officials to unexpected changes and formulate the best possible fiscal policy response under any given set of circumstances.</w:t>
      </w:r>
      <w:r w:rsidDel="00000000" w:rsidR="00000000" w:rsidRPr="00000000">
        <w:rPr>
          <w:rtl w:val="0"/>
        </w:rPr>
      </w:r>
    </w:p>
    <w:p w:rsidR="00000000" w:rsidDel="00000000" w:rsidP="00000000" w:rsidRDefault="00000000" w:rsidRPr="00000000" w14:paraId="00000024">
      <w:pPr>
        <w:jc w:val="left"/>
        <w:rPr>
          <w:b w:val="1"/>
          <w:i w:val="1"/>
          <w:sz w:val="20"/>
          <w:szCs w:val="20"/>
        </w:rPr>
      </w:pPr>
      <w:r w:rsidDel="00000000" w:rsidR="00000000" w:rsidRPr="00000000">
        <w:rPr>
          <w:b w:val="1"/>
          <w:i w:val="1"/>
          <w:sz w:val="20"/>
          <w:szCs w:val="20"/>
          <w:rtl w:val="0"/>
        </w:rPr>
        <w:t xml:space="preserve">The Politics</w:t>
      </w:r>
    </w:p>
    <w:p w:rsidR="00000000" w:rsidDel="00000000" w:rsidP="00000000" w:rsidRDefault="00000000" w:rsidRPr="00000000" w14:paraId="00000025">
      <w:pPr>
        <w:jc w:val="left"/>
        <w:rPr>
          <w:sz w:val="20"/>
          <w:szCs w:val="20"/>
        </w:rPr>
      </w:pPr>
      <w:r w:rsidDel="00000000" w:rsidR="00000000" w:rsidRPr="00000000">
        <w:rPr>
          <w:sz w:val="20"/>
          <w:szCs w:val="20"/>
          <w:rtl w:val="0"/>
        </w:rPr>
        <w:t xml:space="preserve">As with all things government, the State budget is inherently political. As such, one must understand the politics of the budget in order to fully comprehend the budgeting process and the budget itself.</w:t>
      </w:r>
    </w:p>
    <w:p w:rsidR="00000000" w:rsidDel="00000000" w:rsidP="00000000" w:rsidRDefault="00000000" w:rsidRPr="00000000" w14:paraId="00000026">
      <w:pPr>
        <w:jc w:val="left"/>
        <w:rPr>
          <w:b w:val="1"/>
          <w:sz w:val="20"/>
          <w:szCs w:val="20"/>
        </w:rPr>
      </w:pPr>
      <w:r w:rsidDel="00000000" w:rsidR="00000000" w:rsidRPr="00000000">
        <w:rPr>
          <w:b w:val="1"/>
          <w:i w:val="1"/>
          <w:sz w:val="20"/>
          <w:szCs w:val="20"/>
          <w:rtl w:val="0"/>
        </w:rPr>
        <w:tab/>
      </w:r>
      <w:r w:rsidDel="00000000" w:rsidR="00000000" w:rsidRPr="00000000">
        <w:rPr>
          <w:b w:val="1"/>
          <w:sz w:val="20"/>
          <w:szCs w:val="20"/>
          <w:rtl w:val="0"/>
        </w:rPr>
        <w:t xml:space="preserve">The Governor.</w:t>
      </w:r>
    </w:p>
    <w:p w:rsidR="00000000" w:rsidDel="00000000" w:rsidP="00000000" w:rsidRDefault="00000000" w:rsidRPr="00000000" w14:paraId="00000027">
      <w:pPr>
        <w:ind w:left="720" w:firstLine="0"/>
        <w:jc w:val="left"/>
        <w:rPr>
          <w:sz w:val="20"/>
          <w:szCs w:val="20"/>
        </w:rPr>
      </w:pPr>
      <w:r w:rsidDel="00000000" w:rsidR="00000000" w:rsidRPr="00000000">
        <w:rPr>
          <w:sz w:val="20"/>
          <w:szCs w:val="20"/>
          <w:rtl w:val="0"/>
        </w:rPr>
        <w:t xml:space="preserve">For the budget to be enacted, the Governor must be willing to sign it into law. For this reason, the Governor can generally exert more influence over the State’s spending than any other individual. The Governor’s budgeting priorities are influenced by both their political party and their personal spending priorities. Because the Governor’s office is directed by a single individual, unlike the Legislature, the Governor tends to be significantly more focused in their requests and expectations.</w:t>
      </w:r>
    </w:p>
    <w:p w:rsidR="00000000" w:rsidDel="00000000" w:rsidP="00000000" w:rsidRDefault="00000000" w:rsidRPr="00000000" w14:paraId="00000028">
      <w:pPr>
        <w:jc w:val="left"/>
        <w:rPr>
          <w:b w:val="1"/>
          <w:sz w:val="20"/>
          <w:szCs w:val="20"/>
        </w:rPr>
      </w:pPr>
      <w:r w:rsidDel="00000000" w:rsidR="00000000" w:rsidRPr="00000000">
        <w:rPr>
          <w:b w:val="1"/>
          <w:sz w:val="20"/>
          <w:szCs w:val="20"/>
          <w:rtl w:val="0"/>
        </w:rPr>
        <w:tab/>
        <w:t xml:space="preserve">The Legislature.</w:t>
      </w:r>
    </w:p>
    <w:p w:rsidR="00000000" w:rsidDel="00000000" w:rsidP="00000000" w:rsidRDefault="00000000" w:rsidRPr="00000000" w14:paraId="00000029">
      <w:pPr>
        <w:ind w:left="720" w:firstLine="0"/>
        <w:jc w:val="left"/>
        <w:rPr>
          <w:sz w:val="20"/>
          <w:szCs w:val="20"/>
        </w:rPr>
      </w:pPr>
      <w:r w:rsidDel="00000000" w:rsidR="00000000" w:rsidRPr="00000000">
        <w:rPr>
          <w:sz w:val="20"/>
          <w:szCs w:val="20"/>
          <w:rtl w:val="0"/>
        </w:rPr>
        <w:t xml:space="preserve">The Arizona State Legislature consists of 2 separate houses and 90 elected officials, and this tends to make the Legislature’s budgeting process more confusing and contentious than that of the Governor’s office. Not only do the two political parties tend to disagree about what the budget should look like, but the priorities of the same party’s members can look different across chambers. This is sometimes a result of the difference in each chamber’s party leadership, but it can also be a reflection of each individual member trying to secure the most possible funding for their district or other personal priority. This creates an environment in which budget negotiations tend to become drawn-out affairs that push into the very last weeks preceding the start of the next fiscal year.</w:t>
      </w:r>
    </w:p>
    <w:p w:rsidR="00000000" w:rsidDel="00000000" w:rsidP="00000000" w:rsidRDefault="00000000" w:rsidRPr="00000000" w14:paraId="0000002A">
      <w:pPr>
        <w:jc w:val="left"/>
        <w:rPr>
          <w:b w:val="1"/>
          <w:sz w:val="20"/>
          <w:szCs w:val="20"/>
        </w:rPr>
      </w:pPr>
      <w:r w:rsidDel="00000000" w:rsidR="00000000" w:rsidRPr="00000000">
        <w:rPr>
          <w:b w:val="1"/>
          <w:sz w:val="20"/>
          <w:szCs w:val="20"/>
          <w:rtl w:val="0"/>
        </w:rPr>
        <w:tab/>
        <w:t xml:space="preserve">Key Issues.</w:t>
      </w:r>
    </w:p>
    <w:p w:rsidR="00000000" w:rsidDel="00000000" w:rsidP="00000000" w:rsidRDefault="00000000" w:rsidRPr="00000000" w14:paraId="0000002B">
      <w:pPr>
        <w:ind w:left="720" w:firstLine="0"/>
        <w:jc w:val="left"/>
        <w:rPr>
          <w:sz w:val="20"/>
          <w:szCs w:val="20"/>
        </w:rPr>
      </w:pPr>
      <w:r w:rsidDel="00000000" w:rsidR="00000000" w:rsidRPr="00000000">
        <w:rPr>
          <w:sz w:val="20"/>
          <w:szCs w:val="20"/>
          <w:rtl w:val="0"/>
        </w:rPr>
        <w:t xml:space="preserve">There are a few key issues that tend to cause contention during budget negotiations. A few of the most notable can be found below. This document will not attempt to judge the merits of any individual policy approach, but will instead endeavor to explain each stance in an objective manner.</w:t>
      </w:r>
    </w:p>
    <w:p w:rsidR="00000000" w:rsidDel="00000000" w:rsidP="00000000" w:rsidRDefault="00000000" w:rsidRPr="00000000" w14:paraId="0000002C">
      <w:pPr>
        <w:ind w:left="720" w:firstLine="0"/>
        <w:jc w:val="left"/>
        <w:rPr>
          <w:sz w:val="20"/>
          <w:szCs w:val="20"/>
        </w:rPr>
      </w:pPr>
      <w:r w:rsidDel="00000000" w:rsidR="00000000" w:rsidRPr="00000000">
        <w:rPr>
          <w:sz w:val="20"/>
          <w:szCs w:val="20"/>
          <w:u w:val="single"/>
          <w:rtl w:val="0"/>
        </w:rPr>
        <w:t xml:space="preserve">Taxation</w:t>
      </w:r>
      <w:r w:rsidDel="00000000" w:rsidR="00000000" w:rsidRPr="00000000">
        <w:rPr>
          <w:sz w:val="20"/>
          <w:szCs w:val="20"/>
          <w:rtl w:val="0"/>
        </w:rPr>
        <w:t xml:space="preserve">: There is a large divide across parties as to the merits of increasing and decreasing taxes. The conservative view is generally that taxes should be unilaterally decreased to improve economic growth, whereas the liberal view is generally that taxes should be increased, particularly on wealthy individuals and corporations, to allow for increased State spending capacity. These positions are hard to reconcile, and thus this issue is generally rather divisive.</w:t>
      </w:r>
    </w:p>
    <w:p w:rsidR="00000000" w:rsidDel="00000000" w:rsidP="00000000" w:rsidRDefault="00000000" w:rsidRPr="00000000" w14:paraId="0000002D">
      <w:pPr>
        <w:ind w:left="720" w:firstLine="0"/>
        <w:jc w:val="left"/>
        <w:rPr>
          <w:sz w:val="20"/>
          <w:szCs w:val="20"/>
        </w:rPr>
      </w:pPr>
      <w:r w:rsidDel="00000000" w:rsidR="00000000" w:rsidRPr="00000000">
        <w:rPr>
          <w:sz w:val="20"/>
          <w:szCs w:val="20"/>
          <w:u w:val="single"/>
          <w:rtl w:val="0"/>
        </w:rPr>
        <w:t xml:space="preserve">Spending</w:t>
      </w:r>
      <w:r w:rsidDel="00000000" w:rsidR="00000000" w:rsidRPr="00000000">
        <w:rPr>
          <w:sz w:val="20"/>
          <w:szCs w:val="20"/>
          <w:rtl w:val="0"/>
        </w:rPr>
        <w:t xml:space="preserve">: As with taxation, liberals and conservatives tend to maintain starkly contrasting, irreconcilable positions on State expenditures. Conservatives tend to believe that increased spending is merely a reflection of an overreaching </w:t>
      </w:r>
      <w:r w:rsidDel="00000000" w:rsidR="00000000" w:rsidRPr="00000000">
        <w:rPr>
          <w:sz w:val="20"/>
          <w:szCs w:val="20"/>
          <w:rtl w:val="0"/>
        </w:rPr>
        <w:t xml:space="preserve">government</w:t>
      </w:r>
      <w:r w:rsidDel="00000000" w:rsidR="00000000" w:rsidRPr="00000000">
        <w:rPr>
          <w:sz w:val="20"/>
          <w:szCs w:val="20"/>
          <w:rtl w:val="0"/>
        </w:rPr>
        <w:t xml:space="preserve"> and that, as such, spending should be limited to the greatest degree possible. Liberals, however, tend to believe that increased government spending can be used as a tool to improve the condition of the State’s residents and should therefore be increased. </w:t>
      </w:r>
    </w:p>
    <w:p w:rsidR="00000000" w:rsidDel="00000000" w:rsidP="00000000" w:rsidRDefault="00000000" w:rsidRPr="00000000" w14:paraId="0000002E">
      <w:pPr>
        <w:ind w:left="720" w:firstLine="0"/>
        <w:jc w:val="left"/>
        <w:rPr>
          <w:sz w:val="20"/>
          <w:szCs w:val="20"/>
        </w:rPr>
      </w:pPr>
      <w:r w:rsidDel="00000000" w:rsidR="00000000" w:rsidRPr="00000000">
        <w:rPr>
          <w:sz w:val="20"/>
          <w:szCs w:val="20"/>
          <w:u w:val="single"/>
          <w:rtl w:val="0"/>
        </w:rPr>
        <w:t xml:space="preserve">Education</w:t>
      </w:r>
      <w:r w:rsidDel="00000000" w:rsidR="00000000" w:rsidRPr="00000000">
        <w:rPr>
          <w:sz w:val="20"/>
          <w:szCs w:val="20"/>
          <w:rtl w:val="0"/>
        </w:rPr>
        <w:t xml:space="preserve">: In Arizona, there is a contentious debate surrounding how money should be spent on education. Some believe that public dollars should only be spent on public schools, as this would increase the quality of public education and improve student outcomes. Others think that spending should be allowed to follow students to private and charter schools, theoretically creating a competitive market for education that could improve the overall education landscape. This conflict regularly leads to heated debates during the budget negotiation process.</w:t>
      </w:r>
    </w:p>
    <w:p w:rsidR="00000000" w:rsidDel="00000000" w:rsidP="00000000" w:rsidRDefault="00000000" w:rsidRPr="00000000" w14:paraId="0000002F">
      <w:pPr>
        <w:ind w:left="720" w:firstLine="0"/>
        <w:jc w:val="left"/>
        <w:rPr>
          <w:sz w:val="20"/>
          <w:szCs w:val="20"/>
        </w:rPr>
      </w:pPr>
      <w:r w:rsidDel="00000000" w:rsidR="00000000" w:rsidRPr="00000000">
        <w:rPr>
          <w:sz w:val="20"/>
          <w:szCs w:val="20"/>
          <w:u w:val="single"/>
          <w:rtl w:val="0"/>
        </w:rPr>
        <w:t xml:space="preserve">Personality</w:t>
      </w:r>
      <w:r w:rsidDel="00000000" w:rsidR="00000000" w:rsidRPr="00000000">
        <w:rPr>
          <w:sz w:val="20"/>
          <w:szCs w:val="20"/>
          <w:rtl w:val="0"/>
        </w:rPr>
        <w:t xml:space="preserve">: While not necessarily political, individual personalities can exert great influence over the budgeting process and its outcome. A majority of legislators are needed to pass the budget through each house, and these members will often use their vote as leverage to have their own personal priorities implemented. This has been especially true in recent years as partisan majorities have grown increasingly slim.</w:t>
      </w:r>
    </w:p>
    <w:p w:rsidR="00000000" w:rsidDel="00000000" w:rsidP="00000000" w:rsidRDefault="00000000" w:rsidRPr="00000000" w14:paraId="00000030">
      <w:pPr>
        <w:jc w:val="left"/>
        <w:rPr>
          <w:b w:val="1"/>
          <w:i w:val="1"/>
          <w:sz w:val="20"/>
          <w:szCs w:val="20"/>
        </w:rPr>
      </w:pPr>
      <w:r w:rsidDel="00000000" w:rsidR="00000000" w:rsidRPr="00000000">
        <w:rPr>
          <w:b w:val="1"/>
          <w:i w:val="1"/>
          <w:sz w:val="20"/>
          <w:szCs w:val="20"/>
          <w:rtl w:val="0"/>
        </w:rPr>
        <w:t xml:space="preserve">Turning the Budget Into Law</w:t>
      </w:r>
    </w:p>
    <w:p w:rsidR="00000000" w:rsidDel="00000000" w:rsidP="00000000" w:rsidRDefault="00000000" w:rsidRPr="00000000" w14:paraId="00000031">
      <w:pPr>
        <w:jc w:val="left"/>
        <w:rPr>
          <w:b w:val="1"/>
          <w:sz w:val="20"/>
          <w:szCs w:val="20"/>
        </w:rPr>
      </w:pPr>
      <w:r w:rsidDel="00000000" w:rsidR="00000000" w:rsidRPr="00000000">
        <w:rPr>
          <w:b w:val="1"/>
          <w:i w:val="1"/>
          <w:sz w:val="20"/>
          <w:szCs w:val="20"/>
          <w:rtl w:val="0"/>
        </w:rPr>
        <w:tab/>
      </w:r>
      <w:r w:rsidDel="00000000" w:rsidR="00000000" w:rsidRPr="00000000">
        <w:rPr>
          <w:b w:val="1"/>
          <w:sz w:val="20"/>
          <w:szCs w:val="20"/>
          <w:rtl w:val="0"/>
        </w:rPr>
        <w:t xml:space="preserve">The Feed Bill.</w:t>
      </w:r>
    </w:p>
    <w:p w:rsidR="00000000" w:rsidDel="00000000" w:rsidP="00000000" w:rsidRDefault="00000000" w:rsidRPr="00000000" w14:paraId="00000032">
      <w:pPr>
        <w:ind w:left="720" w:firstLine="0"/>
        <w:jc w:val="left"/>
        <w:rPr>
          <w:sz w:val="20"/>
          <w:szCs w:val="20"/>
        </w:rPr>
      </w:pPr>
      <w:r w:rsidDel="00000000" w:rsidR="00000000" w:rsidRPr="00000000">
        <w:rPr>
          <w:sz w:val="20"/>
          <w:szCs w:val="20"/>
          <w:rtl w:val="0"/>
        </w:rPr>
        <w:t xml:space="preserve">The General Appropriations Act, commonly referred to as the “feed bill,” is the piece of legislation that delineates all appropriations necessary to enact the negotiated budget. It also includes the JLBC baseline forecasts for the next four upcoming fiscal years, formally codifying them into law. This legislation is special in that it takes effect immediately upon being signed by the Governor rather than on the general effective date. </w:t>
      </w:r>
    </w:p>
    <w:p w:rsidR="00000000" w:rsidDel="00000000" w:rsidP="00000000" w:rsidRDefault="00000000" w:rsidRPr="00000000" w14:paraId="00000033">
      <w:pPr>
        <w:jc w:val="left"/>
        <w:rPr>
          <w:b w:val="1"/>
          <w:sz w:val="20"/>
          <w:szCs w:val="20"/>
        </w:rPr>
      </w:pPr>
      <w:r w:rsidDel="00000000" w:rsidR="00000000" w:rsidRPr="00000000">
        <w:rPr>
          <w:b w:val="1"/>
          <w:sz w:val="20"/>
          <w:szCs w:val="20"/>
          <w:rtl w:val="0"/>
        </w:rPr>
        <w:tab/>
        <w:t xml:space="preserve">BRBs.</w:t>
      </w:r>
    </w:p>
    <w:p w:rsidR="00000000" w:rsidDel="00000000" w:rsidP="00000000" w:rsidRDefault="00000000" w:rsidRPr="00000000" w14:paraId="00000034">
      <w:pPr>
        <w:ind w:left="720" w:firstLine="0"/>
        <w:jc w:val="left"/>
        <w:rPr>
          <w:sz w:val="20"/>
          <w:szCs w:val="20"/>
        </w:rPr>
      </w:pPr>
      <w:r w:rsidDel="00000000" w:rsidR="00000000" w:rsidRPr="00000000">
        <w:rPr>
          <w:sz w:val="20"/>
          <w:szCs w:val="20"/>
          <w:rtl w:val="0"/>
        </w:rPr>
        <w:t xml:space="preserve">The Arizona Constitution states that “The general appropriation bill shall embrace nothing but appropriations for the different departments of the state, for state institutions, for public schools, and for interest on the public debt. All other appropriations shall be made by separate bills, each embracing but one subject.” It is for this reason that Budget Reconciliation Bills (BRBs) exist. BRBs make statutory changes to ensure that all of the provisions of the feed bill are legally capable of going into effect</w:t>
      </w:r>
      <w:r w:rsidDel="00000000" w:rsidR="00000000" w:rsidRPr="00000000">
        <w:rPr>
          <w:sz w:val="20"/>
          <w:szCs w:val="20"/>
          <w:vertAlign w:val="superscript"/>
          <w:rtl w:val="0"/>
        </w:rPr>
        <w:t xml:space="preserve">[</w:t>
      </w:r>
      <w:hyperlink r:id="rId8">
        <w:r w:rsidDel="00000000" w:rsidR="00000000" w:rsidRPr="00000000">
          <w:rPr>
            <w:color w:val="1155cc"/>
            <w:sz w:val="20"/>
            <w:szCs w:val="20"/>
            <w:u w:val="single"/>
            <w:vertAlign w:val="superscript"/>
            <w:rtl w:val="0"/>
          </w:rPr>
          <w:t xml:space="preserve">Q</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Unless specified otherwise, these bills generally do not become law until the general effective date. </w:t>
      </w:r>
    </w:p>
    <w:p w:rsidR="00000000" w:rsidDel="00000000" w:rsidP="00000000" w:rsidRDefault="00000000" w:rsidRPr="00000000" w14:paraId="00000035">
      <w:pPr>
        <w:ind w:left="0" w:firstLine="0"/>
        <w:jc w:val="left"/>
        <w:rPr>
          <w:sz w:val="20"/>
          <w:szCs w:val="20"/>
        </w:rPr>
      </w:pPr>
      <w:r w:rsidDel="00000000" w:rsidR="00000000" w:rsidRPr="00000000">
        <w:rPr>
          <w:rtl w:val="0"/>
        </w:rPr>
      </w:r>
    </w:p>
    <w:p w:rsidR="00000000" w:rsidDel="00000000" w:rsidP="00000000" w:rsidRDefault="00000000" w:rsidRPr="00000000" w14:paraId="00000036">
      <w:pPr>
        <w:jc w:val="center"/>
        <w:rPr>
          <w:b w:val="1"/>
          <w:sz w:val="20"/>
          <w:szCs w:val="20"/>
          <w:u w:val="single"/>
        </w:rPr>
      </w:pPr>
      <w:r w:rsidDel="00000000" w:rsidR="00000000" w:rsidRPr="00000000">
        <w:rPr>
          <w:b w:val="1"/>
          <w:sz w:val="20"/>
          <w:szCs w:val="20"/>
          <w:u w:val="single"/>
          <w:rtl w:val="0"/>
        </w:rPr>
        <w:t xml:space="preserve">Revenues, Funds, and Expenditures</w:t>
      </w:r>
    </w:p>
    <w:p w:rsidR="00000000" w:rsidDel="00000000" w:rsidP="00000000" w:rsidRDefault="00000000" w:rsidRPr="00000000" w14:paraId="00000037">
      <w:pPr>
        <w:jc w:val="left"/>
        <w:rPr>
          <w:b w:val="1"/>
          <w:sz w:val="20"/>
          <w:szCs w:val="20"/>
        </w:rPr>
      </w:pPr>
      <w:r w:rsidDel="00000000" w:rsidR="00000000" w:rsidRPr="00000000">
        <w:rPr>
          <w:b w:val="1"/>
          <w:sz w:val="20"/>
          <w:szCs w:val="20"/>
          <w:rtl w:val="0"/>
        </w:rPr>
        <w:t xml:space="preserve">Overview</w:t>
      </w:r>
    </w:p>
    <w:p w:rsidR="00000000" w:rsidDel="00000000" w:rsidP="00000000" w:rsidRDefault="00000000" w:rsidRPr="00000000" w14:paraId="00000038">
      <w:pPr>
        <w:jc w:val="left"/>
        <w:rPr>
          <w:sz w:val="20"/>
          <w:szCs w:val="20"/>
        </w:rPr>
      </w:pPr>
      <w:r w:rsidDel="00000000" w:rsidR="00000000" w:rsidRPr="00000000">
        <w:rPr>
          <w:sz w:val="20"/>
          <w:szCs w:val="20"/>
          <w:rtl w:val="0"/>
        </w:rPr>
        <w:t xml:space="preserve">For the average person, the most confusing part of the State’s budget likely isn’t the process by which it is created but is rather the budget itself. This is because the State’s finances are not confined to a single, easily legible list of revenues and expenditures. Rather, State monies are divided among countless “funds,” each of which exists for a distinct purpose and is maintained by its own set of revenue sources. These funds fall into two primary categories; appropriated and non-appropriated. Appropriated funds accounted for $18.7 billion of FY 22 spending, while non-appropriated funds accounted for $41.7 billion. Overall, the State and its subsidiary agencies spent over $60 billion in FY22.</w:t>
      </w:r>
    </w:p>
    <w:p w:rsidR="00000000" w:rsidDel="00000000" w:rsidP="00000000" w:rsidRDefault="00000000" w:rsidRPr="00000000" w14:paraId="00000039">
      <w:pPr>
        <w:jc w:val="left"/>
        <w:rPr>
          <w:b w:val="1"/>
          <w:i w:val="1"/>
          <w:sz w:val="20"/>
          <w:szCs w:val="20"/>
        </w:rPr>
      </w:pPr>
      <w:r w:rsidDel="00000000" w:rsidR="00000000" w:rsidRPr="00000000">
        <w:rPr>
          <w:b w:val="1"/>
          <w:i w:val="1"/>
          <w:sz w:val="20"/>
          <w:szCs w:val="20"/>
          <w:rtl w:val="0"/>
        </w:rPr>
        <w:t xml:space="preserve">The General Fund</w:t>
      </w:r>
    </w:p>
    <w:p w:rsidR="00000000" w:rsidDel="00000000" w:rsidP="00000000" w:rsidRDefault="00000000" w:rsidRPr="00000000" w14:paraId="0000003A">
      <w:pPr>
        <w:jc w:val="left"/>
        <w:rPr>
          <w:sz w:val="20"/>
          <w:szCs w:val="20"/>
        </w:rPr>
      </w:pPr>
      <w:r w:rsidDel="00000000" w:rsidR="00000000" w:rsidRPr="00000000">
        <w:rPr>
          <w:sz w:val="20"/>
          <w:szCs w:val="20"/>
          <w:rtl w:val="0"/>
        </w:rPr>
        <w:t xml:space="preserve">The State General Fund (GF) is the largest appropriated fund in the State and serves as the primary source from which all other monies are appropriated by the Legislature. </w:t>
      </w:r>
    </w:p>
    <w:p w:rsidR="00000000" w:rsidDel="00000000" w:rsidP="00000000" w:rsidRDefault="00000000" w:rsidRPr="00000000" w14:paraId="0000003B">
      <w:pPr>
        <w:jc w:val="left"/>
        <w:rPr>
          <w:b w:val="1"/>
          <w:sz w:val="20"/>
          <w:szCs w:val="20"/>
        </w:rPr>
      </w:pPr>
      <w:r w:rsidDel="00000000" w:rsidR="00000000" w:rsidRPr="00000000">
        <w:rPr>
          <w:b w:val="1"/>
          <w:sz w:val="20"/>
          <w:szCs w:val="20"/>
          <w:rtl w:val="0"/>
        </w:rPr>
        <w:tab/>
        <w:t xml:space="preserve">Sources of Revenue.</w:t>
      </w:r>
    </w:p>
    <w:p w:rsidR="00000000" w:rsidDel="00000000" w:rsidP="00000000" w:rsidRDefault="00000000" w:rsidRPr="00000000" w14:paraId="0000003C">
      <w:pPr>
        <w:ind w:left="720" w:firstLine="0"/>
        <w:jc w:val="left"/>
        <w:rPr>
          <w:sz w:val="20"/>
          <w:szCs w:val="20"/>
        </w:rPr>
      </w:pPr>
      <w:r w:rsidDel="00000000" w:rsidR="00000000" w:rsidRPr="00000000">
        <w:rPr>
          <w:sz w:val="20"/>
          <w:szCs w:val="20"/>
          <w:rtl w:val="0"/>
        </w:rPr>
        <w:t xml:space="preserve">The two largest sources of GF revenue are the transaction privilege (sales) tax and individual income tax</w:t>
      </w:r>
      <w:r w:rsidDel="00000000" w:rsidR="00000000" w:rsidRPr="00000000">
        <w:rPr>
          <w:sz w:val="20"/>
          <w:szCs w:val="20"/>
          <w:vertAlign w:val="superscript"/>
          <w:rtl w:val="0"/>
        </w:rPr>
        <w:t xml:space="preserve">[</w:t>
      </w:r>
      <w:hyperlink r:id="rId9">
        <w:r w:rsidDel="00000000" w:rsidR="00000000" w:rsidRPr="00000000">
          <w:rPr>
            <w:color w:val="1155cc"/>
            <w:sz w:val="20"/>
            <w:szCs w:val="20"/>
            <w:u w:val="single"/>
            <w:vertAlign w:val="superscript"/>
            <w:rtl w:val="0"/>
          </w:rPr>
          <w:t xml:space="preserve">N</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In FY22, these two sources alone accounted for nearly 84.7% of the fund’s revenue. Corporate income was the third largest source at 6.5%, and the insurance premium tax was fourth with 3.9%. The remaining 4.9% came from several miscellaneous sources</w:t>
      </w:r>
      <w:r w:rsidDel="00000000" w:rsidR="00000000" w:rsidRPr="00000000">
        <w:rPr>
          <w:sz w:val="20"/>
          <w:szCs w:val="20"/>
          <w:vertAlign w:val="superscript"/>
          <w:rtl w:val="0"/>
        </w:rPr>
        <w:t xml:space="preserve">[</w:t>
      </w:r>
      <w:hyperlink r:id="rId10">
        <w:r w:rsidDel="00000000" w:rsidR="00000000" w:rsidRPr="00000000">
          <w:rPr>
            <w:color w:val="1155cc"/>
            <w:sz w:val="20"/>
            <w:szCs w:val="20"/>
            <w:u w:val="single"/>
            <w:vertAlign w:val="superscript"/>
            <w:rtl w:val="0"/>
          </w:rPr>
          <w:t xml:space="preserve">O</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rtl w:val="0"/>
              </w:rPr>
              <w:t xml:space="preserve">Individual Income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rtl w:val="0"/>
              </w:rPr>
              <w:t xml:space="preserve">Sales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0"/>
                <w:szCs w:val="20"/>
              </w:rPr>
            </w:pPr>
            <w:r w:rsidDel="00000000" w:rsidR="00000000" w:rsidRPr="00000000">
              <w:rPr>
                <w:rtl w:val="0"/>
              </w:rPr>
              <w:t xml:space="preserve">Corporate Income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rtl w:val="0"/>
              </w:rPr>
              <w:t xml:space="preserve">Insurance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rtl w:val="0"/>
              </w:rPr>
              <w:t xml:space="preserve">Other Misc.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~$6.85 billion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~$7.2 billion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 billion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~$0.71 billion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~$0.79 billion</w:t>
            </w:r>
          </w:p>
        </w:tc>
      </w:tr>
    </w:tbl>
    <w:p w:rsidR="00000000" w:rsidDel="00000000" w:rsidP="00000000" w:rsidRDefault="00000000" w:rsidRPr="00000000" w14:paraId="00000047">
      <w:pPr>
        <w:ind w:left="720" w:firstLine="0"/>
        <w:jc w:val="left"/>
        <w:rPr>
          <w:b w:val="1"/>
          <w:sz w:val="20"/>
          <w:szCs w:val="20"/>
        </w:rPr>
      </w:pPr>
      <w:r w:rsidDel="00000000" w:rsidR="00000000" w:rsidRPr="00000000">
        <w:rPr>
          <w:b w:val="1"/>
          <w:sz w:val="20"/>
          <w:szCs w:val="20"/>
          <w:rtl w:val="0"/>
        </w:rPr>
        <w:t xml:space="preserve">Expenditures.</w:t>
      </w:r>
    </w:p>
    <w:p w:rsidR="00000000" w:rsidDel="00000000" w:rsidP="00000000" w:rsidRDefault="00000000" w:rsidRPr="00000000" w14:paraId="00000048">
      <w:pPr>
        <w:ind w:left="720" w:firstLine="0"/>
        <w:jc w:val="left"/>
        <w:rPr>
          <w:sz w:val="20"/>
          <w:szCs w:val="20"/>
        </w:rPr>
      </w:pPr>
      <w:r w:rsidDel="00000000" w:rsidR="00000000" w:rsidRPr="00000000">
        <w:rPr>
          <w:sz w:val="20"/>
          <w:szCs w:val="20"/>
          <w:rtl w:val="0"/>
        </w:rPr>
        <w:t xml:space="preserve">In FY22, the State appropriated approximately $12.8 billion from the GF</w:t>
      </w:r>
      <w:r w:rsidDel="00000000" w:rsidR="00000000" w:rsidRPr="00000000">
        <w:rPr>
          <w:sz w:val="20"/>
          <w:szCs w:val="20"/>
          <w:vertAlign w:val="superscript"/>
          <w:rtl w:val="0"/>
        </w:rPr>
        <w:t xml:space="preserve">[</w:t>
      </w:r>
      <w:hyperlink r:id="rId11">
        <w:r w:rsidDel="00000000" w:rsidR="00000000" w:rsidRPr="00000000">
          <w:rPr>
            <w:color w:val="1155cc"/>
            <w:sz w:val="20"/>
            <w:szCs w:val="20"/>
            <w:u w:val="single"/>
            <w:vertAlign w:val="superscript"/>
            <w:rtl w:val="0"/>
          </w:rPr>
          <w:t xml:space="preserve">B</w:t>
        </w:r>
      </w:hyperlink>
      <w:r w:rsidDel="00000000" w:rsidR="00000000" w:rsidRPr="00000000">
        <w:rPr>
          <w:vertAlign w:val="superscript"/>
          <w:rtl w:val="0"/>
        </w:rPr>
        <w:t xml:space="preserve">,</w:t>
      </w:r>
      <w:hyperlink r:id="rId12">
        <w:r w:rsidDel="00000000" w:rsidR="00000000" w:rsidRPr="00000000">
          <w:rPr>
            <w:color w:val="1155cc"/>
            <w:sz w:val="20"/>
            <w:szCs w:val="20"/>
            <w:u w:val="single"/>
            <w:vertAlign w:val="superscript"/>
            <w:rtl w:val="0"/>
          </w:rPr>
          <w:t xml:space="preserve">C</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The specifics of how the GF is used can vary from year to year, but AHCCCS, the Department of Corrections, the Department of Education, and the Department of Economic Security are regularly allotted the largest sums of money. These four organizations cumulatively accounted for nearly $9.8 billion in FY22, around 77% of the entire GF budget</w:t>
      </w:r>
      <w:r w:rsidDel="00000000" w:rsidR="00000000" w:rsidRPr="00000000">
        <w:rPr>
          <w:sz w:val="20"/>
          <w:szCs w:val="20"/>
          <w:vertAlign w:val="superscript"/>
          <w:rtl w:val="0"/>
        </w:rPr>
        <w:t xml:space="preserve">[</w:t>
      </w:r>
      <w:hyperlink r:id="rId13">
        <w:r w:rsidDel="00000000" w:rsidR="00000000" w:rsidRPr="00000000">
          <w:rPr>
            <w:color w:val="1155cc"/>
            <w:sz w:val="20"/>
            <w:szCs w:val="20"/>
            <w:u w:val="single"/>
            <w:vertAlign w:val="superscript"/>
            <w:rtl w:val="0"/>
          </w:rPr>
          <w:t xml:space="preserve">C</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The specifics are detailed here:</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0" w:firstLine="0"/>
              <w:rPr>
                <w:sz w:val="20"/>
                <w:szCs w:val="20"/>
              </w:rPr>
            </w:pPr>
            <w:r w:rsidDel="00000000" w:rsidR="00000000" w:rsidRPr="00000000">
              <w:rPr>
                <w:sz w:val="20"/>
                <w:szCs w:val="20"/>
                <w:rtl w:val="0"/>
              </w:rPr>
              <w:t xml:space="preserve">Dept. of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0" w:firstLine="0"/>
              <w:rPr>
                <w:sz w:val="20"/>
                <w:szCs w:val="20"/>
              </w:rPr>
            </w:pPr>
            <w:r w:rsidDel="00000000" w:rsidR="00000000" w:rsidRPr="00000000">
              <w:rPr>
                <w:sz w:val="20"/>
                <w:szCs w:val="20"/>
                <w:rtl w:val="0"/>
              </w:rPr>
              <w:t xml:space="preserve">AHCCCS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Dept. of Corrections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Dept. of Econ. 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left="0" w:firstLine="0"/>
              <w:rPr>
                <w:sz w:val="20"/>
                <w:szCs w:val="20"/>
              </w:rPr>
            </w:pPr>
            <w:r w:rsidDel="00000000" w:rsidR="00000000" w:rsidRPr="00000000">
              <w:rPr>
                <w:sz w:val="20"/>
                <w:szCs w:val="20"/>
                <w:rtl w:val="0"/>
              </w:rPr>
              <w:t xml:space="preserve">$5,761,522,700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0" w:firstLine="0"/>
              <w:rPr>
                <w:sz w:val="20"/>
                <w:szCs w:val="20"/>
              </w:rPr>
            </w:pPr>
            <w:r w:rsidDel="00000000" w:rsidR="00000000" w:rsidRPr="00000000">
              <w:rPr>
                <w:sz w:val="20"/>
                <w:szCs w:val="20"/>
                <w:rtl w:val="0"/>
              </w:rPr>
              <w:t xml:space="preserve">$1,915,630,200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0" w:firstLine="0"/>
              <w:rPr>
                <w:sz w:val="20"/>
                <w:szCs w:val="20"/>
              </w:rPr>
            </w:pPr>
            <w:r w:rsidDel="00000000" w:rsidR="00000000" w:rsidRPr="00000000">
              <w:rPr>
                <w:sz w:val="20"/>
                <w:szCs w:val="20"/>
                <w:rtl w:val="0"/>
              </w:rPr>
              <w:t xml:space="preserve">$1,243,120,300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0" w:firstLine="0"/>
              <w:rPr>
                <w:sz w:val="20"/>
                <w:szCs w:val="20"/>
              </w:rPr>
            </w:pPr>
            <w:r w:rsidDel="00000000" w:rsidR="00000000" w:rsidRPr="00000000">
              <w:rPr>
                <w:sz w:val="20"/>
                <w:szCs w:val="20"/>
                <w:rtl w:val="0"/>
              </w:rPr>
              <w:t xml:space="preserve">$840,578,500</w:t>
            </w:r>
          </w:p>
        </w:tc>
      </w:tr>
    </w:tbl>
    <w:p w:rsidR="00000000" w:rsidDel="00000000" w:rsidP="00000000" w:rsidRDefault="00000000" w:rsidRPr="00000000" w14:paraId="00000051">
      <w:pPr>
        <w:ind w:left="720" w:firstLine="0"/>
        <w:jc w:val="left"/>
        <w:rPr>
          <w:b w:val="1"/>
          <w:sz w:val="20"/>
          <w:szCs w:val="20"/>
        </w:rPr>
      </w:pPr>
      <w:r w:rsidDel="00000000" w:rsidR="00000000" w:rsidRPr="00000000">
        <w:rPr>
          <w:b w:val="1"/>
          <w:sz w:val="20"/>
          <w:szCs w:val="20"/>
          <w:rtl w:val="0"/>
        </w:rPr>
        <w:t xml:space="preserve">One-time vs. Ongoing Expenditures.</w:t>
      </w:r>
    </w:p>
    <w:p w:rsidR="00000000" w:rsidDel="00000000" w:rsidP="00000000" w:rsidRDefault="00000000" w:rsidRPr="00000000" w14:paraId="00000052">
      <w:pPr>
        <w:ind w:left="720" w:firstLine="0"/>
        <w:jc w:val="left"/>
        <w:rPr>
          <w:sz w:val="20"/>
          <w:szCs w:val="20"/>
        </w:rPr>
      </w:pPr>
      <w:r w:rsidDel="00000000" w:rsidR="00000000" w:rsidRPr="00000000">
        <w:rPr>
          <w:sz w:val="20"/>
          <w:szCs w:val="20"/>
          <w:rtl w:val="0"/>
        </w:rPr>
        <w:t xml:space="preserve">To understand how the State plans for the future, it is vital to understand the difference between one-time and ongoing expenditures. One-time expenditures are those that are only expected to require a single appropriation during a single fiscal year. Ongoing expenditures, however, are long-term commitments. Building a new school, for example, would be a one-time expenditure, whereas maintaining that school and paying its staff would be ongoing. </w:t>
      </w:r>
    </w:p>
    <w:p w:rsidR="00000000" w:rsidDel="00000000" w:rsidP="00000000" w:rsidRDefault="00000000" w:rsidRPr="00000000" w14:paraId="00000053">
      <w:pPr>
        <w:ind w:left="720" w:firstLine="0"/>
        <w:jc w:val="left"/>
        <w:rPr>
          <w:sz w:val="20"/>
          <w:szCs w:val="20"/>
        </w:rPr>
      </w:pPr>
      <w:r w:rsidDel="00000000" w:rsidR="00000000" w:rsidRPr="00000000">
        <w:rPr>
          <w:sz w:val="20"/>
          <w:szCs w:val="20"/>
          <w:rtl w:val="0"/>
        </w:rPr>
        <w:t xml:space="preserve">Because GF revenues can fluctuate from year to year, this is very important. There may be a significant budget surplus in FY24, for example, but it would be foolish to implement new programs requiring ongoing expenditures if future revenue forecasts showed the State falling into a deficit in FY25.</w:t>
      </w:r>
    </w:p>
    <w:p w:rsidR="00000000" w:rsidDel="00000000" w:rsidP="00000000" w:rsidRDefault="00000000" w:rsidRPr="00000000" w14:paraId="00000054">
      <w:pPr>
        <w:ind w:left="720" w:firstLine="0"/>
        <w:jc w:val="left"/>
        <w:rPr>
          <w:b w:val="1"/>
          <w:sz w:val="20"/>
          <w:szCs w:val="20"/>
        </w:rPr>
      </w:pPr>
      <w:r w:rsidDel="00000000" w:rsidR="00000000" w:rsidRPr="00000000">
        <w:rPr>
          <w:b w:val="1"/>
          <w:sz w:val="20"/>
          <w:szCs w:val="20"/>
          <w:rtl w:val="0"/>
        </w:rPr>
        <w:t xml:space="preserve">State Accounting.</w:t>
      </w:r>
    </w:p>
    <w:p w:rsidR="00000000" w:rsidDel="00000000" w:rsidP="00000000" w:rsidRDefault="00000000" w:rsidRPr="00000000" w14:paraId="00000055">
      <w:pPr>
        <w:ind w:left="720" w:firstLine="0"/>
        <w:jc w:val="left"/>
        <w:rPr>
          <w:sz w:val="20"/>
          <w:szCs w:val="20"/>
        </w:rPr>
      </w:pPr>
      <w:r w:rsidDel="00000000" w:rsidR="00000000" w:rsidRPr="00000000">
        <w:rPr>
          <w:sz w:val="20"/>
          <w:szCs w:val="20"/>
          <w:rtl w:val="0"/>
        </w:rPr>
        <w:t xml:space="preserve">Unfortunately, understanding State finance is not as straightforward as it may seem. This is because State agencies are prone to using different methods of accounting, which can lead to perceived discrepancies in the data for the casual observer. For example, the Arizona Department of Revenue (ADOR) reported a contribution of only $15.3 billion</w:t>
      </w:r>
      <w:r w:rsidDel="00000000" w:rsidR="00000000" w:rsidRPr="00000000">
        <w:rPr>
          <w:sz w:val="20"/>
          <w:szCs w:val="20"/>
          <w:vertAlign w:val="superscript"/>
          <w:rtl w:val="0"/>
        </w:rPr>
        <w:t xml:space="preserve">[</w:t>
      </w:r>
      <w:hyperlink r:id="rId14">
        <w:r w:rsidDel="00000000" w:rsidR="00000000" w:rsidRPr="00000000">
          <w:rPr>
            <w:color w:val="1155cc"/>
            <w:sz w:val="20"/>
            <w:szCs w:val="20"/>
            <w:u w:val="single"/>
            <w:vertAlign w:val="superscript"/>
            <w:rtl w:val="0"/>
          </w:rPr>
          <w:t xml:space="preserve">A</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to the GF in 2022, despite the State’s General Accounting Office (GAO) claiming that GF revenues were $16.56 billion</w:t>
      </w:r>
      <w:r w:rsidDel="00000000" w:rsidR="00000000" w:rsidRPr="00000000">
        <w:rPr>
          <w:sz w:val="20"/>
          <w:szCs w:val="20"/>
          <w:vertAlign w:val="superscript"/>
          <w:rtl w:val="0"/>
        </w:rPr>
        <w:t xml:space="preserve">[</w:t>
      </w:r>
      <w:hyperlink r:id="rId15">
        <w:r w:rsidDel="00000000" w:rsidR="00000000" w:rsidRPr="00000000">
          <w:rPr>
            <w:color w:val="1155cc"/>
            <w:sz w:val="20"/>
            <w:szCs w:val="20"/>
            <w:u w:val="single"/>
            <w:vertAlign w:val="superscript"/>
            <w:rtl w:val="0"/>
          </w:rPr>
          <w:t xml:space="preserve">B</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and some JLBC documents showing revenues of nearly $17.3 billion</w:t>
      </w:r>
      <w:r w:rsidDel="00000000" w:rsidR="00000000" w:rsidRPr="00000000">
        <w:rPr>
          <w:sz w:val="20"/>
          <w:szCs w:val="20"/>
          <w:vertAlign w:val="superscript"/>
          <w:rtl w:val="0"/>
        </w:rPr>
        <w:t xml:space="preserve">[</w:t>
      </w:r>
      <w:hyperlink r:id="rId16">
        <w:r w:rsidDel="00000000" w:rsidR="00000000" w:rsidRPr="00000000">
          <w:rPr>
            <w:color w:val="1155cc"/>
            <w:sz w:val="20"/>
            <w:szCs w:val="20"/>
            <w:u w:val="single"/>
            <w:vertAlign w:val="superscript"/>
            <w:rtl w:val="0"/>
          </w:rPr>
          <w:t xml:space="preserve">O</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There are a few reasons for these inconsistencies:</w:t>
      </w:r>
    </w:p>
    <w:p w:rsidR="00000000" w:rsidDel="00000000" w:rsidP="00000000" w:rsidRDefault="00000000" w:rsidRPr="00000000" w14:paraId="00000056">
      <w:pPr>
        <w:ind w:left="720" w:firstLine="0"/>
        <w:rPr>
          <w:sz w:val="20"/>
          <w:szCs w:val="20"/>
        </w:rPr>
      </w:pPr>
      <w:r w:rsidDel="00000000" w:rsidR="00000000" w:rsidRPr="00000000">
        <w:rPr>
          <w:sz w:val="20"/>
          <w:szCs w:val="20"/>
          <w:u w:val="single"/>
          <w:rtl w:val="0"/>
        </w:rPr>
        <w:t xml:space="preserve">ADOR Doesn’t Collect </w:t>
      </w:r>
      <w:r w:rsidDel="00000000" w:rsidR="00000000" w:rsidRPr="00000000">
        <w:rPr>
          <w:i w:val="1"/>
          <w:sz w:val="20"/>
          <w:szCs w:val="20"/>
          <w:u w:val="single"/>
          <w:rtl w:val="0"/>
        </w:rPr>
        <w:t xml:space="preserve">All</w:t>
      </w:r>
      <w:r w:rsidDel="00000000" w:rsidR="00000000" w:rsidRPr="00000000">
        <w:rPr>
          <w:sz w:val="20"/>
          <w:szCs w:val="20"/>
          <w:u w:val="single"/>
          <w:rtl w:val="0"/>
        </w:rPr>
        <w:t xml:space="preserve"> Revenues:</w:t>
      </w:r>
      <w:r w:rsidDel="00000000" w:rsidR="00000000" w:rsidRPr="00000000">
        <w:rPr>
          <w:sz w:val="20"/>
          <w:szCs w:val="20"/>
          <w:rtl w:val="0"/>
        </w:rPr>
        <w:t xml:space="preserve"> While it might seem fair to assume that the agency titled “Department of Revenue” would be responsible for all States revenues, this is not the case. Some key sources of income for the State go through separate agencies. For example, the aforementioned insurance premium tax passes directly through the Department of Insurance and Financial Institutions into the GF</w:t>
      </w:r>
      <w:r w:rsidDel="00000000" w:rsidR="00000000" w:rsidRPr="00000000">
        <w:rPr>
          <w:sz w:val="20"/>
          <w:szCs w:val="20"/>
          <w:vertAlign w:val="superscript"/>
          <w:rtl w:val="0"/>
        </w:rPr>
        <w:t xml:space="preserve">[</w:t>
      </w:r>
      <w:hyperlink r:id="rId17">
        <w:r w:rsidDel="00000000" w:rsidR="00000000" w:rsidRPr="00000000">
          <w:rPr>
            <w:color w:val="1155cc"/>
            <w:sz w:val="20"/>
            <w:szCs w:val="20"/>
            <w:u w:val="single"/>
            <w:vertAlign w:val="superscript"/>
            <w:rtl w:val="0"/>
          </w:rPr>
          <w:t xml:space="preserve">D</w:t>
        </w:r>
      </w:hyperlink>
      <w:r w:rsidDel="00000000" w:rsidR="00000000" w:rsidRPr="00000000">
        <w:rPr>
          <w:sz w:val="20"/>
          <w:szCs w:val="20"/>
          <w:vertAlign w:val="superscript"/>
          <w:rtl w:val="0"/>
        </w:rPr>
        <w:t xml:space="preserve">,</w:t>
      </w:r>
      <w:hyperlink r:id="rId18">
        <w:r w:rsidDel="00000000" w:rsidR="00000000" w:rsidRPr="00000000">
          <w:rPr>
            <w:color w:val="1155cc"/>
            <w:sz w:val="20"/>
            <w:szCs w:val="20"/>
            <w:u w:val="single"/>
            <w:vertAlign w:val="superscript"/>
            <w:rtl w:val="0"/>
          </w:rPr>
          <w:t xml:space="preserve">I</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This is especially true for the multitude of other appropriated and non-appropriated funds that are discussed later.</w:t>
      </w:r>
    </w:p>
    <w:p w:rsidR="00000000" w:rsidDel="00000000" w:rsidP="00000000" w:rsidRDefault="00000000" w:rsidRPr="00000000" w14:paraId="00000057">
      <w:pPr>
        <w:ind w:left="720" w:firstLine="0"/>
        <w:rPr>
          <w:sz w:val="20"/>
          <w:szCs w:val="20"/>
        </w:rPr>
      </w:pPr>
      <w:r w:rsidDel="00000000" w:rsidR="00000000" w:rsidRPr="00000000">
        <w:rPr>
          <w:sz w:val="20"/>
          <w:szCs w:val="20"/>
          <w:u w:val="single"/>
          <w:rtl w:val="0"/>
        </w:rPr>
        <w:t xml:space="preserve">Differences in Revenue Sharing Accounting:</w:t>
      </w:r>
      <w:r w:rsidDel="00000000" w:rsidR="00000000" w:rsidRPr="00000000">
        <w:rPr>
          <w:sz w:val="20"/>
          <w:szCs w:val="20"/>
          <w:rtl w:val="0"/>
        </w:rPr>
        <w:t xml:space="preserve"> In 1972, voters passed a ballot initiative dictating that a portion of income tax revenues be shared with the State’s incorporated cities and towns. This is known as Urban Revenue Sharing (URS). Up until the end of FY23, this was calculated using 15% of the net income taxes collected two fiscal years prior to the current one</w:t>
      </w:r>
      <w:r w:rsidDel="00000000" w:rsidR="00000000" w:rsidRPr="00000000">
        <w:rPr>
          <w:sz w:val="20"/>
          <w:szCs w:val="20"/>
          <w:vertAlign w:val="superscript"/>
          <w:rtl w:val="0"/>
        </w:rPr>
        <w:t xml:space="preserve">[</w:t>
      </w:r>
      <w:hyperlink r:id="rId19">
        <w:r w:rsidDel="00000000" w:rsidR="00000000" w:rsidRPr="00000000">
          <w:rPr>
            <w:color w:val="1155cc"/>
            <w:sz w:val="20"/>
            <w:szCs w:val="20"/>
            <w:u w:val="single"/>
            <w:vertAlign w:val="superscript"/>
            <w:rtl w:val="0"/>
          </w:rPr>
          <w:t xml:space="preserve">D</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This rate recently increased to 18%, but the point remains the same. In FY22, for example, ADOR collected $10.55 billion in gross income taxes</w:t>
      </w:r>
      <w:r w:rsidDel="00000000" w:rsidR="00000000" w:rsidRPr="00000000">
        <w:rPr>
          <w:sz w:val="20"/>
          <w:szCs w:val="20"/>
          <w:vertAlign w:val="superscript"/>
          <w:rtl w:val="0"/>
        </w:rPr>
        <w:t xml:space="preserve">[</w:t>
      </w:r>
      <w:hyperlink r:id="rId20">
        <w:r w:rsidDel="00000000" w:rsidR="00000000" w:rsidRPr="00000000">
          <w:rPr>
            <w:color w:val="1155cc"/>
            <w:sz w:val="20"/>
            <w:szCs w:val="20"/>
            <w:u w:val="single"/>
            <w:vertAlign w:val="superscript"/>
            <w:rtl w:val="0"/>
          </w:rPr>
          <w:t xml:space="preserve">A</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Only after finding the net collections, splitting the taxes into their respective categories (corporate and individual), and independently calculating the URS rate was it possible to reconcile the $10.55 billion income tax collection rate reported by ADOR with the $7.76 billion</w:t>
      </w:r>
      <w:r w:rsidDel="00000000" w:rsidR="00000000" w:rsidRPr="00000000">
        <w:rPr>
          <w:sz w:val="20"/>
          <w:szCs w:val="20"/>
          <w:vertAlign w:val="superscript"/>
          <w:rtl w:val="0"/>
        </w:rPr>
        <w:t xml:space="preserve">[</w:t>
      </w:r>
      <w:hyperlink r:id="rId21">
        <w:r w:rsidDel="00000000" w:rsidR="00000000" w:rsidRPr="00000000">
          <w:rPr>
            <w:color w:val="1155cc"/>
            <w:sz w:val="20"/>
            <w:szCs w:val="20"/>
            <w:u w:val="single"/>
            <w:vertAlign w:val="superscript"/>
            <w:rtl w:val="0"/>
          </w:rPr>
          <w:t xml:space="preserve">B</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of GF income tax revenue reported by the GAO. Other taxes require similar forms of revenue sharing, further adding to the complexity.</w:t>
      </w:r>
    </w:p>
    <w:p w:rsidR="00000000" w:rsidDel="00000000" w:rsidP="00000000" w:rsidRDefault="00000000" w:rsidRPr="00000000" w14:paraId="00000058">
      <w:pPr>
        <w:ind w:left="720" w:firstLine="0"/>
        <w:rPr>
          <w:sz w:val="20"/>
          <w:szCs w:val="20"/>
        </w:rPr>
      </w:pPr>
      <w:r w:rsidDel="00000000" w:rsidR="00000000" w:rsidRPr="00000000">
        <w:rPr>
          <w:sz w:val="20"/>
          <w:szCs w:val="20"/>
          <w:u w:val="single"/>
          <w:rtl w:val="0"/>
        </w:rPr>
        <w:t xml:space="preserve">Differences in Carryover Accounting:</w:t>
      </w:r>
      <w:r w:rsidDel="00000000" w:rsidR="00000000" w:rsidRPr="00000000">
        <w:rPr>
          <w:sz w:val="20"/>
          <w:szCs w:val="20"/>
          <w:rtl w:val="0"/>
        </w:rPr>
        <w:t xml:space="preserve">  According to the GAO, FY22 GF revenues were $16.56 billion</w:t>
      </w:r>
      <w:r w:rsidDel="00000000" w:rsidR="00000000" w:rsidRPr="00000000">
        <w:rPr>
          <w:sz w:val="20"/>
          <w:szCs w:val="20"/>
          <w:vertAlign w:val="superscript"/>
          <w:rtl w:val="0"/>
        </w:rPr>
        <w:t xml:space="preserve">[</w:t>
      </w:r>
      <w:hyperlink r:id="rId22">
        <w:r w:rsidDel="00000000" w:rsidR="00000000" w:rsidRPr="00000000">
          <w:rPr>
            <w:color w:val="1155cc"/>
            <w:sz w:val="20"/>
            <w:szCs w:val="20"/>
            <w:u w:val="single"/>
            <w:vertAlign w:val="superscript"/>
            <w:rtl w:val="0"/>
          </w:rPr>
          <w:t xml:space="preserve">B</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Some JLBC documents, however, list a budget of $17.3 billion</w:t>
      </w:r>
      <w:r w:rsidDel="00000000" w:rsidR="00000000" w:rsidRPr="00000000">
        <w:rPr>
          <w:sz w:val="20"/>
          <w:szCs w:val="20"/>
          <w:vertAlign w:val="superscript"/>
          <w:rtl w:val="0"/>
        </w:rPr>
        <w:t xml:space="preserve">[</w:t>
      </w:r>
      <w:hyperlink r:id="rId23">
        <w:r w:rsidDel="00000000" w:rsidR="00000000" w:rsidRPr="00000000">
          <w:rPr>
            <w:color w:val="1155cc"/>
            <w:sz w:val="20"/>
            <w:szCs w:val="20"/>
            <w:u w:val="single"/>
            <w:vertAlign w:val="superscript"/>
            <w:rtl w:val="0"/>
          </w:rPr>
          <w:t xml:space="preserve">O</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This may at first seem to be a significant discrepancy, but JLBC includes the leftover funding from the prior year depending on the document. Revenues were, in fact, $16.6 billion, but approximately $800 million remained in the GF after FY21 and was thus added to the FY22 budget</w:t>
      </w:r>
      <w:r w:rsidDel="00000000" w:rsidR="00000000" w:rsidRPr="00000000">
        <w:rPr>
          <w:sz w:val="20"/>
          <w:szCs w:val="20"/>
          <w:vertAlign w:val="superscript"/>
          <w:rtl w:val="0"/>
        </w:rPr>
        <w:t xml:space="preserve">[</w:t>
      </w:r>
      <w:hyperlink r:id="rId24">
        <w:r w:rsidDel="00000000" w:rsidR="00000000" w:rsidRPr="00000000">
          <w:rPr>
            <w:color w:val="1155cc"/>
            <w:sz w:val="20"/>
            <w:szCs w:val="20"/>
            <w:u w:val="single"/>
            <w:vertAlign w:val="superscript"/>
            <w:rtl w:val="0"/>
          </w:rPr>
          <w:t xml:space="preserve">N</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While somewhat more simple than the other accounting confusions, it might not be immediately obvious to those who aren’t aware of what to look for. This is generally denoted as a “balance forward” in JLBC documentation.</w:t>
      </w:r>
    </w:p>
    <w:p w:rsidR="00000000" w:rsidDel="00000000" w:rsidP="00000000" w:rsidRDefault="00000000" w:rsidRPr="00000000" w14:paraId="00000059">
      <w:pPr>
        <w:ind w:left="0" w:firstLine="0"/>
        <w:jc w:val="left"/>
        <w:rPr>
          <w:b w:val="1"/>
          <w:i w:val="1"/>
          <w:sz w:val="20"/>
          <w:szCs w:val="20"/>
        </w:rPr>
      </w:pPr>
      <w:r w:rsidDel="00000000" w:rsidR="00000000" w:rsidRPr="00000000">
        <w:rPr>
          <w:b w:val="1"/>
          <w:i w:val="1"/>
          <w:sz w:val="20"/>
          <w:szCs w:val="20"/>
          <w:rtl w:val="0"/>
        </w:rPr>
        <w:t xml:space="preserve">Other Appropriated Funds</w:t>
      </w:r>
    </w:p>
    <w:p w:rsidR="00000000" w:rsidDel="00000000" w:rsidP="00000000" w:rsidRDefault="00000000" w:rsidRPr="00000000" w14:paraId="0000005A">
      <w:pPr>
        <w:ind w:left="0" w:firstLine="0"/>
        <w:jc w:val="left"/>
        <w:rPr>
          <w:sz w:val="20"/>
          <w:szCs w:val="20"/>
        </w:rPr>
      </w:pPr>
      <w:r w:rsidDel="00000000" w:rsidR="00000000" w:rsidRPr="00000000">
        <w:rPr>
          <w:sz w:val="20"/>
          <w:szCs w:val="20"/>
          <w:rtl w:val="0"/>
        </w:rPr>
        <w:t xml:space="preserve">Aside from the GF, there are over 100 other appropriated funds in the State of Arizona. As explained by the GAO, appropriated funds are those which can only be spent with the express approval of the Legislature</w:t>
      </w:r>
      <w:r w:rsidDel="00000000" w:rsidR="00000000" w:rsidRPr="00000000">
        <w:rPr>
          <w:sz w:val="20"/>
          <w:szCs w:val="20"/>
          <w:vertAlign w:val="superscript"/>
          <w:rtl w:val="0"/>
        </w:rPr>
        <w:t xml:space="preserve">[</w:t>
      </w:r>
      <w:hyperlink r:id="rId25">
        <w:r w:rsidDel="00000000" w:rsidR="00000000" w:rsidRPr="00000000">
          <w:rPr>
            <w:color w:val="1155cc"/>
            <w:sz w:val="20"/>
            <w:szCs w:val="20"/>
            <w:u w:val="single"/>
            <w:vertAlign w:val="superscript"/>
            <w:rtl w:val="0"/>
          </w:rPr>
          <w:t xml:space="preserve">M</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These funds generally have their own unique sources of revenue as provided by statute, but they may also be funded by appropriations from the GF. Each appropriated fund has a clearly defined purpose, and the ways in which the Legislature may spend these funds are generally bound to this purpose by statute.</w:t>
      </w:r>
    </w:p>
    <w:p w:rsidR="00000000" w:rsidDel="00000000" w:rsidP="00000000" w:rsidRDefault="00000000" w:rsidRPr="00000000" w14:paraId="0000005B">
      <w:pPr>
        <w:ind w:left="0" w:firstLine="0"/>
        <w:jc w:val="left"/>
        <w:rPr>
          <w:sz w:val="20"/>
          <w:szCs w:val="20"/>
        </w:rPr>
      </w:pPr>
      <w:r w:rsidDel="00000000" w:rsidR="00000000" w:rsidRPr="00000000">
        <w:rPr>
          <w:sz w:val="20"/>
          <w:szCs w:val="20"/>
          <w:rtl w:val="0"/>
        </w:rPr>
        <w:t xml:space="preserve">In FY22, the State spent approximately $5.9 billion of these other appropriated funds</w:t>
      </w:r>
      <w:r w:rsidDel="00000000" w:rsidR="00000000" w:rsidRPr="00000000">
        <w:rPr>
          <w:sz w:val="20"/>
          <w:szCs w:val="20"/>
          <w:vertAlign w:val="superscript"/>
          <w:rtl w:val="0"/>
        </w:rPr>
        <w:t xml:space="preserve">[</w:t>
      </w:r>
      <w:hyperlink r:id="rId26">
        <w:r w:rsidDel="00000000" w:rsidR="00000000" w:rsidRPr="00000000">
          <w:rPr>
            <w:color w:val="1155cc"/>
            <w:sz w:val="20"/>
            <w:szCs w:val="20"/>
            <w:u w:val="single"/>
            <w:vertAlign w:val="superscript"/>
            <w:rtl w:val="0"/>
          </w:rPr>
          <w:t xml:space="preserve">C</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The four largest spending categories were as follows:</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left="0" w:firstLine="0"/>
              <w:rPr>
                <w:sz w:val="20"/>
                <w:szCs w:val="20"/>
              </w:rPr>
            </w:pPr>
            <w:r w:rsidDel="00000000" w:rsidR="00000000" w:rsidRPr="00000000">
              <w:rPr>
                <w:sz w:val="20"/>
                <w:szCs w:val="20"/>
                <w:rtl w:val="0"/>
              </w:rPr>
              <w:t xml:space="preserve">Health and Welfare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K-12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Universities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Transportation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$2,396,052,600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$1,449,822,900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$1,093,654,400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$467,545,100</w:t>
            </w:r>
          </w:p>
        </w:tc>
      </w:tr>
    </w:tbl>
    <w:p w:rsidR="00000000" w:rsidDel="00000000" w:rsidP="00000000" w:rsidRDefault="00000000" w:rsidRPr="00000000" w14:paraId="00000064">
      <w:pPr>
        <w:ind w:left="720" w:firstLine="0"/>
        <w:jc w:val="left"/>
        <w:rPr>
          <w:b w:val="1"/>
          <w:color w:val="6d9eeb"/>
          <w:sz w:val="20"/>
          <w:szCs w:val="20"/>
          <w:vertAlign w:val="superscript"/>
        </w:rPr>
      </w:pPr>
      <w:r w:rsidDel="00000000" w:rsidR="00000000" w:rsidRPr="00000000">
        <w:rPr>
          <w:b w:val="1"/>
          <w:sz w:val="20"/>
          <w:szCs w:val="20"/>
          <w:rtl w:val="0"/>
        </w:rPr>
        <w:t xml:space="preserve">The Rainy Day Fund</w:t>
      </w:r>
      <w:r w:rsidDel="00000000" w:rsidR="00000000" w:rsidRPr="00000000">
        <w:rPr>
          <w:sz w:val="20"/>
          <w:szCs w:val="20"/>
          <w:vertAlign w:val="superscript"/>
          <w:rtl w:val="0"/>
        </w:rPr>
        <w:t xml:space="preserve">[</w:t>
      </w:r>
      <w:hyperlink r:id="rId27">
        <w:r w:rsidDel="00000000" w:rsidR="00000000" w:rsidRPr="00000000">
          <w:rPr>
            <w:color w:val="1155cc"/>
            <w:sz w:val="20"/>
            <w:szCs w:val="20"/>
            <w:u w:val="single"/>
            <w:vertAlign w:val="superscript"/>
            <w:rtl w:val="0"/>
          </w:rPr>
          <w:t xml:space="preserve">G</w:t>
        </w:r>
      </w:hyperlink>
      <w:r w:rsidDel="00000000" w:rsidR="00000000" w:rsidRPr="00000000">
        <w:rPr>
          <w:sz w:val="20"/>
          <w:szCs w:val="20"/>
          <w:vertAlign w:val="superscript"/>
          <w:rtl w:val="0"/>
        </w:rPr>
        <w:t xml:space="preserve">]</w:t>
      </w:r>
      <w:r w:rsidDel="00000000" w:rsidR="00000000" w:rsidRPr="00000000">
        <w:rPr>
          <w:b w:val="1"/>
          <w:sz w:val="20"/>
          <w:szCs w:val="20"/>
          <w:rtl w:val="0"/>
        </w:rPr>
        <w:t xml:space="preserve">.</w:t>
      </w:r>
      <w:r w:rsidDel="00000000" w:rsidR="00000000" w:rsidRPr="00000000">
        <w:rPr>
          <w:rtl w:val="0"/>
        </w:rPr>
      </w:r>
    </w:p>
    <w:p w:rsidR="00000000" w:rsidDel="00000000" w:rsidP="00000000" w:rsidRDefault="00000000" w:rsidRPr="00000000" w14:paraId="00000065">
      <w:pPr>
        <w:ind w:left="720" w:firstLine="0"/>
        <w:jc w:val="left"/>
        <w:rPr>
          <w:sz w:val="20"/>
          <w:szCs w:val="20"/>
        </w:rPr>
      </w:pPr>
      <w:r w:rsidDel="00000000" w:rsidR="00000000" w:rsidRPr="00000000">
        <w:rPr>
          <w:sz w:val="20"/>
          <w:szCs w:val="20"/>
          <w:rtl w:val="0"/>
        </w:rPr>
        <w:t xml:space="preserve">The Budget Stabilization Fund, more commonly known as the Rainy Day Fund, is a special appropriated fund that exists for the sole purpose of balancing the budget during times of economic hardship. Deposits and withdrawals from the fund are generally determined by a statutory formula, although it is possible for a supermajority in both Legislative chambers to alter this amount. Its maximum balance is limited by statute to 10% of the year’s GF revenue, and its balance is roughly $1 billion</w:t>
      </w:r>
      <w:r w:rsidDel="00000000" w:rsidR="00000000" w:rsidRPr="00000000">
        <w:rPr>
          <w:sz w:val="20"/>
          <w:szCs w:val="20"/>
          <w:vertAlign w:val="superscript"/>
          <w:rtl w:val="0"/>
        </w:rPr>
        <w:t xml:space="preserve">[</w:t>
      </w:r>
      <w:hyperlink r:id="rId28">
        <w:r w:rsidDel="00000000" w:rsidR="00000000" w:rsidRPr="00000000">
          <w:rPr>
            <w:color w:val="1155cc"/>
            <w:sz w:val="20"/>
            <w:szCs w:val="20"/>
            <w:u w:val="single"/>
            <w:vertAlign w:val="superscript"/>
            <w:rtl w:val="0"/>
          </w:rPr>
          <w:t xml:space="preserve">B</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w:t>
      </w:r>
    </w:p>
    <w:p w:rsidR="00000000" w:rsidDel="00000000" w:rsidP="00000000" w:rsidRDefault="00000000" w:rsidRPr="00000000" w14:paraId="00000066">
      <w:pPr>
        <w:jc w:val="left"/>
        <w:rPr>
          <w:b w:val="1"/>
          <w:i w:val="1"/>
          <w:sz w:val="20"/>
          <w:szCs w:val="20"/>
        </w:rPr>
      </w:pPr>
      <w:r w:rsidDel="00000000" w:rsidR="00000000" w:rsidRPr="00000000">
        <w:rPr>
          <w:b w:val="1"/>
          <w:i w:val="1"/>
          <w:sz w:val="20"/>
          <w:szCs w:val="20"/>
          <w:rtl w:val="0"/>
        </w:rPr>
        <w:t xml:space="preserve">Non-appropriated Funds</w:t>
      </w:r>
    </w:p>
    <w:p w:rsidR="00000000" w:rsidDel="00000000" w:rsidP="00000000" w:rsidRDefault="00000000" w:rsidRPr="00000000" w14:paraId="00000067">
      <w:pPr>
        <w:jc w:val="left"/>
        <w:rPr>
          <w:sz w:val="20"/>
          <w:szCs w:val="20"/>
        </w:rPr>
      </w:pPr>
      <w:r w:rsidDel="00000000" w:rsidR="00000000" w:rsidRPr="00000000">
        <w:rPr>
          <w:sz w:val="20"/>
          <w:szCs w:val="20"/>
          <w:rtl w:val="0"/>
        </w:rPr>
        <w:t xml:space="preserve">Unlike appropriated funds, non-appropriated funds can be spent without the explicit approval of the Legislature</w:t>
      </w:r>
      <w:r w:rsidDel="00000000" w:rsidR="00000000" w:rsidRPr="00000000">
        <w:rPr>
          <w:sz w:val="20"/>
          <w:szCs w:val="20"/>
          <w:vertAlign w:val="superscript"/>
          <w:rtl w:val="0"/>
        </w:rPr>
        <w:t xml:space="preserve">[</w:t>
      </w:r>
      <w:hyperlink r:id="rId29">
        <w:r w:rsidDel="00000000" w:rsidR="00000000" w:rsidRPr="00000000">
          <w:rPr>
            <w:color w:val="1155cc"/>
            <w:sz w:val="20"/>
            <w:szCs w:val="20"/>
            <w:u w:val="single"/>
            <w:vertAlign w:val="superscript"/>
            <w:rtl w:val="0"/>
          </w:rPr>
          <w:t xml:space="preserve">L</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In FY22, $41.7 billion of non-appropriated funds were spent in the State of Arizona</w:t>
      </w:r>
      <w:r w:rsidDel="00000000" w:rsidR="00000000" w:rsidRPr="00000000">
        <w:rPr>
          <w:sz w:val="20"/>
          <w:szCs w:val="20"/>
          <w:vertAlign w:val="superscript"/>
          <w:rtl w:val="0"/>
        </w:rPr>
        <w:t xml:space="preserve">[</w:t>
      </w:r>
      <w:hyperlink r:id="rId30">
        <w:r w:rsidDel="00000000" w:rsidR="00000000" w:rsidRPr="00000000">
          <w:rPr>
            <w:color w:val="1155cc"/>
            <w:sz w:val="20"/>
            <w:szCs w:val="20"/>
            <w:u w:val="single"/>
            <w:vertAlign w:val="superscript"/>
            <w:rtl w:val="0"/>
          </w:rPr>
          <w:t xml:space="preserve">H</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The primary source of non-appropriated funds is the Federal government, but many non-appropriated funds are maintained by independent sources of revenue generated by subsidiaries of the State. This is at least partially the case with the State’s public Universities, which bring in a lot of private money. Data for Federal grants in FY22 proved difficult to find, but totaled approximately $32 billion in FY21 according to the GAO</w:t>
      </w:r>
      <w:r w:rsidDel="00000000" w:rsidR="00000000" w:rsidRPr="00000000">
        <w:rPr>
          <w:sz w:val="20"/>
          <w:szCs w:val="20"/>
          <w:vertAlign w:val="superscript"/>
          <w:rtl w:val="0"/>
        </w:rPr>
        <w:t xml:space="preserve">[</w:t>
      </w:r>
      <w:hyperlink r:id="rId31">
        <w:r w:rsidDel="00000000" w:rsidR="00000000" w:rsidRPr="00000000">
          <w:rPr>
            <w:color w:val="1155cc"/>
            <w:sz w:val="20"/>
            <w:szCs w:val="20"/>
            <w:u w:val="single"/>
            <w:vertAlign w:val="superscript"/>
            <w:rtl w:val="0"/>
          </w:rPr>
          <w:t xml:space="preserve">K</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The forecast for FY23 indicates a similar level of Federal expenditure</w:t>
      </w:r>
      <w:r w:rsidDel="00000000" w:rsidR="00000000" w:rsidRPr="00000000">
        <w:rPr>
          <w:sz w:val="20"/>
          <w:szCs w:val="20"/>
          <w:vertAlign w:val="superscript"/>
          <w:rtl w:val="0"/>
        </w:rPr>
        <w:t xml:space="preserve">[</w:t>
      </w:r>
      <w:hyperlink r:id="rId32">
        <w:r w:rsidDel="00000000" w:rsidR="00000000" w:rsidRPr="00000000">
          <w:rPr>
            <w:color w:val="1155cc"/>
            <w:sz w:val="20"/>
            <w:szCs w:val="20"/>
            <w:u w:val="single"/>
            <w:vertAlign w:val="superscript"/>
            <w:rtl w:val="0"/>
          </w:rPr>
          <w:t xml:space="preserve">J</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and as such it’s safe to assume that FY22 spending was also around $30 billion. By far, the largest sum of Federal money received by the State is provided as a proportional dollar-to-dollar match for State AHCCCS spending. The four largest non-appropriated expenditure categories are listed below:</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AHCCCS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Dept. of Econ.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K-12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Universities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0"/>
                <w:szCs w:val="20"/>
              </w:rPr>
            </w:pPr>
            <w:r w:rsidDel="00000000" w:rsidR="00000000" w:rsidRPr="00000000">
              <w:rPr>
                <w:rtl w:val="0"/>
              </w:rPr>
              <w:t xml:space="preserve">$17,420,684,400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rtl w:val="0"/>
              </w:rPr>
              <w:t xml:space="preserve">$6,448,199,600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0"/>
                <w:szCs w:val="20"/>
              </w:rPr>
            </w:pPr>
            <w:r w:rsidDel="00000000" w:rsidR="00000000" w:rsidRPr="00000000">
              <w:rPr>
                <w:rtl w:val="0"/>
              </w:rPr>
              <w:t xml:space="preserve">$5,655,552,200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rtl w:val="0"/>
              </w:rPr>
              <w:t xml:space="preserve">$4,050,178,900</w:t>
            </w:r>
            <w:r w:rsidDel="00000000" w:rsidR="00000000" w:rsidRPr="00000000">
              <w:rPr>
                <w:rtl w:val="0"/>
              </w:rPr>
            </w:r>
          </w:p>
        </w:tc>
      </w:tr>
    </w:tbl>
    <w:p w:rsidR="00000000" w:rsidDel="00000000" w:rsidP="00000000" w:rsidRDefault="00000000" w:rsidRPr="00000000" w14:paraId="00000070">
      <w:pPr>
        <w:jc w:val="left"/>
        <w:rPr>
          <w:sz w:val="20"/>
          <w:szCs w:val="20"/>
        </w:rPr>
      </w:pPr>
      <w:r w:rsidDel="00000000" w:rsidR="00000000" w:rsidRPr="00000000">
        <w:rPr>
          <w:rtl w:val="0"/>
        </w:rPr>
      </w:r>
    </w:p>
    <w:p w:rsidR="00000000" w:rsidDel="00000000" w:rsidP="00000000" w:rsidRDefault="00000000" w:rsidRPr="00000000" w14:paraId="00000071">
      <w:pPr>
        <w:jc w:val="left"/>
        <w:rPr>
          <w:sz w:val="20"/>
          <w:szCs w:val="20"/>
        </w:rPr>
      </w:pPr>
      <w:r w:rsidDel="00000000" w:rsidR="00000000" w:rsidRPr="00000000">
        <w:rPr>
          <w:b w:val="1"/>
          <w:sz w:val="20"/>
          <w:szCs w:val="20"/>
          <w:rtl w:val="0"/>
        </w:rPr>
        <w:t xml:space="preserve">*</w:t>
      </w:r>
      <w:r w:rsidDel="00000000" w:rsidR="00000000" w:rsidRPr="00000000">
        <w:rPr>
          <w:sz w:val="20"/>
          <w:szCs w:val="20"/>
          <w:rtl w:val="0"/>
        </w:rPr>
        <w:t xml:space="preserve">This document was created in July, immediately following the conclusion of FY23. Due to the limited availability of FY23 data, information from FY22 was used to provide examples when necessary.   </w:t>
      </w:r>
    </w:p>
    <w:p w:rsidR="00000000" w:rsidDel="00000000" w:rsidP="00000000" w:rsidRDefault="00000000" w:rsidRPr="00000000" w14:paraId="00000072">
      <w:pPr>
        <w:jc w:val="left"/>
        <w:rPr>
          <w:sz w:val="20"/>
          <w:szCs w:val="20"/>
        </w:rPr>
      </w:pPr>
      <w:r w:rsidDel="00000000" w:rsidR="00000000" w:rsidRPr="00000000">
        <w:rPr>
          <w:rtl w:val="0"/>
        </w:rPr>
      </w:r>
    </w:p>
    <w:p w:rsidR="00000000" w:rsidDel="00000000" w:rsidP="00000000" w:rsidRDefault="00000000" w:rsidRPr="00000000" w14:paraId="00000073">
      <w:pPr>
        <w:jc w:val="left"/>
        <w:rPr>
          <w:sz w:val="20"/>
          <w:szCs w:val="20"/>
        </w:rPr>
      </w:pPr>
      <w:r w:rsidDel="00000000" w:rsidR="00000000" w:rsidRPr="00000000">
        <w:rPr>
          <w:rtl w:val="0"/>
        </w:rPr>
      </w:r>
    </w:p>
    <w:p w:rsidR="00000000" w:rsidDel="00000000" w:rsidP="00000000" w:rsidRDefault="00000000" w:rsidRPr="00000000" w14:paraId="00000074">
      <w:pPr>
        <w:jc w:val="left"/>
        <w:rPr>
          <w:sz w:val="20"/>
          <w:szCs w:val="20"/>
        </w:rPr>
      </w:pPr>
      <w:r w:rsidDel="00000000" w:rsidR="00000000" w:rsidRPr="00000000">
        <w:rPr>
          <w:rtl w:val="0"/>
        </w:rPr>
      </w:r>
    </w:p>
    <w:p w:rsidR="00000000" w:rsidDel="00000000" w:rsidP="00000000" w:rsidRDefault="00000000" w:rsidRPr="00000000" w14:paraId="00000075">
      <w:pPr>
        <w:jc w:val="left"/>
        <w:rPr>
          <w:sz w:val="20"/>
          <w:szCs w:val="20"/>
        </w:rPr>
      </w:pPr>
      <w:r w:rsidDel="00000000" w:rsidR="00000000" w:rsidRPr="00000000">
        <w:rPr>
          <w:rtl w:val="0"/>
        </w:rPr>
      </w:r>
    </w:p>
    <w:p w:rsidR="00000000" w:rsidDel="00000000" w:rsidP="00000000" w:rsidRDefault="00000000" w:rsidRPr="00000000" w14:paraId="00000076">
      <w:pPr>
        <w:jc w:val="left"/>
        <w:rPr>
          <w:sz w:val="20"/>
          <w:szCs w:val="20"/>
        </w:rPr>
      </w:pPr>
      <w:r w:rsidDel="00000000" w:rsidR="00000000" w:rsidRPr="00000000">
        <w:rPr>
          <w:rtl w:val="0"/>
        </w:rPr>
      </w:r>
    </w:p>
    <w:p w:rsidR="00000000" w:rsidDel="00000000" w:rsidP="00000000" w:rsidRDefault="00000000" w:rsidRPr="00000000" w14:paraId="00000077">
      <w:pPr>
        <w:jc w:val="left"/>
        <w:rPr>
          <w:sz w:val="20"/>
          <w:szCs w:val="20"/>
        </w:rPr>
      </w:pPr>
      <w:r w:rsidDel="00000000" w:rsidR="00000000" w:rsidRPr="00000000">
        <w:rPr>
          <w:rtl w:val="0"/>
        </w:rPr>
      </w:r>
    </w:p>
    <w:p w:rsidR="00000000" w:rsidDel="00000000" w:rsidP="00000000" w:rsidRDefault="00000000" w:rsidRPr="00000000" w14:paraId="00000078">
      <w:pPr>
        <w:jc w:val="left"/>
        <w:rPr>
          <w:sz w:val="20"/>
          <w:szCs w:val="20"/>
        </w:rPr>
      </w:pPr>
      <w:r w:rsidDel="00000000" w:rsidR="00000000" w:rsidRPr="00000000">
        <w:rPr>
          <w:rtl w:val="0"/>
        </w:rPr>
      </w:r>
    </w:p>
    <w:p w:rsidR="00000000" w:rsidDel="00000000" w:rsidP="00000000" w:rsidRDefault="00000000" w:rsidRPr="00000000" w14:paraId="00000079">
      <w:pPr>
        <w:jc w:val="left"/>
        <w:rPr>
          <w:sz w:val="20"/>
          <w:szCs w:val="20"/>
        </w:rPr>
      </w:pPr>
      <w:r w:rsidDel="00000000" w:rsidR="00000000" w:rsidRPr="00000000">
        <w:rPr>
          <w:rtl w:val="0"/>
        </w:rPr>
      </w:r>
    </w:p>
    <w:p w:rsidR="00000000" w:rsidDel="00000000" w:rsidP="00000000" w:rsidRDefault="00000000" w:rsidRPr="00000000" w14:paraId="0000007A">
      <w:pPr>
        <w:jc w:val="left"/>
        <w:rPr>
          <w:sz w:val="20"/>
          <w:szCs w:val="20"/>
        </w:rPr>
      </w:pPr>
      <w:r w:rsidDel="00000000" w:rsidR="00000000" w:rsidRPr="00000000">
        <w:rPr>
          <w:rtl w:val="0"/>
        </w:rPr>
      </w:r>
    </w:p>
    <w:p w:rsidR="00000000" w:rsidDel="00000000" w:rsidP="00000000" w:rsidRDefault="00000000" w:rsidRPr="00000000" w14:paraId="0000007B">
      <w:pPr>
        <w:jc w:val="left"/>
        <w:rPr>
          <w:sz w:val="20"/>
          <w:szCs w:val="20"/>
        </w:rPr>
      </w:pPr>
      <w:r w:rsidDel="00000000" w:rsidR="00000000" w:rsidRPr="00000000">
        <w:rPr>
          <w:rtl w:val="0"/>
        </w:rPr>
      </w:r>
    </w:p>
    <w:p w:rsidR="00000000" w:rsidDel="00000000" w:rsidP="00000000" w:rsidRDefault="00000000" w:rsidRPr="00000000" w14:paraId="0000007C">
      <w:pPr>
        <w:jc w:val="left"/>
        <w:rPr>
          <w:sz w:val="20"/>
          <w:szCs w:val="20"/>
        </w:rPr>
      </w:pPr>
      <w:r w:rsidDel="00000000" w:rsidR="00000000" w:rsidRPr="00000000">
        <w:rPr>
          <w:rtl w:val="0"/>
        </w:rPr>
      </w:r>
    </w:p>
    <w:p w:rsidR="00000000" w:rsidDel="00000000" w:rsidP="00000000" w:rsidRDefault="00000000" w:rsidRPr="00000000" w14:paraId="0000007D">
      <w:pPr>
        <w:jc w:val="left"/>
        <w:rPr>
          <w:sz w:val="20"/>
          <w:szCs w:val="20"/>
        </w:rPr>
      </w:pPr>
      <w:r w:rsidDel="00000000" w:rsidR="00000000" w:rsidRPr="00000000">
        <w:rPr>
          <w:rtl w:val="0"/>
        </w:rPr>
      </w:r>
    </w:p>
    <w:p w:rsidR="00000000" w:rsidDel="00000000" w:rsidP="00000000" w:rsidRDefault="00000000" w:rsidRPr="00000000" w14:paraId="0000007E">
      <w:pPr>
        <w:jc w:val="left"/>
        <w:rPr>
          <w:sz w:val="20"/>
          <w:szCs w:val="20"/>
        </w:rPr>
      </w:pPr>
      <w:r w:rsidDel="00000000" w:rsidR="00000000" w:rsidRPr="00000000">
        <w:rPr>
          <w:rtl w:val="0"/>
        </w:rPr>
      </w:r>
    </w:p>
    <w:p w:rsidR="00000000" w:rsidDel="00000000" w:rsidP="00000000" w:rsidRDefault="00000000" w:rsidRPr="00000000" w14:paraId="0000007F">
      <w:pPr>
        <w:jc w:val="left"/>
        <w:rPr>
          <w:sz w:val="20"/>
          <w:szCs w:val="20"/>
        </w:rPr>
      </w:pPr>
      <w:r w:rsidDel="00000000" w:rsidR="00000000" w:rsidRPr="00000000">
        <w:rPr>
          <w:rtl w:val="0"/>
        </w:rPr>
      </w:r>
    </w:p>
    <w:p w:rsidR="00000000" w:rsidDel="00000000" w:rsidP="00000000" w:rsidRDefault="00000000" w:rsidRPr="00000000" w14:paraId="00000080">
      <w:pPr>
        <w:jc w:val="left"/>
        <w:rPr>
          <w:sz w:val="20"/>
          <w:szCs w:val="20"/>
        </w:rPr>
      </w:pPr>
      <w:r w:rsidDel="00000000" w:rsidR="00000000" w:rsidRPr="00000000">
        <w:rPr>
          <w:rtl w:val="0"/>
        </w:rPr>
      </w:r>
    </w:p>
    <w:p w:rsidR="00000000" w:rsidDel="00000000" w:rsidP="00000000" w:rsidRDefault="00000000" w:rsidRPr="00000000" w14:paraId="00000081">
      <w:pPr>
        <w:jc w:val="left"/>
        <w:rPr>
          <w:sz w:val="20"/>
          <w:szCs w:val="20"/>
        </w:rPr>
      </w:pPr>
      <w:r w:rsidDel="00000000" w:rsidR="00000000" w:rsidRPr="00000000">
        <w:rPr>
          <w:rtl w:val="0"/>
        </w:rPr>
      </w:r>
    </w:p>
    <w:p w:rsidR="00000000" w:rsidDel="00000000" w:rsidP="00000000" w:rsidRDefault="00000000" w:rsidRPr="00000000" w14:paraId="00000082">
      <w:pPr>
        <w:jc w:val="left"/>
        <w:rPr>
          <w:sz w:val="20"/>
          <w:szCs w:val="20"/>
        </w:rPr>
      </w:pPr>
      <w:r w:rsidDel="00000000" w:rsidR="00000000" w:rsidRPr="00000000">
        <w:rPr>
          <w:rtl w:val="0"/>
        </w:rPr>
      </w:r>
    </w:p>
    <w:p w:rsidR="00000000" w:rsidDel="00000000" w:rsidP="00000000" w:rsidRDefault="00000000" w:rsidRPr="00000000" w14:paraId="00000083">
      <w:pPr>
        <w:jc w:val="left"/>
        <w:rPr>
          <w:sz w:val="20"/>
          <w:szCs w:val="20"/>
        </w:rPr>
      </w:pPr>
      <w:r w:rsidDel="00000000" w:rsidR="00000000" w:rsidRPr="00000000">
        <w:rPr>
          <w:rtl w:val="0"/>
        </w:rPr>
      </w:r>
    </w:p>
    <w:p w:rsidR="00000000" w:rsidDel="00000000" w:rsidP="00000000" w:rsidRDefault="00000000" w:rsidRPr="00000000" w14:paraId="00000084">
      <w:pPr>
        <w:jc w:val="left"/>
        <w:rPr>
          <w:sz w:val="20"/>
          <w:szCs w:val="20"/>
        </w:rPr>
      </w:pPr>
      <w:r w:rsidDel="00000000" w:rsidR="00000000" w:rsidRPr="00000000">
        <w:rPr>
          <w:rtl w:val="0"/>
        </w:rPr>
      </w:r>
    </w:p>
    <w:p w:rsidR="00000000" w:rsidDel="00000000" w:rsidP="00000000" w:rsidRDefault="00000000" w:rsidRPr="00000000" w14:paraId="00000085">
      <w:pPr>
        <w:jc w:val="left"/>
        <w:rPr>
          <w:sz w:val="20"/>
          <w:szCs w:val="20"/>
        </w:rPr>
      </w:pPr>
      <w:r w:rsidDel="00000000" w:rsidR="00000000" w:rsidRPr="00000000">
        <w:rPr>
          <w:rtl w:val="0"/>
        </w:rPr>
      </w:r>
    </w:p>
    <w:p w:rsidR="00000000" w:rsidDel="00000000" w:rsidP="00000000" w:rsidRDefault="00000000" w:rsidRPr="00000000" w14:paraId="00000086">
      <w:pPr>
        <w:jc w:val="left"/>
        <w:rPr>
          <w:sz w:val="20"/>
          <w:szCs w:val="20"/>
        </w:rPr>
      </w:pPr>
      <w:r w:rsidDel="00000000" w:rsidR="00000000" w:rsidRPr="00000000">
        <w:rPr>
          <w:rtl w:val="0"/>
        </w:rPr>
      </w:r>
    </w:p>
    <w:p w:rsidR="00000000" w:rsidDel="00000000" w:rsidP="00000000" w:rsidRDefault="00000000" w:rsidRPr="00000000" w14:paraId="00000087">
      <w:pPr>
        <w:jc w:val="left"/>
        <w:rPr>
          <w:sz w:val="20"/>
          <w:szCs w:val="20"/>
        </w:rPr>
      </w:pPr>
      <w:r w:rsidDel="00000000" w:rsidR="00000000" w:rsidRPr="00000000">
        <w:rPr>
          <w:rtl w:val="0"/>
        </w:rPr>
      </w:r>
    </w:p>
    <w:p w:rsidR="00000000" w:rsidDel="00000000" w:rsidP="00000000" w:rsidRDefault="00000000" w:rsidRPr="00000000" w14:paraId="00000088">
      <w:pPr>
        <w:jc w:val="left"/>
        <w:rPr>
          <w:sz w:val="20"/>
          <w:szCs w:val="20"/>
        </w:rPr>
      </w:pPr>
      <w:r w:rsidDel="00000000" w:rsidR="00000000" w:rsidRPr="00000000">
        <w:rPr>
          <w:rtl w:val="0"/>
        </w:rPr>
      </w:r>
    </w:p>
    <w:p w:rsidR="00000000" w:rsidDel="00000000" w:rsidP="00000000" w:rsidRDefault="00000000" w:rsidRPr="00000000" w14:paraId="00000089">
      <w:pPr>
        <w:jc w:val="left"/>
        <w:rPr>
          <w:sz w:val="20"/>
          <w:szCs w:val="20"/>
        </w:rPr>
      </w:pPr>
      <w:r w:rsidDel="00000000" w:rsidR="00000000" w:rsidRPr="00000000">
        <w:rPr>
          <w:rtl w:val="0"/>
        </w:rPr>
      </w:r>
    </w:p>
    <w:p w:rsidR="00000000" w:rsidDel="00000000" w:rsidP="00000000" w:rsidRDefault="00000000" w:rsidRPr="00000000" w14:paraId="0000008A">
      <w:pPr>
        <w:jc w:val="left"/>
        <w:rPr>
          <w:sz w:val="20"/>
          <w:szCs w:val="20"/>
        </w:rPr>
      </w:pPr>
      <w:r w:rsidDel="00000000" w:rsidR="00000000" w:rsidRPr="00000000">
        <w:rPr>
          <w:rtl w:val="0"/>
        </w:rPr>
      </w:r>
    </w:p>
    <w:p w:rsidR="00000000" w:rsidDel="00000000" w:rsidP="00000000" w:rsidRDefault="00000000" w:rsidRPr="00000000" w14:paraId="0000008B">
      <w:pPr>
        <w:jc w:val="left"/>
        <w:rPr>
          <w:b w:val="1"/>
          <w:sz w:val="20"/>
          <w:szCs w:val="20"/>
          <w:u w:val="single"/>
        </w:rPr>
      </w:pPr>
      <w:r w:rsidDel="00000000" w:rsidR="00000000" w:rsidRPr="00000000">
        <w:rPr>
          <w:b w:val="1"/>
          <w:sz w:val="20"/>
          <w:szCs w:val="20"/>
          <w:u w:val="single"/>
          <w:rtl w:val="0"/>
        </w:rPr>
        <w:t xml:space="preserve">RESOURCES</w:t>
      </w:r>
    </w:p>
    <w:p w:rsidR="00000000" w:rsidDel="00000000" w:rsidP="00000000" w:rsidRDefault="00000000" w:rsidRPr="00000000" w14:paraId="0000008C">
      <w:pPr>
        <w:jc w:val="left"/>
        <w:rPr>
          <w:i w:val="1"/>
          <w:sz w:val="20"/>
          <w:szCs w:val="20"/>
        </w:rPr>
      </w:pPr>
      <w:hyperlink r:id="rId33">
        <w:r w:rsidDel="00000000" w:rsidR="00000000" w:rsidRPr="00000000">
          <w:rPr>
            <w:i w:val="1"/>
            <w:sz w:val="20"/>
            <w:szCs w:val="20"/>
            <w:u w:val="single"/>
            <w:rtl w:val="0"/>
          </w:rPr>
          <w:t xml:space="preserve">The Governor’s Office of Strategic Planning and Budgeting</w:t>
        </w:r>
      </w:hyperlink>
      <w:r w:rsidDel="00000000" w:rsidR="00000000" w:rsidRPr="00000000">
        <w:rPr>
          <w:rtl w:val="0"/>
        </w:rPr>
      </w:r>
    </w:p>
    <w:p w:rsidR="00000000" w:rsidDel="00000000" w:rsidP="00000000" w:rsidRDefault="00000000" w:rsidRPr="00000000" w14:paraId="0000008D">
      <w:pPr>
        <w:jc w:val="left"/>
        <w:rPr>
          <w:i w:val="1"/>
          <w:sz w:val="20"/>
          <w:szCs w:val="20"/>
        </w:rPr>
      </w:pPr>
      <w:hyperlink r:id="rId34">
        <w:r w:rsidDel="00000000" w:rsidR="00000000" w:rsidRPr="00000000">
          <w:rPr>
            <w:i w:val="1"/>
            <w:sz w:val="20"/>
            <w:szCs w:val="20"/>
            <w:u w:val="single"/>
            <w:rtl w:val="0"/>
          </w:rPr>
          <w:t xml:space="preserve">The Joint Legislative Budget Committee</w:t>
        </w:r>
      </w:hyperlink>
      <w:r w:rsidDel="00000000" w:rsidR="00000000" w:rsidRPr="00000000">
        <w:rPr>
          <w:rtl w:val="0"/>
        </w:rPr>
      </w:r>
    </w:p>
    <w:p w:rsidR="00000000" w:rsidDel="00000000" w:rsidP="00000000" w:rsidRDefault="00000000" w:rsidRPr="00000000" w14:paraId="0000008E">
      <w:pPr>
        <w:jc w:val="left"/>
        <w:rPr>
          <w:i w:val="1"/>
          <w:sz w:val="20"/>
          <w:szCs w:val="20"/>
        </w:rPr>
      </w:pPr>
      <w:hyperlink r:id="rId35">
        <w:r w:rsidDel="00000000" w:rsidR="00000000" w:rsidRPr="00000000">
          <w:rPr>
            <w:i w:val="1"/>
            <w:sz w:val="20"/>
            <w:szCs w:val="20"/>
            <w:u w:val="single"/>
            <w:rtl w:val="0"/>
          </w:rPr>
          <w:t xml:space="preserve">The General Accounting Office of Arizona</w:t>
        </w:r>
      </w:hyperlink>
      <w:r w:rsidDel="00000000" w:rsidR="00000000" w:rsidRPr="00000000">
        <w:rPr>
          <w:rtl w:val="0"/>
        </w:rPr>
      </w:r>
    </w:p>
    <w:p w:rsidR="00000000" w:rsidDel="00000000" w:rsidP="00000000" w:rsidRDefault="00000000" w:rsidRPr="00000000" w14:paraId="0000008F">
      <w:pPr>
        <w:jc w:val="left"/>
        <w:rPr>
          <w:i w:val="1"/>
          <w:sz w:val="20"/>
          <w:szCs w:val="20"/>
        </w:rPr>
      </w:pPr>
      <w:hyperlink r:id="rId36">
        <w:r w:rsidDel="00000000" w:rsidR="00000000" w:rsidRPr="00000000">
          <w:rPr>
            <w:i w:val="1"/>
            <w:sz w:val="20"/>
            <w:szCs w:val="20"/>
            <w:u w:val="single"/>
            <w:rtl w:val="0"/>
          </w:rPr>
          <w:t xml:space="preserve">The Arizona Department of Revenue</w:t>
        </w:r>
      </w:hyperlink>
      <w:r w:rsidDel="00000000" w:rsidR="00000000" w:rsidRPr="00000000">
        <w:rPr>
          <w:rtl w:val="0"/>
        </w:rPr>
      </w:r>
    </w:p>
    <w:p w:rsidR="00000000" w:rsidDel="00000000" w:rsidP="00000000" w:rsidRDefault="00000000" w:rsidRPr="00000000" w14:paraId="00000090">
      <w:pPr>
        <w:jc w:val="left"/>
        <w:rPr>
          <w:i w:val="1"/>
          <w:sz w:val="20"/>
          <w:szCs w:val="20"/>
        </w:rPr>
      </w:pPr>
      <w:hyperlink r:id="rId37">
        <w:r w:rsidDel="00000000" w:rsidR="00000000" w:rsidRPr="00000000">
          <w:rPr>
            <w:i w:val="1"/>
            <w:sz w:val="20"/>
            <w:szCs w:val="20"/>
            <w:u w:val="single"/>
            <w:rtl w:val="0"/>
          </w:rPr>
          <w:t xml:space="preserve">Arizona OpenBooks</w:t>
        </w:r>
      </w:hyperlink>
      <w:r w:rsidDel="00000000" w:rsidR="00000000" w:rsidRPr="00000000">
        <w:rPr>
          <w:rtl w:val="0"/>
        </w:rPr>
      </w:r>
    </w:p>
    <w:p w:rsidR="00000000" w:rsidDel="00000000" w:rsidP="00000000" w:rsidRDefault="00000000" w:rsidRPr="00000000" w14:paraId="00000091">
      <w:pPr>
        <w:jc w:val="left"/>
        <w:rPr>
          <w:b w:val="1"/>
          <w:sz w:val="24"/>
          <w:szCs w:val="24"/>
        </w:rPr>
      </w:pPr>
      <w:r w:rsidDel="00000000" w:rsidR="00000000" w:rsidRPr="00000000">
        <w:rPr>
          <w:rtl w:val="0"/>
        </w:rPr>
      </w:r>
    </w:p>
    <w:p w:rsidR="00000000" w:rsidDel="00000000" w:rsidP="00000000" w:rsidRDefault="00000000" w:rsidRPr="00000000" w14:paraId="00000092">
      <w:pPr>
        <w:jc w:val="left"/>
        <w:rPr>
          <w:b w:val="1"/>
          <w:sz w:val="24"/>
          <w:szCs w:val="24"/>
        </w:rPr>
      </w:pPr>
      <w:r w:rsidDel="00000000" w:rsidR="00000000" w:rsidRPr="00000000">
        <w:rPr>
          <w:rtl w:val="0"/>
        </w:rPr>
      </w:r>
    </w:p>
    <w:p w:rsidR="00000000" w:rsidDel="00000000" w:rsidP="00000000" w:rsidRDefault="00000000" w:rsidRPr="00000000" w14:paraId="00000093">
      <w:pPr>
        <w:jc w:val="left"/>
        <w:rPr>
          <w:b w:val="1"/>
          <w:sz w:val="20"/>
          <w:szCs w:val="20"/>
          <w:u w:val="single"/>
        </w:rPr>
      </w:pPr>
      <w:r w:rsidDel="00000000" w:rsidR="00000000" w:rsidRPr="00000000">
        <w:rPr>
          <w:b w:val="1"/>
          <w:sz w:val="20"/>
          <w:szCs w:val="20"/>
          <w:u w:val="single"/>
          <w:rtl w:val="0"/>
        </w:rPr>
        <w:t xml:space="preserve">REFERENCES</w:t>
      </w:r>
    </w:p>
    <w:p w:rsidR="00000000" w:rsidDel="00000000" w:rsidP="00000000" w:rsidRDefault="00000000" w:rsidRPr="00000000" w14:paraId="00000094">
      <w:pPr>
        <w:rPr>
          <w:i w:val="1"/>
          <w:sz w:val="20"/>
          <w:szCs w:val="20"/>
          <w:u w:val="single"/>
        </w:rPr>
      </w:pPr>
      <w:r w:rsidDel="00000000" w:rsidR="00000000" w:rsidRPr="00000000">
        <w:rPr>
          <w:i w:val="1"/>
          <w:sz w:val="20"/>
          <w:szCs w:val="20"/>
          <w:u w:val="single"/>
          <w:rtl w:val="0"/>
        </w:rPr>
        <w:t xml:space="preserve">ADOR FY22 Annual Report [</w:t>
      </w:r>
      <w:hyperlink r:id="rId38">
        <w:r w:rsidDel="00000000" w:rsidR="00000000" w:rsidRPr="00000000">
          <w:rPr>
            <w:i w:val="1"/>
            <w:color w:val="1155cc"/>
            <w:sz w:val="20"/>
            <w:szCs w:val="20"/>
            <w:u w:val="single"/>
            <w:rtl w:val="0"/>
          </w:rPr>
          <w:t xml:space="preserve">A</w:t>
        </w:r>
      </w:hyperlink>
      <w:r w:rsidDel="00000000" w:rsidR="00000000" w:rsidRPr="00000000">
        <w:rPr>
          <w:i w:val="1"/>
          <w:sz w:val="20"/>
          <w:szCs w:val="20"/>
          <w:u w:val="single"/>
          <w:rtl w:val="0"/>
        </w:rPr>
        <w:t xml:space="preserve">]</w:t>
      </w:r>
    </w:p>
    <w:p w:rsidR="00000000" w:rsidDel="00000000" w:rsidP="00000000" w:rsidRDefault="00000000" w:rsidRPr="00000000" w14:paraId="00000095">
      <w:pPr>
        <w:rPr>
          <w:i w:val="1"/>
          <w:sz w:val="20"/>
          <w:szCs w:val="20"/>
          <w:u w:val="single"/>
        </w:rPr>
      </w:pPr>
      <w:r w:rsidDel="00000000" w:rsidR="00000000" w:rsidRPr="00000000">
        <w:rPr>
          <w:i w:val="1"/>
          <w:sz w:val="20"/>
          <w:szCs w:val="20"/>
          <w:u w:val="single"/>
          <w:rtl w:val="0"/>
        </w:rPr>
        <w:t xml:space="preserve">GAO FY22 Annual Financial Report [</w:t>
      </w:r>
      <w:hyperlink r:id="rId39">
        <w:r w:rsidDel="00000000" w:rsidR="00000000" w:rsidRPr="00000000">
          <w:rPr>
            <w:i w:val="1"/>
            <w:color w:val="1155cc"/>
            <w:sz w:val="20"/>
            <w:szCs w:val="20"/>
            <w:u w:val="single"/>
            <w:rtl w:val="0"/>
          </w:rPr>
          <w:t xml:space="preserve">B</w:t>
        </w:r>
      </w:hyperlink>
      <w:r w:rsidDel="00000000" w:rsidR="00000000" w:rsidRPr="00000000">
        <w:rPr>
          <w:i w:val="1"/>
          <w:sz w:val="20"/>
          <w:szCs w:val="20"/>
          <w:u w:val="single"/>
          <w:rtl w:val="0"/>
        </w:rPr>
        <w:t xml:space="preserve">]</w:t>
      </w:r>
    </w:p>
    <w:p w:rsidR="00000000" w:rsidDel="00000000" w:rsidP="00000000" w:rsidRDefault="00000000" w:rsidRPr="00000000" w14:paraId="00000096">
      <w:pPr>
        <w:rPr>
          <w:i w:val="1"/>
          <w:sz w:val="20"/>
          <w:szCs w:val="20"/>
          <w:u w:val="single"/>
        </w:rPr>
      </w:pPr>
      <w:r w:rsidDel="00000000" w:rsidR="00000000" w:rsidRPr="00000000">
        <w:rPr>
          <w:i w:val="1"/>
          <w:sz w:val="20"/>
          <w:szCs w:val="20"/>
          <w:u w:val="single"/>
          <w:rtl w:val="0"/>
        </w:rPr>
        <w:t xml:space="preserve">SUMMARY OF APPROPRIATED FUNDS BY AGENCY FY22/FY23 [</w:t>
      </w:r>
      <w:hyperlink r:id="rId40">
        <w:r w:rsidDel="00000000" w:rsidR="00000000" w:rsidRPr="00000000">
          <w:rPr>
            <w:i w:val="1"/>
            <w:color w:val="1155cc"/>
            <w:sz w:val="20"/>
            <w:szCs w:val="20"/>
            <w:u w:val="single"/>
            <w:rtl w:val="0"/>
          </w:rPr>
          <w:t xml:space="preserve">C</w:t>
        </w:r>
      </w:hyperlink>
      <w:r w:rsidDel="00000000" w:rsidR="00000000" w:rsidRPr="00000000">
        <w:rPr>
          <w:i w:val="1"/>
          <w:sz w:val="20"/>
          <w:szCs w:val="20"/>
          <w:u w:val="single"/>
          <w:rtl w:val="0"/>
        </w:rPr>
        <w:t xml:space="preserve">]</w:t>
      </w:r>
    </w:p>
    <w:p w:rsidR="00000000" w:rsidDel="00000000" w:rsidP="00000000" w:rsidRDefault="00000000" w:rsidRPr="00000000" w14:paraId="00000097">
      <w:pPr>
        <w:rPr>
          <w:i w:val="1"/>
          <w:sz w:val="20"/>
          <w:szCs w:val="20"/>
          <w:u w:val="single"/>
        </w:rPr>
      </w:pPr>
      <w:r w:rsidDel="00000000" w:rsidR="00000000" w:rsidRPr="00000000">
        <w:rPr>
          <w:i w:val="1"/>
          <w:sz w:val="20"/>
          <w:szCs w:val="20"/>
          <w:u w:val="single"/>
          <w:rtl w:val="0"/>
        </w:rPr>
        <w:t xml:space="preserve">JLBC Tax Handbook [</w:t>
      </w:r>
      <w:hyperlink r:id="rId41">
        <w:r w:rsidDel="00000000" w:rsidR="00000000" w:rsidRPr="00000000">
          <w:rPr>
            <w:i w:val="1"/>
            <w:color w:val="1155cc"/>
            <w:sz w:val="20"/>
            <w:szCs w:val="20"/>
            <w:u w:val="single"/>
            <w:rtl w:val="0"/>
          </w:rPr>
          <w:t xml:space="preserve">D</w:t>
        </w:r>
      </w:hyperlink>
      <w:r w:rsidDel="00000000" w:rsidR="00000000" w:rsidRPr="00000000">
        <w:rPr>
          <w:i w:val="1"/>
          <w:sz w:val="20"/>
          <w:szCs w:val="20"/>
          <w:u w:val="single"/>
          <w:rtl w:val="0"/>
        </w:rPr>
        <w:t xml:space="preserve">]</w:t>
      </w:r>
    </w:p>
    <w:p w:rsidR="00000000" w:rsidDel="00000000" w:rsidP="00000000" w:rsidRDefault="00000000" w:rsidRPr="00000000" w14:paraId="00000098">
      <w:pPr>
        <w:rPr>
          <w:i w:val="1"/>
          <w:sz w:val="20"/>
          <w:szCs w:val="20"/>
          <w:u w:val="single"/>
        </w:rPr>
      </w:pPr>
      <w:r w:rsidDel="00000000" w:rsidR="00000000" w:rsidRPr="00000000">
        <w:rPr>
          <w:i w:val="1"/>
          <w:sz w:val="20"/>
          <w:szCs w:val="20"/>
          <w:u w:val="single"/>
          <w:rtl w:val="0"/>
        </w:rPr>
        <w:t xml:space="preserve">JLBC Other Fund Historical Expenditures [</w:t>
      </w:r>
      <w:hyperlink r:id="rId42">
        <w:r w:rsidDel="00000000" w:rsidR="00000000" w:rsidRPr="00000000">
          <w:rPr>
            <w:i w:val="1"/>
            <w:color w:val="1155cc"/>
            <w:sz w:val="20"/>
            <w:szCs w:val="20"/>
            <w:u w:val="single"/>
            <w:rtl w:val="0"/>
          </w:rPr>
          <w:t xml:space="preserve">F</w:t>
        </w:r>
      </w:hyperlink>
      <w:r w:rsidDel="00000000" w:rsidR="00000000" w:rsidRPr="00000000">
        <w:rPr>
          <w:i w:val="1"/>
          <w:sz w:val="20"/>
          <w:szCs w:val="20"/>
          <w:u w:val="single"/>
          <w:rtl w:val="0"/>
        </w:rPr>
        <w:t xml:space="preserve">]</w:t>
      </w:r>
    </w:p>
    <w:p w:rsidR="00000000" w:rsidDel="00000000" w:rsidP="00000000" w:rsidRDefault="00000000" w:rsidRPr="00000000" w14:paraId="00000099">
      <w:pPr>
        <w:rPr>
          <w:i w:val="1"/>
          <w:sz w:val="20"/>
          <w:szCs w:val="20"/>
          <w:u w:val="single"/>
        </w:rPr>
      </w:pPr>
      <w:r w:rsidDel="00000000" w:rsidR="00000000" w:rsidRPr="00000000">
        <w:rPr>
          <w:i w:val="1"/>
          <w:sz w:val="20"/>
          <w:szCs w:val="20"/>
          <w:u w:val="single"/>
          <w:rtl w:val="0"/>
        </w:rPr>
        <w:t xml:space="preserve">JLBC Budget Stabilization Fund Overview [</w:t>
      </w:r>
      <w:hyperlink r:id="rId43">
        <w:r w:rsidDel="00000000" w:rsidR="00000000" w:rsidRPr="00000000">
          <w:rPr>
            <w:i w:val="1"/>
            <w:color w:val="1155cc"/>
            <w:sz w:val="20"/>
            <w:szCs w:val="20"/>
            <w:u w:val="single"/>
            <w:rtl w:val="0"/>
          </w:rPr>
          <w:t xml:space="preserve">G</w:t>
        </w:r>
      </w:hyperlink>
      <w:r w:rsidDel="00000000" w:rsidR="00000000" w:rsidRPr="00000000">
        <w:rPr>
          <w:i w:val="1"/>
          <w:sz w:val="20"/>
          <w:szCs w:val="20"/>
          <w:u w:val="single"/>
          <w:rtl w:val="0"/>
        </w:rPr>
        <w:t xml:space="preserve">]</w:t>
      </w:r>
    </w:p>
    <w:p w:rsidR="00000000" w:rsidDel="00000000" w:rsidP="00000000" w:rsidRDefault="00000000" w:rsidRPr="00000000" w14:paraId="0000009A">
      <w:pPr>
        <w:rPr>
          <w:i w:val="1"/>
          <w:sz w:val="20"/>
          <w:szCs w:val="20"/>
          <w:u w:val="single"/>
        </w:rPr>
      </w:pPr>
      <w:r w:rsidDel="00000000" w:rsidR="00000000" w:rsidRPr="00000000">
        <w:rPr>
          <w:i w:val="1"/>
          <w:sz w:val="20"/>
          <w:szCs w:val="20"/>
          <w:u w:val="single"/>
          <w:rtl w:val="0"/>
        </w:rPr>
        <w:t xml:space="preserve">JLBC Total Expenditure Authority (Appr. &amp; Non-appr.) [</w:t>
      </w:r>
      <w:hyperlink r:id="rId44">
        <w:r w:rsidDel="00000000" w:rsidR="00000000" w:rsidRPr="00000000">
          <w:rPr>
            <w:i w:val="1"/>
            <w:color w:val="1155cc"/>
            <w:sz w:val="20"/>
            <w:szCs w:val="20"/>
            <w:u w:val="single"/>
            <w:rtl w:val="0"/>
          </w:rPr>
          <w:t xml:space="preserve">H</w:t>
        </w:r>
      </w:hyperlink>
      <w:r w:rsidDel="00000000" w:rsidR="00000000" w:rsidRPr="00000000">
        <w:rPr>
          <w:i w:val="1"/>
          <w:sz w:val="20"/>
          <w:szCs w:val="20"/>
          <w:u w:val="single"/>
          <w:rtl w:val="0"/>
        </w:rPr>
        <w:t xml:space="preserve">]</w:t>
      </w:r>
    </w:p>
    <w:p w:rsidR="00000000" w:rsidDel="00000000" w:rsidP="00000000" w:rsidRDefault="00000000" w:rsidRPr="00000000" w14:paraId="0000009B">
      <w:pPr>
        <w:rPr>
          <w:i w:val="1"/>
          <w:sz w:val="20"/>
          <w:szCs w:val="20"/>
          <w:u w:val="single"/>
        </w:rPr>
      </w:pPr>
      <w:r w:rsidDel="00000000" w:rsidR="00000000" w:rsidRPr="00000000">
        <w:rPr>
          <w:i w:val="1"/>
          <w:sz w:val="20"/>
          <w:szCs w:val="20"/>
          <w:u w:val="single"/>
          <w:rtl w:val="0"/>
        </w:rPr>
        <w:t xml:space="preserve">DIFI Annual Report [</w:t>
      </w:r>
      <w:hyperlink r:id="rId45">
        <w:r w:rsidDel="00000000" w:rsidR="00000000" w:rsidRPr="00000000">
          <w:rPr>
            <w:i w:val="1"/>
            <w:color w:val="1155cc"/>
            <w:sz w:val="20"/>
            <w:szCs w:val="20"/>
            <w:u w:val="single"/>
            <w:rtl w:val="0"/>
          </w:rPr>
          <w:t xml:space="preserve">I</w:t>
        </w:r>
      </w:hyperlink>
      <w:r w:rsidDel="00000000" w:rsidR="00000000" w:rsidRPr="00000000">
        <w:rPr>
          <w:i w:val="1"/>
          <w:sz w:val="20"/>
          <w:szCs w:val="20"/>
          <w:u w:val="single"/>
          <w:rtl w:val="0"/>
        </w:rPr>
        <w:t xml:space="preserve">]</w:t>
      </w:r>
    </w:p>
    <w:p w:rsidR="00000000" w:rsidDel="00000000" w:rsidP="00000000" w:rsidRDefault="00000000" w:rsidRPr="00000000" w14:paraId="0000009C">
      <w:pPr>
        <w:rPr>
          <w:i w:val="1"/>
          <w:sz w:val="20"/>
          <w:szCs w:val="20"/>
          <w:u w:val="single"/>
        </w:rPr>
      </w:pPr>
      <w:r w:rsidDel="00000000" w:rsidR="00000000" w:rsidRPr="00000000">
        <w:rPr>
          <w:i w:val="1"/>
          <w:sz w:val="20"/>
          <w:szCs w:val="20"/>
          <w:u w:val="single"/>
          <w:rtl w:val="0"/>
        </w:rPr>
        <w:t xml:space="preserve">JLBC Staff Role Orientation Slide [</w:t>
      </w:r>
      <w:hyperlink r:id="rId46">
        <w:r w:rsidDel="00000000" w:rsidR="00000000" w:rsidRPr="00000000">
          <w:rPr>
            <w:i w:val="1"/>
            <w:color w:val="1155cc"/>
            <w:sz w:val="20"/>
            <w:szCs w:val="20"/>
            <w:u w:val="single"/>
            <w:rtl w:val="0"/>
          </w:rPr>
          <w:t xml:space="preserve">J</w:t>
        </w:r>
      </w:hyperlink>
      <w:r w:rsidDel="00000000" w:rsidR="00000000" w:rsidRPr="00000000">
        <w:rPr>
          <w:i w:val="1"/>
          <w:sz w:val="20"/>
          <w:szCs w:val="20"/>
          <w:u w:val="single"/>
          <w:rtl w:val="0"/>
        </w:rPr>
        <w:t xml:space="preserve">]</w:t>
      </w:r>
    </w:p>
    <w:p w:rsidR="00000000" w:rsidDel="00000000" w:rsidP="00000000" w:rsidRDefault="00000000" w:rsidRPr="00000000" w14:paraId="0000009D">
      <w:pPr>
        <w:rPr>
          <w:i w:val="1"/>
          <w:sz w:val="20"/>
          <w:szCs w:val="20"/>
          <w:u w:val="single"/>
        </w:rPr>
      </w:pPr>
      <w:r w:rsidDel="00000000" w:rsidR="00000000" w:rsidRPr="00000000">
        <w:rPr>
          <w:i w:val="1"/>
          <w:sz w:val="20"/>
          <w:szCs w:val="20"/>
          <w:u w:val="single"/>
          <w:rtl w:val="0"/>
        </w:rPr>
        <w:t xml:space="preserve">Auditor General Single Audit Report [</w:t>
      </w:r>
      <w:hyperlink r:id="rId47">
        <w:r w:rsidDel="00000000" w:rsidR="00000000" w:rsidRPr="00000000">
          <w:rPr>
            <w:i w:val="1"/>
            <w:color w:val="1155cc"/>
            <w:sz w:val="20"/>
            <w:szCs w:val="20"/>
            <w:u w:val="single"/>
            <w:rtl w:val="0"/>
          </w:rPr>
          <w:t xml:space="preserve">K</w:t>
        </w:r>
      </w:hyperlink>
      <w:r w:rsidDel="00000000" w:rsidR="00000000" w:rsidRPr="00000000">
        <w:rPr>
          <w:i w:val="1"/>
          <w:sz w:val="20"/>
          <w:szCs w:val="20"/>
          <w:u w:val="single"/>
          <w:rtl w:val="0"/>
        </w:rPr>
        <w:t xml:space="preserve">]</w:t>
      </w:r>
    </w:p>
    <w:p w:rsidR="00000000" w:rsidDel="00000000" w:rsidP="00000000" w:rsidRDefault="00000000" w:rsidRPr="00000000" w14:paraId="0000009E">
      <w:pPr>
        <w:rPr>
          <w:i w:val="1"/>
          <w:sz w:val="20"/>
          <w:szCs w:val="20"/>
          <w:u w:val="single"/>
        </w:rPr>
      </w:pPr>
      <w:r w:rsidDel="00000000" w:rsidR="00000000" w:rsidRPr="00000000">
        <w:rPr>
          <w:i w:val="1"/>
          <w:sz w:val="20"/>
          <w:szCs w:val="20"/>
          <w:u w:val="single"/>
          <w:rtl w:val="0"/>
        </w:rPr>
        <w:t xml:space="preserve">GAO Non-Appropriated Fund Definition [</w:t>
      </w:r>
      <w:hyperlink r:id="rId48">
        <w:r w:rsidDel="00000000" w:rsidR="00000000" w:rsidRPr="00000000">
          <w:rPr>
            <w:i w:val="1"/>
            <w:color w:val="1155cc"/>
            <w:sz w:val="20"/>
            <w:szCs w:val="20"/>
            <w:u w:val="single"/>
            <w:rtl w:val="0"/>
          </w:rPr>
          <w:t xml:space="preserve">L</w:t>
        </w:r>
      </w:hyperlink>
      <w:r w:rsidDel="00000000" w:rsidR="00000000" w:rsidRPr="00000000">
        <w:rPr>
          <w:i w:val="1"/>
          <w:sz w:val="20"/>
          <w:szCs w:val="20"/>
          <w:u w:val="single"/>
          <w:rtl w:val="0"/>
        </w:rPr>
        <w:t xml:space="preserve">]</w:t>
      </w:r>
    </w:p>
    <w:p w:rsidR="00000000" w:rsidDel="00000000" w:rsidP="00000000" w:rsidRDefault="00000000" w:rsidRPr="00000000" w14:paraId="0000009F">
      <w:pPr>
        <w:rPr>
          <w:i w:val="1"/>
          <w:sz w:val="20"/>
          <w:szCs w:val="20"/>
          <w:u w:val="single"/>
        </w:rPr>
      </w:pPr>
      <w:r w:rsidDel="00000000" w:rsidR="00000000" w:rsidRPr="00000000">
        <w:rPr>
          <w:i w:val="1"/>
          <w:sz w:val="20"/>
          <w:szCs w:val="20"/>
          <w:u w:val="single"/>
          <w:rtl w:val="0"/>
        </w:rPr>
        <w:t xml:space="preserve">GAO Appropriated Fund Definition [</w:t>
      </w:r>
      <w:hyperlink r:id="rId49">
        <w:r w:rsidDel="00000000" w:rsidR="00000000" w:rsidRPr="00000000">
          <w:rPr>
            <w:i w:val="1"/>
            <w:color w:val="1155cc"/>
            <w:sz w:val="20"/>
            <w:szCs w:val="20"/>
            <w:u w:val="single"/>
            <w:rtl w:val="0"/>
          </w:rPr>
          <w:t xml:space="preserve">M</w:t>
        </w:r>
      </w:hyperlink>
      <w:r w:rsidDel="00000000" w:rsidR="00000000" w:rsidRPr="00000000">
        <w:rPr>
          <w:i w:val="1"/>
          <w:sz w:val="20"/>
          <w:szCs w:val="20"/>
          <w:u w:val="single"/>
          <w:rtl w:val="0"/>
        </w:rPr>
        <w:t xml:space="preserve">]</w:t>
      </w:r>
    </w:p>
    <w:p w:rsidR="00000000" w:rsidDel="00000000" w:rsidP="00000000" w:rsidRDefault="00000000" w:rsidRPr="00000000" w14:paraId="000000A0">
      <w:pPr>
        <w:rPr>
          <w:i w:val="1"/>
          <w:sz w:val="20"/>
          <w:szCs w:val="20"/>
          <w:u w:val="single"/>
        </w:rPr>
      </w:pPr>
      <w:r w:rsidDel="00000000" w:rsidR="00000000" w:rsidRPr="00000000">
        <w:rPr>
          <w:i w:val="1"/>
          <w:sz w:val="20"/>
          <w:szCs w:val="20"/>
          <w:u w:val="single"/>
          <w:rtl w:val="0"/>
        </w:rPr>
        <w:t xml:space="preserve">JLBC General Fund Revenue Document [</w:t>
      </w:r>
      <w:hyperlink r:id="rId50">
        <w:r w:rsidDel="00000000" w:rsidR="00000000" w:rsidRPr="00000000">
          <w:rPr>
            <w:i w:val="1"/>
            <w:color w:val="1155cc"/>
            <w:sz w:val="20"/>
            <w:szCs w:val="20"/>
            <w:u w:val="single"/>
            <w:rtl w:val="0"/>
          </w:rPr>
          <w:t xml:space="preserve">N</w:t>
        </w:r>
      </w:hyperlink>
      <w:r w:rsidDel="00000000" w:rsidR="00000000" w:rsidRPr="00000000">
        <w:rPr>
          <w:i w:val="1"/>
          <w:sz w:val="20"/>
          <w:szCs w:val="20"/>
          <w:u w:val="single"/>
          <w:rtl w:val="0"/>
        </w:rPr>
        <w:t xml:space="preserve">]</w:t>
      </w:r>
    </w:p>
    <w:p w:rsidR="00000000" w:rsidDel="00000000" w:rsidP="00000000" w:rsidRDefault="00000000" w:rsidRPr="00000000" w14:paraId="000000A1">
      <w:pPr>
        <w:rPr>
          <w:i w:val="1"/>
          <w:sz w:val="20"/>
          <w:szCs w:val="20"/>
          <w:u w:val="single"/>
        </w:rPr>
      </w:pPr>
      <w:r w:rsidDel="00000000" w:rsidR="00000000" w:rsidRPr="00000000">
        <w:rPr>
          <w:i w:val="1"/>
          <w:sz w:val="20"/>
          <w:szCs w:val="20"/>
          <w:u w:val="single"/>
          <w:rtl w:val="0"/>
        </w:rPr>
        <w:t xml:space="preserve">JLBC FY23 “THEN AND NOW” [</w:t>
      </w:r>
      <w:hyperlink r:id="rId51">
        <w:r w:rsidDel="00000000" w:rsidR="00000000" w:rsidRPr="00000000">
          <w:rPr>
            <w:i w:val="1"/>
            <w:color w:val="1155cc"/>
            <w:sz w:val="20"/>
            <w:szCs w:val="20"/>
            <w:u w:val="single"/>
            <w:rtl w:val="0"/>
          </w:rPr>
          <w:t xml:space="preserve">O</w:t>
        </w:r>
      </w:hyperlink>
      <w:r w:rsidDel="00000000" w:rsidR="00000000" w:rsidRPr="00000000">
        <w:rPr>
          <w:i w:val="1"/>
          <w:sz w:val="20"/>
          <w:szCs w:val="20"/>
          <w:u w:val="single"/>
          <w:rtl w:val="0"/>
        </w:rPr>
        <w:t xml:space="preserve">]</w:t>
      </w:r>
    </w:p>
    <w:p w:rsidR="00000000" w:rsidDel="00000000" w:rsidP="00000000" w:rsidRDefault="00000000" w:rsidRPr="00000000" w14:paraId="000000A2">
      <w:pPr>
        <w:rPr>
          <w:i w:val="1"/>
          <w:sz w:val="20"/>
          <w:szCs w:val="20"/>
          <w:u w:val="single"/>
        </w:rPr>
      </w:pPr>
      <w:r w:rsidDel="00000000" w:rsidR="00000000" w:rsidRPr="00000000">
        <w:rPr>
          <w:i w:val="1"/>
          <w:sz w:val="20"/>
          <w:szCs w:val="20"/>
          <w:u w:val="single"/>
          <w:rtl w:val="0"/>
        </w:rPr>
        <w:t xml:space="preserve">JLBC Forecasting Process [</w:t>
      </w:r>
      <w:hyperlink r:id="rId52">
        <w:r w:rsidDel="00000000" w:rsidR="00000000" w:rsidRPr="00000000">
          <w:rPr>
            <w:i w:val="1"/>
            <w:color w:val="1155cc"/>
            <w:sz w:val="20"/>
            <w:szCs w:val="20"/>
            <w:u w:val="single"/>
            <w:rtl w:val="0"/>
          </w:rPr>
          <w:t xml:space="preserve">P</w:t>
        </w:r>
      </w:hyperlink>
      <w:r w:rsidDel="00000000" w:rsidR="00000000" w:rsidRPr="00000000">
        <w:rPr>
          <w:i w:val="1"/>
          <w:sz w:val="20"/>
          <w:szCs w:val="20"/>
          <w:u w:val="single"/>
          <w:rtl w:val="0"/>
        </w:rPr>
        <w:t xml:space="preserve">]</w:t>
      </w:r>
    </w:p>
    <w:p w:rsidR="00000000" w:rsidDel="00000000" w:rsidP="00000000" w:rsidRDefault="00000000" w:rsidRPr="00000000" w14:paraId="000000A3">
      <w:pPr>
        <w:rPr>
          <w:i w:val="1"/>
          <w:sz w:val="20"/>
          <w:szCs w:val="20"/>
          <w:u w:val="single"/>
        </w:rPr>
      </w:pPr>
      <w:r w:rsidDel="00000000" w:rsidR="00000000" w:rsidRPr="00000000">
        <w:rPr>
          <w:i w:val="1"/>
          <w:sz w:val="20"/>
          <w:szCs w:val="20"/>
          <w:u w:val="single"/>
          <w:rtl w:val="0"/>
        </w:rPr>
        <w:t xml:space="preserve">FY22 Feed Bill Fact Sheet [</w:t>
      </w:r>
      <w:hyperlink r:id="rId53">
        <w:r w:rsidDel="00000000" w:rsidR="00000000" w:rsidRPr="00000000">
          <w:rPr>
            <w:i w:val="1"/>
            <w:color w:val="1155cc"/>
            <w:sz w:val="20"/>
            <w:szCs w:val="20"/>
            <w:u w:val="single"/>
            <w:rtl w:val="0"/>
          </w:rPr>
          <w:t xml:space="preserve">Q</w:t>
        </w:r>
      </w:hyperlink>
      <w:r w:rsidDel="00000000" w:rsidR="00000000" w:rsidRPr="00000000">
        <w:rPr>
          <w:i w:val="1"/>
          <w:sz w:val="20"/>
          <w:szCs w:val="20"/>
          <w:u w:val="single"/>
          <w:rtl w:val="0"/>
        </w:rPr>
        <w:t xml:space="preserve">]</w:t>
      </w:r>
    </w:p>
    <w:sectPr>
      <w:headerReference r:id="rId54" w:type="default"/>
      <w:footerReference r:id="rId5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center"/>
      <w:rPr>
        <w:sz w:val="6"/>
        <w:szCs w:val="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zjlbc.gov/23AR/bd2.pdf" TargetMode="External"/><Relationship Id="rId42" Type="http://schemas.openxmlformats.org/officeDocument/2006/relationships/hyperlink" Target="https://www.azjlbc.gov/budget/ofhistoricalspending.pdf" TargetMode="External"/><Relationship Id="rId41" Type="http://schemas.openxmlformats.org/officeDocument/2006/relationships/hyperlink" Target="https://www.azjlbc.gov/revenues/22taxbk.pdf" TargetMode="External"/><Relationship Id="rId44" Type="http://schemas.openxmlformats.org/officeDocument/2006/relationships/hyperlink" Target="https://www.azjlbc.gov/23AR/bd13.pdf" TargetMode="External"/><Relationship Id="rId43" Type="http://schemas.openxmlformats.org/officeDocument/2006/relationships/hyperlink" Target="https://azjlbc.gov/22baseline/509.pdf" TargetMode="External"/><Relationship Id="rId46" Type="http://schemas.openxmlformats.org/officeDocument/2006/relationships/hyperlink" Target="https://www.azjlbc.gov/budget/jlbcorientation013023.pdf" TargetMode="External"/><Relationship Id="rId45" Type="http://schemas.openxmlformats.org/officeDocument/2006/relationships/hyperlink" Target="https://difi.az.gov/sites/default/files/2022%20Annual%20Repor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zjlbc.gov/23AR/426.pdf" TargetMode="External"/><Relationship Id="rId48" Type="http://schemas.openxmlformats.org/officeDocument/2006/relationships/hyperlink" Target="https://gao.az.gov/what-non-appropriated-fund" TargetMode="External"/><Relationship Id="rId47" Type="http://schemas.openxmlformats.org/officeDocument/2006/relationships/hyperlink" Target="https://gao.az.gov/sites/default/files/2022-12/StateOfArizonaJune30_2021SingleAudit_FINAL%20SUBMITTED.pdf" TargetMode="External"/><Relationship Id="rId49" Type="http://schemas.openxmlformats.org/officeDocument/2006/relationships/hyperlink" Target="https://gao.az.gov/what-appropriated-fund#:~:text=With%20the%20exception%20of%20most,Game%20and%20Fish%20Fund%2C%20etc." TargetMode="External"/><Relationship Id="rId5" Type="http://schemas.openxmlformats.org/officeDocument/2006/relationships/styles" Target="styles.xml"/><Relationship Id="rId6" Type="http://schemas.openxmlformats.org/officeDocument/2006/relationships/hyperlink" Target="https://www.azjlbc.gov/revenues/gfrevenueforecasting.pdf" TargetMode="External"/><Relationship Id="rId7" Type="http://schemas.openxmlformats.org/officeDocument/2006/relationships/hyperlink" Target="https://www.azjlbc.gov/revenues/gfrevenueforecasting.pdf" TargetMode="External"/><Relationship Id="rId8" Type="http://schemas.openxmlformats.org/officeDocument/2006/relationships/hyperlink" Target="https://www.azleg.gov/legtext/55leg/1R/summary/H.HB2895_052421_APPROP.DOCX.htm" TargetMode="External"/><Relationship Id="rId31" Type="http://schemas.openxmlformats.org/officeDocument/2006/relationships/hyperlink" Target="https://gao.az.gov/sites/default/files/2022-12/StateOfArizonaJune30_2021SingleAudit_FINAL%20SUBMITTED.pdf" TargetMode="External"/><Relationship Id="rId30" Type="http://schemas.openxmlformats.org/officeDocument/2006/relationships/hyperlink" Target="https://www.azjlbc.gov/23AR/bd13.pdf" TargetMode="External"/><Relationship Id="rId33" Type="http://schemas.openxmlformats.org/officeDocument/2006/relationships/hyperlink" Target="https://azospb.gov/index.html" TargetMode="External"/><Relationship Id="rId32" Type="http://schemas.openxmlformats.org/officeDocument/2006/relationships/hyperlink" Target="https://www.azjlbc.gov/budget/jlbcorientation013023.pdf" TargetMode="External"/><Relationship Id="rId35" Type="http://schemas.openxmlformats.org/officeDocument/2006/relationships/hyperlink" Target="https://gao.az.gov/" TargetMode="External"/><Relationship Id="rId34" Type="http://schemas.openxmlformats.org/officeDocument/2006/relationships/hyperlink" Target="https://www.azjlbc.gov/" TargetMode="External"/><Relationship Id="rId37" Type="http://schemas.openxmlformats.org/officeDocument/2006/relationships/hyperlink" Target="https://openbooks.az.gov/" TargetMode="External"/><Relationship Id="rId36" Type="http://schemas.openxmlformats.org/officeDocument/2006/relationships/hyperlink" Target="https://azdor.gov/" TargetMode="External"/><Relationship Id="rId39" Type="http://schemas.openxmlformats.org/officeDocument/2006/relationships/hyperlink" Target="https://gao.az.gov/sites/default/files/2022-12/GRAYSCALE%20AFR22%20COMBINED%20w%20Transmittal%20Letter.pdf" TargetMode="External"/><Relationship Id="rId38" Type="http://schemas.openxmlformats.org/officeDocument/2006/relationships/hyperlink" Target="https://azdor.gov/sites/default/files/2023-03/REPORTS_ANNUAL_2022_ASSETS_fy22_annual_report.pdf" TargetMode="External"/><Relationship Id="rId20" Type="http://schemas.openxmlformats.org/officeDocument/2006/relationships/hyperlink" Target="https://azdor.gov/sites/default/files/2023-03/REPORTS_ANNUAL_2022_ASSETS_fy22_annual_report.pdf" TargetMode="External"/><Relationship Id="rId22" Type="http://schemas.openxmlformats.org/officeDocument/2006/relationships/hyperlink" Target="https://gao.az.gov/sites/default/files/2022-12/GRAYSCALE%20AFR22%20COMBINED%20w%20Transmittal%20Letter.pdf" TargetMode="External"/><Relationship Id="rId21" Type="http://schemas.openxmlformats.org/officeDocument/2006/relationships/hyperlink" Target="https://gao.az.gov/sites/default/files/2022-12/GRAYSCALE%20AFR22%20COMBINED%20w%20Transmittal%20Letter.pdf" TargetMode="External"/><Relationship Id="rId24" Type="http://schemas.openxmlformats.org/officeDocument/2006/relationships/hyperlink" Target="https://www.azjlbc.gov/23AR/426.pdf" TargetMode="External"/><Relationship Id="rId23" Type="http://schemas.openxmlformats.org/officeDocument/2006/relationships/hyperlink" Target="https://www.azjlbc.gov/23AR/bh31.pdf" TargetMode="External"/><Relationship Id="rId26" Type="http://schemas.openxmlformats.org/officeDocument/2006/relationships/hyperlink" Target="https://www.azjlbc.gov/23AR/bd2.pdf" TargetMode="External"/><Relationship Id="rId25" Type="http://schemas.openxmlformats.org/officeDocument/2006/relationships/hyperlink" Target="https://gao.az.gov/what-appropriated-fund#:~:text=With%20the%20exception%20of%20most,Game%20and%20Fish%20Fund%2C%20etc." TargetMode="External"/><Relationship Id="rId28" Type="http://schemas.openxmlformats.org/officeDocument/2006/relationships/hyperlink" Target="https://gao.az.gov/sites/default/files/2022-12/GRAYSCALE%20AFR22%20COMBINED%20w%20Transmittal%20Letter.pdf" TargetMode="External"/><Relationship Id="rId27" Type="http://schemas.openxmlformats.org/officeDocument/2006/relationships/hyperlink" Target="https://azjlbc.gov/22baseline/509.pdf" TargetMode="External"/><Relationship Id="rId29" Type="http://schemas.openxmlformats.org/officeDocument/2006/relationships/hyperlink" Target="https://gao.az.gov/what-non-appropriated-fund" TargetMode="External"/><Relationship Id="rId51" Type="http://schemas.openxmlformats.org/officeDocument/2006/relationships/hyperlink" Target="https://www.azjlbc.gov/23AR/bh31.pdf" TargetMode="External"/><Relationship Id="rId50" Type="http://schemas.openxmlformats.org/officeDocument/2006/relationships/hyperlink" Target="https://www.azjlbc.gov/23AR/426.pdf" TargetMode="External"/><Relationship Id="rId53" Type="http://schemas.openxmlformats.org/officeDocument/2006/relationships/hyperlink" Target="https://www.azleg.gov/legtext/55leg/1R/summary/H.HB2895_052421_APPROP.DOCX.htm" TargetMode="External"/><Relationship Id="rId52" Type="http://schemas.openxmlformats.org/officeDocument/2006/relationships/hyperlink" Target="https://www.azjlbc.gov/revenues/gfrevenueforecasting.pdf" TargetMode="External"/><Relationship Id="rId11" Type="http://schemas.openxmlformats.org/officeDocument/2006/relationships/hyperlink" Target="https://gao.az.gov/sites/default/files/2022-12/GRAYSCALE%20AFR22%20COMBINED%20w%20Transmittal%20Letter.pdf" TargetMode="External"/><Relationship Id="rId55" Type="http://schemas.openxmlformats.org/officeDocument/2006/relationships/footer" Target="footer1.xml"/><Relationship Id="rId10" Type="http://schemas.openxmlformats.org/officeDocument/2006/relationships/hyperlink" Target="https://www.azjlbc.gov/23AR/bh31.pdf" TargetMode="External"/><Relationship Id="rId54" Type="http://schemas.openxmlformats.org/officeDocument/2006/relationships/header" Target="header1.xml"/><Relationship Id="rId13" Type="http://schemas.openxmlformats.org/officeDocument/2006/relationships/hyperlink" Target="https://www.azjlbc.gov/23AR/bd2.pdf" TargetMode="External"/><Relationship Id="rId12" Type="http://schemas.openxmlformats.org/officeDocument/2006/relationships/hyperlink" Target="https://www.azjlbc.gov/23AR/bd2.pdf" TargetMode="External"/><Relationship Id="rId15" Type="http://schemas.openxmlformats.org/officeDocument/2006/relationships/hyperlink" Target="https://gao.az.gov/sites/default/files/2022-12/GRAYSCALE%20AFR22%20COMBINED%20w%20Transmittal%20Letter.pdf" TargetMode="External"/><Relationship Id="rId14" Type="http://schemas.openxmlformats.org/officeDocument/2006/relationships/hyperlink" Target="https://azdor.gov/sites/default/files/2023-03/REPORTS_ANNUAL_2022_ASSETS_fy22_annual_report.pdf" TargetMode="External"/><Relationship Id="rId17" Type="http://schemas.openxmlformats.org/officeDocument/2006/relationships/hyperlink" Target="https://www.azjlbc.gov/revenues/22taxbk.pdf" TargetMode="External"/><Relationship Id="rId16" Type="http://schemas.openxmlformats.org/officeDocument/2006/relationships/hyperlink" Target="https://www.azjlbc.gov/23AR/bh31.pdf" TargetMode="External"/><Relationship Id="rId19" Type="http://schemas.openxmlformats.org/officeDocument/2006/relationships/hyperlink" Target="https://www.azjlbc.gov/revenues/22taxbk.pdf" TargetMode="External"/><Relationship Id="rId18" Type="http://schemas.openxmlformats.org/officeDocument/2006/relationships/hyperlink" Target="https://difi.az.gov/sites/default/files/2022%20Annual%20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