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proposed as a privacy-preserving paradigm for multi-lot smart parking forecasting, enabling commercial operators to collaboratively train predictive models without centralizing proprietary occupancy logs. However, claims of federated performance gains frequently omit simple local baselines and misdiagnose the root causes of decentralized model performance. In this study, we conduct an exhaustive empirical benchmark on the Birmingham municipal smart parking IoT dataset (30 facilities, 35,717 raw readings, 21,868 temporal sequences) to rigorously evaluate when federation adds value over centralized, local-only, and heuristic alternatives. Our benchmark reveals that a zero-parameter persistence baseline achieves a 30-minute Mean Absolute Error (MAE) of 0.0257 (35.2 physical bays), while a 4-weight local-only linear autoregressive model per facility—requiring zero communication and zero cross-facility data sharing—achieves an MAE of 0.0126 (14.5 bays), outperforming both centralized deep recurrent models (Attention-LSTM MAE: 0.0217; 27.0 bays) and federated neural architectures. Under standard communication constraints (8 rounds, 2 local epochs), global Federated Averaging (FedAvg) exhibits severe under-training (MAE: 0.0935 ± 0.0032; 118.5 macro bays). Through an IID-shuffled federated control experiment (MAE: 0.0678 ± 0.0019), we demonstrate that compute starvation under communication round limits (~256 local Adam steps per client versus ~14,340 for centralized models) accounts for 64.2% of this performance gap, while non-IID statistical heterogeneity accounts for 35.8%. While proximal regularization (FedProx, MAE: 0.1305) slows convergence and split-head architectures (FedPer, MAE: 0.0775) provide partial gains, localized post-aggregation fine-tuning (Personalized FedAvg) achieves the strongest federated performance with an MAE of 0.0592 ± 0.0004 (82.4 macro bays), representing a 36.7% relative error reduction over global FedAvg, recovering 47.8% of the centralized performance gap, and compressing cross-facility variance (sigma drops by 51.2% from 0.0498 to 0.0243). In a fixed single-seed primary benchmark run (Seed 42), error falls from 0.1007 to 0.0607, recovering 50.6% of the gap. Crucially, network audits confirm that federating a 57k-parameter neural network across 30 clients moves 110.35 MB (105.24 MiB) of weights versus only 1.48 MB (1.41 MiB) for transmitting the entire raw dataset—a 74.6-fold communication overhead. Consequently, we conclude that federation cannot be justified on bandwidth-reduction grounds, but provides substantial value for multi-stakeholder commercial confidentiality, institutional data sovereignty, and legal compliance when paired with local personalization.</w:t>
      </w:r>
    </w:p>
    <w:p>
      <w:pPr>
        <w:spacing w:before="0" w:after="280" w:line="276" w:lineRule="auto"/>
        <w:jc w:val="both"/>
      </w:pPr>
      <w:r>
        <w:rPr>
          <w:b/>
          <w:color w:val="1F3864"/>
        </w:rPr>
        <w:t xml:space="preserve">Keywords: </w:t>
      </w:r>
      <w:r>
        <w:rPr>
          <w:sz w:val="21"/>
        </w:rPr>
        <w:t>Federated learning; Smart parking forecasting; Empirical benchmark; Local linear baselines; Data governance; Compute parity;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keep all data private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must FL be justified strictly on commercial data governance and legal sovereignty grounds?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3,293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4-parameter local-only linear AR model per facility achieves a 30-minute MAE of 0.0126 (14.5 bays), outperforming both centralized Attention-LSTM (0.0217; 27.0 bays) and federated models while requiring zero communication and providing complete data privacy.</w:t>
      </w:r>
    </w:p>
    <w:p>
      <w:pPr>
        <w:pStyle w:val="ListParagraph"/>
        <w:spacing w:before="40" w:after="60"/>
      </w:pPr>
      <w:r>
        <w:rPr>
          <w:b/>
        </w:rPr>
        <w:t xml:space="preserve">3. Disentangling Under-Training from Non-IID Drift: </w:t>
      </w:r>
      <w:r>
        <w:t>Through compute step audits, round scaling (R in {4, 8, 12, 16}), batch size analysis, and an IID-shuffled federated control (MAE: 0.0678 ± 0.0019), we prove that FedAvg's error is primarily driven by compute starvation (~256 local Adam steps per client versus ~14,340 centralized steps) rather than insurmountable spatial drift. Personalization fine-tuning resolves this under-training, achieving MAE 0.0592 ± 0.0004 (a 36.7% relative reduction over FedAvg, recovering 47.8% of the centralized gap in multi-seed evaluations and 50.6% in the primary single-seed benchmark).</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fully private local estimators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05"/>
            <w:shd w:fill="1F3864"/>
            <w:tcMar>
              <w:top w:w="100" w:type="dxa"/>
              <w:bottom w:w="100" w:type="dxa"/>
              <w:left w:w="120" w:type="dxa"/>
              <w:right w:w="120" w:type="dxa"/>
            </w:tcMar>
          </w:tcPr>
          <w:p>
            <w:pPr>
              <w:jc w:val="center"/>
            </w:pPr>
            <w:r>
              <w:rPr>
                <w:b/>
                <w:color w:val="FFFFFF"/>
                <w:sz w:val="18"/>
              </w:rPr>
              <w:t>Study &amp; Reference</w:t>
            </w:r>
          </w:p>
        </w:tc>
        <w:tc>
          <w:tcPr>
            <w:tcW w:type="dxa" w:w="1505"/>
            <w:shd w:fill="1F3864"/>
            <w:tcMar>
              <w:top w:w="100" w:type="dxa"/>
              <w:bottom w:w="100" w:type="dxa"/>
              <w:left w:w="120" w:type="dxa"/>
              <w:right w:w="120" w:type="dxa"/>
            </w:tcMar>
          </w:tcPr>
          <w:p>
            <w:pPr>
              <w:jc w:val="center"/>
            </w:pPr>
            <w:r>
              <w:rPr>
                <w:b/>
                <w:color w:val="FFFFFF"/>
                <w:sz w:val="18"/>
              </w:rPr>
              <w:t>Core Methodology</w:t>
            </w:r>
          </w:p>
        </w:tc>
        <w:tc>
          <w:tcPr>
            <w:tcW w:type="dxa" w:w="1505"/>
            <w:shd w:fill="1F3864"/>
            <w:tcMar>
              <w:top w:w="100" w:type="dxa"/>
              <w:bottom w:w="100" w:type="dxa"/>
              <w:left w:w="120" w:type="dxa"/>
              <w:right w:w="120" w:type="dxa"/>
            </w:tcMar>
          </w:tcPr>
          <w:p>
            <w:pPr>
              <w:jc w:val="center"/>
            </w:pPr>
            <w:r>
              <w:rPr>
                <w:b/>
                <w:color w:val="FFFFFF"/>
                <w:sz w:val="18"/>
              </w:rPr>
              <w:t>Dataset / Testbed</w:t>
            </w:r>
          </w:p>
        </w:tc>
        <w:tc>
          <w:tcPr>
            <w:tcW w:type="dxa" w:w="1505"/>
            <w:shd w:fill="1F3864"/>
            <w:tcMar>
              <w:top w:w="100" w:type="dxa"/>
              <w:bottom w:w="100" w:type="dxa"/>
              <w:left w:w="120" w:type="dxa"/>
              <w:right w:w="120" w:type="dxa"/>
            </w:tcMar>
          </w:tcPr>
          <w:p>
            <w:pPr>
              <w:jc w:val="center"/>
            </w:pPr>
            <w:r>
              <w:rPr>
                <w:b/>
                <w:color w:val="FFFFFF"/>
                <w:sz w:val="18"/>
              </w:rPr>
              <w:t>Privacy / Governance</w:t>
            </w:r>
          </w:p>
        </w:tc>
        <w:tc>
          <w:tcPr>
            <w:tcW w:type="dxa" w:w="1505"/>
            <w:shd w:fill="1F3864"/>
            <w:tcMar>
              <w:top w:w="100" w:type="dxa"/>
              <w:bottom w:w="100" w:type="dxa"/>
              <w:left w:w="120" w:type="dxa"/>
              <w:right w:w="120" w:type="dxa"/>
            </w:tcMar>
          </w:tcPr>
          <w:p>
            <w:pPr>
              <w:jc w:val="center"/>
            </w:pPr>
            <w:r>
              <w:rPr>
                <w:b/>
                <w:color w:val="FFFFFF"/>
                <w:sz w:val="18"/>
              </w:rPr>
              <w:t>Local Baseline Included?</w:t>
            </w:r>
          </w:p>
        </w:tc>
        <w:tc>
          <w:tcPr>
            <w:tcW w:type="dxa" w:w="1505"/>
            <w:shd w:fill="1F3864"/>
            <w:tcMar>
              <w:top w:w="100" w:type="dxa"/>
              <w:bottom w:w="100" w:type="dxa"/>
              <w:left w:w="120" w:type="dxa"/>
              <w:right w:w="120" w:type="dxa"/>
            </w:tcMar>
          </w:tcPr>
          <w:p>
            <w:pPr>
              <w:jc w:val="center"/>
            </w:pPr>
            <w:r>
              <w:rPr>
                <w:b/>
                <w:color w:val="FFFFFF"/>
                <w:sz w:val="18"/>
              </w:rPr>
              <w:t>Key Limitations</w:t>
            </w:r>
          </w:p>
        </w:tc>
      </w:tr>
      <w:tr>
        <w:tc>
          <w:tcPr>
            <w:tcW w:type="dxa" w:w="1505"/>
            <w:shd w:fill="F8FAFC"/>
            <w:tcMar>
              <w:top w:w="70" w:type="dxa"/>
              <w:bottom w:w="70" w:type="dxa"/>
              <w:left w:w="100" w:type="dxa"/>
              <w:right w:w="100" w:type="dxa"/>
            </w:tcMar>
          </w:tcPr>
          <w:p>
            <w:pPr>
              <w:jc w:val="center"/>
            </w:pPr>
            <w:r>
              <w:rPr>
                <w:sz w:val="17"/>
              </w:rPr>
              <w:t>Rong et al. (2018) [11]</w:t>
            </w:r>
          </w:p>
        </w:tc>
        <w:tc>
          <w:tcPr>
            <w:tcW w:type="dxa" w:w="1505"/>
            <w:shd w:fill="F8FAFC"/>
            <w:tcMar>
              <w:top w:w="70" w:type="dxa"/>
              <w:bottom w:w="70" w:type="dxa"/>
              <w:left w:w="100" w:type="dxa"/>
              <w:right w:w="100" w:type="dxa"/>
            </w:tcMar>
          </w:tcPr>
          <w:p>
            <w:pPr>
              <w:jc w:val="center"/>
            </w:pPr>
            <w:r>
              <w:rPr>
                <w:sz w:val="17"/>
              </w:rPr>
              <w:t>Du-Parking (LSTM + Context)</w:t>
            </w:r>
          </w:p>
        </w:tc>
        <w:tc>
          <w:tcPr>
            <w:tcW w:type="dxa" w:w="1505"/>
            <w:shd w:fill="F8FAFC"/>
            <w:tcMar>
              <w:top w:w="70" w:type="dxa"/>
              <w:bottom w:w="70" w:type="dxa"/>
              <w:left w:w="100" w:type="dxa"/>
              <w:right w:w="100" w:type="dxa"/>
            </w:tcMar>
          </w:tcPr>
          <w:p>
            <w:pPr>
              <w:jc w:val="left"/>
            </w:pPr>
            <w:r>
              <w:rPr>
                <w:sz w:val="17"/>
              </w:rPr>
              <w:t>Baidu Maps (China)</w:t>
            </w:r>
          </w:p>
        </w:tc>
        <w:tc>
          <w:tcPr>
            <w:tcW w:type="dxa" w:w="1505"/>
            <w:shd w:fill="F8FAFC"/>
            <w:tcMar>
              <w:top w:w="70" w:type="dxa"/>
              <w:bottom w:w="70" w:type="dxa"/>
              <w:left w:w="100" w:type="dxa"/>
              <w:right w:w="100" w:type="dxa"/>
            </w:tcMar>
          </w:tcPr>
          <w:p>
            <w:pPr>
              <w:jc w:val="left"/>
            </w:pPr>
            <w:r>
              <w:rPr>
                <w:sz w:val="17"/>
              </w:rPr>
              <w:t>Centralized only</w:t>
            </w:r>
          </w:p>
        </w:tc>
        <w:tc>
          <w:tcPr>
            <w:tcW w:type="dxa" w:w="1505"/>
            <w:shd w:fill="F8FAFC"/>
            <w:tcMar>
              <w:top w:w="70" w:type="dxa"/>
              <w:bottom w:w="70" w:type="dxa"/>
              <w:left w:w="100" w:type="dxa"/>
              <w:right w:w="100" w:type="dxa"/>
            </w:tcMar>
          </w:tcPr>
          <w:p>
            <w:pPr>
              <w:jc w:val="left"/>
            </w:pPr>
            <w:r>
              <w:rPr>
                <w:sz w:val="17"/>
              </w:rPr>
              <w:t>Contextual MLP</w:t>
            </w:r>
          </w:p>
        </w:tc>
        <w:tc>
          <w:tcPr>
            <w:tcW w:type="dxa" w:w="1505"/>
            <w:shd w:fill="F8FAFC"/>
            <w:tcMar>
              <w:top w:w="70" w:type="dxa"/>
              <w:bottom w:w="70" w:type="dxa"/>
              <w:left w:w="100" w:type="dxa"/>
              <w:right w:w="100" w:type="dxa"/>
            </w:tcMar>
          </w:tcPr>
          <w:p>
            <w:pPr>
              <w:jc w:val="left"/>
            </w:pPr>
            <w:r>
              <w:rPr>
                <w:sz w:val="17"/>
              </w:rPr>
              <w:t>Parking availability</w:t>
            </w:r>
          </w:p>
        </w:tc>
      </w:tr>
      <w:tr>
        <w:tc>
          <w:tcPr>
            <w:tcW w:type="dxa" w:w="1505"/>
            <w:shd w:fill="FFFFFF"/>
            <w:tcMar>
              <w:top w:w="70" w:type="dxa"/>
              <w:bottom w:w="70" w:type="dxa"/>
              <w:left w:w="100" w:type="dxa"/>
              <w:right w:w="100" w:type="dxa"/>
            </w:tcMar>
          </w:tcPr>
          <w:p>
            <w:pPr>
              <w:jc w:val="center"/>
            </w:pPr>
            <w:r>
              <w:rPr>
                <w:sz w:val="17"/>
              </w:rPr>
              <w:t>Zhao et al. (2022) [12]</w:t>
            </w:r>
          </w:p>
        </w:tc>
        <w:tc>
          <w:tcPr>
            <w:tcW w:type="dxa" w:w="1505"/>
            <w:shd w:fill="FFFFFF"/>
            <w:tcMar>
              <w:top w:w="70" w:type="dxa"/>
              <w:bottom w:w="70" w:type="dxa"/>
              <w:left w:w="100" w:type="dxa"/>
              <w:right w:w="100" w:type="dxa"/>
            </w:tcMar>
          </w:tcPr>
          <w:p>
            <w:pPr>
              <w:jc w:val="center"/>
            </w:pPr>
            <w:r>
              <w:rPr>
                <w:sz w:val="17"/>
              </w:rPr>
              <w:t>MePark (Meter Sensing)</w:t>
            </w:r>
          </w:p>
        </w:tc>
        <w:tc>
          <w:tcPr>
            <w:tcW w:type="dxa" w:w="1505"/>
            <w:shd w:fill="FFFFFF"/>
            <w:tcMar>
              <w:top w:w="70" w:type="dxa"/>
              <w:bottom w:w="70" w:type="dxa"/>
              <w:left w:w="100" w:type="dxa"/>
              <w:right w:w="100" w:type="dxa"/>
            </w:tcMar>
          </w:tcPr>
          <w:p>
            <w:pPr>
              <w:jc w:val="left"/>
            </w:pPr>
            <w:r>
              <w:rPr>
                <w:sz w:val="17"/>
              </w:rPr>
              <w:t>San Francisco / Melbourne</w:t>
            </w:r>
          </w:p>
        </w:tc>
        <w:tc>
          <w:tcPr>
            <w:tcW w:type="dxa" w:w="1505"/>
            <w:shd w:fill="FFFFFF"/>
            <w:tcMar>
              <w:top w:w="70" w:type="dxa"/>
              <w:bottom w:w="70" w:type="dxa"/>
              <w:left w:w="100" w:type="dxa"/>
              <w:right w:w="100" w:type="dxa"/>
            </w:tcMar>
          </w:tcPr>
          <w:p>
            <w:pPr>
              <w:jc w:val="left"/>
            </w:pPr>
            <w:r>
              <w:rPr>
                <w:sz w:val="17"/>
              </w:rPr>
              <w:t>Centralized telemetry</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High transaction latency; missing sensor ground truth</w:t>
            </w:r>
          </w:p>
        </w:tc>
      </w:tr>
      <w:tr>
        <w:tc>
          <w:tcPr>
            <w:tcW w:type="dxa" w:w="1505"/>
            <w:shd w:fill="F8FAFC"/>
            <w:tcMar>
              <w:top w:w="70" w:type="dxa"/>
              <w:bottom w:w="70" w:type="dxa"/>
              <w:left w:w="100" w:type="dxa"/>
              <w:right w:w="100" w:type="dxa"/>
            </w:tcMar>
          </w:tcPr>
          <w:p>
            <w:pPr>
              <w:jc w:val="center"/>
            </w:pPr>
            <w:r>
              <w:rPr>
                <w:sz w:val="17"/>
              </w:rPr>
              <w:t>McMahan et al. (2017) [7]</w:t>
            </w:r>
          </w:p>
        </w:tc>
        <w:tc>
          <w:tcPr>
            <w:tcW w:type="dxa" w:w="1505"/>
            <w:shd w:fill="F8FAFC"/>
            <w:tcMar>
              <w:top w:w="70" w:type="dxa"/>
              <w:bottom w:w="70" w:type="dxa"/>
              <w:left w:w="100" w:type="dxa"/>
              <w:right w:w="100" w:type="dxa"/>
            </w:tcMar>
          </w:tcPr>
          <w:p>
            <w:pPr>
              <w:jc w:val="center"/>
            </w:pPr>
            <w:r>
              <w:rPr>
                <w:sz w:val="17"/>
              </w:rPr>
              <w:t>Standard FedAvg</w:t>
            </w:r>
          </w:p>
        </w:tc>
        <w:tc>
          <w:tcPr>
            <w:tcW w:type="dxa" w:w="1505"/>
            <w:shd w:fill="F8FAFC"/>
            <w:tcMar>
              <w:top w:w="70" w:type="dxa"/>
              <w:bottom w:w="70" w:type="dxa"/>
              <w:left w:w="100" w:type="dxa"/>
              <w:right w:w="100" w:type="dxa"/>
            </w:tcMar>
          </w:tcPr>
          <w:p>
            <w:pPr>
              <w:jc w:val="left"/>
            </w:pPr>
            <w:r>
              <w:rPr>
                <w:sz w:val="17"/>
              </w:rPr>
              <w:t>Synthetic &amp; vision benchmarks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Yes (on vision)</w:t>
            </w:r>
          </w:p>
        </w:tc>
        <w:tc>
          <w:tcPr>
            <w:tcW w:type="dxa" w:w="1505"/>
            <w:shd w:fill="F8FAFC"/>
            <w:tcMar>
              <w:top w:w="70" w:type="dxa"/>
              <w:bottom w:w="70" w:type="dxa"/>
              <w:left w:w="100" w:type="dxa"/>
              <w:right w:w="100" w:type="dxa"/>
            </w:tcMar>
          </w:tcPr>
          <w:p>
            <w:pPr>
              <w:jc w:val="left"/>
            </w:pPr>
            <w:r>
              <w:rPr>
                <w:sz w:val="17"/>
              </w:rPr>
              <w:t>Performance degrades under high client non-IID drift</w:t>
            </w:r>
          </w:p>
        </w:tc>
      </w:tr>
      <w:tr>
        <w:tc>
          <w:tcPr>
            <w:tcW w:type="dxa" w:w="1505"/>
            <w:shd w:fill="FFFFFF"/>
            <w:tcMar>
              <w:top w:w="70" w:type="dxa"/>
              <w:bottom w:w="70" w:type="dxa"/>
              <w:left w:w="100" w:type="dxa"/>
              <w:right w:w="100" w:type="dxa"/>
            </w:tcMar>
          </w:tcPr>
          <w:p>
            <w:pPr>
              <w:jc w:val="center"/>
            </w:pPr>
            <w:r>
              <w:rPr>
                <w:sz w:val="17"/>
              </w:rPr>
              <w:t>Li et al. (2020) [19]</w:t>
            </w:r>
          </w:p>
        </w:tc>
        <w:tc>
          <w:tcPr>
            <w:tcW w:type="dxa" w:w="1505"/>
            <w:shd w:fill="FFFFFF"/>
            <w:tcMar>
              <w:top w:w="70" w:type="dxa"/>
              <w:bottom w:w="70" w:type="dxa"/>
              <w:left w:w="100" w:type="dxa"/>
              <w:right w:w="100" w:type="dxa"/>
            </w:tcMar>
          </w:tcPr>
          <w:p>
            <w:pPr>
              <w:jc w:val="center"/>
            </w:pPr>
            <w:r>
              <w:rPr>
                <w:sz w:val="17"/>
              </w:rPr>
              <w:t>FedProx (Proximal term)</w:t>
            </w:r>
          </w:p>
        </w:tc>
        <w:tc>
          <w:tcPr>
            <w:tcW w:type="dxa" w:w="1505"/>
            <w:shd w:fill="FFFFFF"/>
            <w:tcMar>
              <w:top w:w="70" w:type="dxa"/>
              <w:bottom w:w="70" w:type="dxa"/>
              <w:left w:w="100" w:type="dxa"/>
              <w:right w:w="100" w:type="dxa"/>
            </w:tcMar>
          </w:tcPr>
          <w:p>
            <w:pPr>
              <w:jc w:val="left"/>
            </w:pPr>
            <w:r>
              <w:rPr>
                <w:sz w:val="17"/>
              </w:rPr>
              <w:t>Federated NLP &amp; vision</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Yes (partial)</w:t>
            </w:r>
          </w:p>
        </w:tc>
        <w:tc>
          <w:tcPr>
            <w:tcW w:type="dxa" w:w="1505"/>
            <w:shd w:fill="FFFFFF"/>
            <w:tcMar>
              <w:top w:w="70" w:type="dxa"/>
              <w:bottom w:w="70" w:type="dxa"/>
              <w:left w:w="100" w:type="dxa"/>
              <w:right w:w="100" w:type="dxa"/>
            </w:tcMar>
          </w:tcPr>
          <w:p>
            <w:pPr>
              <w:jc w:val="left"/>
            </w:pPr>
            <w:r>
              <w:rPr>
                <w:sz w:val="17"/>
              </w:rPr>
              <w:t>Proximal weight hyperparameter requires extensive tuning</w:t>
            </w:r>
          </w:p>
        </w:tc>
      </w:tr>
      <w:tr>
        <w:tc>
          <w:tcPr>
            <w:tcW w:type="dxa" w:w="1505"/>
            <w:shd w:fill="F8FAFC"/>
            <w:tcMar>
              <w:top w:w="70" w:type="dxa"/>
              <w:bottom w:w="70" w:type="dxa"/>
              <w:left w:w="100" w:type="dxa"/>
              <w:right w:w="100" w:type="dxa"/>
            </w:tcMar>
          </w:tcPr>
          <w:p>
            <w:pPr>
              <w:jc w:val="center"/>
            </w:pPr>
            <w:r>
              <w:rPr>
                <w:sz w:val="17"/>
              </w:rPr>
              <w:t>Attiah et al. (2025) [16]</w:t>
            </w:r>
          </w:p>
        </w:tc>
        <w:tc>
          <w:tcPr>
            <w:tcW w:type="dxa" w:w="1505"/>
            <w:shd w:fill="F8FAFC"/>
            <w:tcMar>
              <w:top w:w="70" w:type="dxa"/>
              <w:bottom w:w="70" w:type="dxa"/>
              <w:left w:w="100" w:type="dxa"/>
              <w:right w:w="100" w:type="dxa"/>
            </w:tcMar>
          </w:tcPr>
          <w:p>
            <w:pPr>
              <w:jc w:val="center"/>
            </w:pPr>
            <w:r>
              <w:rPr>
                <w:sz w:val="17"/>
              </w:rPr>
              <w:t>FedPark (Crowdsensing)</w:t>
            </w:r>
          </w:p>
        </w:tc>
        <w:tc>
          <w:tcPr>
            <w:tcW w:type="dxa" w:w="1505"/>
            <w:shd w:fill="F8FAFC"/>
            <w:tcMar>
              <w:top w:w="70" w:type="dxa"/>
              <w:bottom w:w="70" w:type="dxa"/>
              <w:left w:w="100" w:type="dxa"/>
              <w:right w:w="100" w:type="dxa"/>
            </w:tcMar>
          </w:tcPr>
          <w:p>
            <w:pPr>
              <w:jc w:val="left"/>
            </w:pPr>
            <w:r>
              <w:rPr>
                <w:sz w:val="17"/>
              </w:rPr>
              <w:t>Crowdsourced mobile logs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No</w:t>
            </w:r>
          </w:p>
        </w:tc>
        <w:tc>
          <w:tcPr>
            <w:tcW w:type="dxa" w:w="1505"/>
            <w:shd w:fill="F8FAFC"/>
            <w:tcMar>
              <w:top w:w="70" w:type="dxa"/>
              <w:bottom w:w="70" w:type="dxa"/>
              <w:left w:w="100" w:type="dxa"/>
              <w:right w:w="100" w:type="dxa"/>
            </w:tcMar>
          </w:tcPr>
          <w:p>
            <w:pPr>
              <w:jc w:val="left"/>
            </w:pPr>
            <w:r>
              <w:rPr>
                <w:sz w:val="17"/>
              </w:rPr>
              <w:t>Focuses on on-street crowdsensing; lacks local linear baselines</w:t>
            </w:r>
          </w:p>
        </w:tc>
      </w:tr>
      <w:tr>
        <w:tc>
          <w:tcPr>
            <w:tcW w:type="dxa" w:w="1505"/>
            <w:shd w:fill="FFFFFF"/>
            <w:tcMar>
              <w:top w:w="70" w:type="dxa"/>
              <w:bottom w:w="70" w:type="dxa"/>
              <w:left w:w="100" w:type="dxa"/>
              <w:right w:w="100" w:type="dxa"/>
            </w:tcMar>
          </w:tcPr>
          <w:p>
            <w:pPr>
              <w:jc w:val="center"/>
            </w:pPr>
            <w:r>
              <w:rPr>
                <w:sz w:val="17"/>
              </w:rPr>
              <w:t>Rocco di Torrepadula et al. (2025) [22]</w:t>
            </w:r>
          </w:p>
        </w:tc>
        <w:tc>
          <w:tcPr>
            <w:tcW w:type="dxa" w:w="1505"/>
            <w:shd w:fill="FFFFFF"/>
            <w:tcMar>
              <w:top w:w="70" w:type="dxa"/>
              <w:bottom w:w="70" w:type="dxa"/>
              <w:left w:w="100" w:type="dxa"/>
              <w:right w:w="100" w:type="dxa"/>
            </w:tcMar>
          </w:tcPr>
          <w:p>
            <w:pPr>
              <w:jc w:val="center"/>
            </w:pPr>
            <w:r>
              <w:rPr>
                <w:sz w:val="17"/>
              </w:rPr>
              <w:t>FedFlow (Personalized FL)</w:t>
            </w:r>
          </w:p>
        </w:tc>
        <w:tc>
          <w:tcPr>
            <w:tcW w:type="dxa" w:w="1505"/>
            <w:shd w:fill="FFFFFF"/>
            <w:tcMar>
              <w:top w:w="70" w:type="dxa"/>
              <w:bottom w:w="70" w:type="dxa"/>
              <w:left w:w="100" w:type="dxa"/>
              <w:right w:w="100" w:type="dxa"/>
            </w:tcMar>
          </w:tcPr>
          <w:p>
            <w:pPr>
              <w:jc w:val="left"/>
            </w:pPr>
            <w:r>
              <w:rPr>
                <w:sz w:val="17"/>
              </w:rPr>
              <w:t>Mobility passenger flows</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Does not evaluate smart parking or local linear baselines</w:t>
            </w:r>
          </w:p>
        </w:tc>
      </w:tr>
      <w:tr>
        <w:tc>
          <w:tcPr>
            <w:tcW w:type="dxa" w:w="1505"/>
            <w:shd w:fill="F8FAFC"/>
            <w:tcMar>
              <w:top w:w="70" w:type="dxa"/>
              <w:bottom w:w="70" w:type="dxa"/>
              <w:left w:w="100" w:type="dxa"/>
              <w:right w:w="100" w:type="dxa"/>
            </w:tcMar>
          </w:tcPr>
          <w:p>
            <w:pPr>
              <w:jc w:val="center"/>
            </w:pPr>
            <w:r>
              <w:rPr>
                <w:sz w:val="17"/>
              </w:rPr>
              <w:t>This Study (2026)</w:t>
            </w:r>
          </w:p>
        </w:tc>
        <w:tc>
          <w:tcPr>
            <w:tcW w:type="dxa" w:w="1505"/>
            <w:shd w:fill="F8FAFC"/>
            <w:tcMar>
              <w:top w:w="70" w:type="dxa"/>
              <w:bottom w:w="70" w:type="dxa"/>
              <w:left w:w="100" w:type="dxa"/>
              <w:right w:w="100" w:type="dxa"/>
            </w:tcMar>
          </w:tcPr>
          <w:p>
            <w:pPr>
              <w:jc w:val="center"/>
            </w:pPr>
            <w:r>
              <w:rPr>
                <w:sz w:val="17"/>
              </w:rPr>
              <w:t>Personalized Fed-Attention-LSTM</w:t>
            </w:r>
          </w:p>
        </w:tc>
        <w:tc>
          <w:tcPr>
            <w:tcW w:type="dxa" w:w="1505"/>
            <w:shd w:fill="F8FAFC"/>
            <w:tcMar>
              <w:top w:w="70" w:type="dxa"/>
              <w:bottom w:w="70" w:type="dxa"/>
              <w:left w:w="100" w:type="dxa"/>
              <w:right w:w="100" w:type="dxa"/>
            </w:tcMar>
          </w:tcPr>
          <w:p>
            <w:pPr>
              <w:jc w:val="left"/>
            </w:pPr>
            <w:r>
              <w:rPr>
                <w:sz w:val="17"/>
              </w:rPr>
              <w:t>Birmingham IoT (30 lots)</w:t>
            </w:r>
          </w:p>
        </w:tc>
        <w:tc>
          <w:tcPr>
            <w:tcW w:type="dxa" w:w="1505"/>
            <w:shd w:fill="F8FAFC"/>
            <w:tcMar>
              <w:top w:w="70" w:type="dxa"/>
              <w:bottom w:w="70" w:type="dxa"/>
              <w:left w:w="100" w:type="dxa"/>
              <w:right w:w="100" w:type="dxa"/>
            </w:tcMar>
          </w:tcPr>
          <w:p>
            <w:pPr>
              <w:jc w:val="left"/>
            </w:pPr>
            <w:r>
              <w:rPr>
                <w:sz w:val="17"/>
              </w:rPr>
              <w:t>Private / Multi-stakeholder</w:t>
            </w:r>
          </w:p>
        </w:tc>
        <w:tc>
          <w:tcPr>
            <w:tcW w:type="dxa" w:w="1505"/>
            <w:shd w:fill="F8FAFC"/>
            <w:tcMar>
              <w:top w:w="70" w:type="dxa"/>
              <w:bottom w:w="70" w:type="dxa"/>
              <w:left w:w="100" w:type="dxa"/>
              <w:right w:w="100" w:type="dxa"/>
            </w:tcMar>
          </w:tcPr>
          <w:p>
            <w:pPr>
              <w:jc w:val="left"/>
            </w:pPr>
            <w:r>
              <w:rPr>
                <w:sz w:val="17"/>
              </w:rPr>
              <w:t>Yes (Persistence + Local Linear)</w:t>
            </w:r>
          </w:p>
        </w:tc>
        <w:tc>
          <w:tcPr>
            <w:tcW w:type="dxa" w:w="1505"/>
            <w:shd w:fill="F8FAFC"/>
            <w:tcMar>
              <w:top w:w="70" w:type="dxa"/>
              <w:bottom w:w="70" w:type="dxa"/>
              <w:left w:w="100" w:type="dxa"/>
              <w:right w:w="100" w:type="dxa"/>
            </w:tcMar>
          </w:tcPr>
          <w:p>
            <w:pPr>
              <w:jc w:val="left"/>
            </w:pPr>
            <w:r>
              <w:rPr>
                <w:sz w:val="17"/>
              </w:rPr>
              <w:t>Evaluated on single municipal stream; 73-day span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Multiple sensor bursts within a single slot are resolved by taking the latest valid update.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preserve all 30 parking facilities in the evaluation set, the chronological 70% training, 15% validation, and 15% testing split was applied at the individual sliding sequence window level along each facility's active operational timeline. For each facility i generating N_i sliding windows, the partition cutoff indices were set to floor(0.70 N_i) for training and floor(0.85 N_i) for validation, with the remaining windows assigned to testing. This window-level partition ensures exact proportional representation across all facilities regardless of timeline truncation: facilities with short operating periods (e.g., BHMBRTARC01 with 55 total windows, NIA North with 99 total windows) and full-duration garages (803 total windows) each contribute strictly 70% to training, 15% to validation, and 15% to testing. Across all 30 clients, this produces exactly 15,299 training windows (69.96%), 3,276 validation windows (14.98%), and 3,293 unified test windows (15.06%), summing to exactly 21,868 windows. Because partitioning operates at sequence cutoffs, partition window counts are not multiples of the daily window multiplier (11), as fractional day sequences are partitioned continuously along the active timeline. Across the entire testbed, exactly one transition window occurs across partition boundaries per facility (30 out of 3,293 test windows, or 0.91%); an empirical audit with boundary windows excluded confirmed zero change in reported MAE and RMSE to four decimal places.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R^5 concatenates the continuous availability ratio a_t with cyclical diurnal time embeddings:</w:t>
      </w:r>
    </w:p>
    <w:p>
      <w:pPr>
        <w:spacing w:before="80" w:after="80"/>
        <w:jc w:val="both"/>
      </w:pPr>
      <w:r>
        <w:rPr>
          <w:rFonts w:ascii="Times New Roman" w:hAnsi="Times New Roman"/>
          <w:i/>
          <w:sz w:val="22"/>
        </w:rPr>
        <w:tab/>
        <w:t>x_t = [ a_t,  \sin(2\pi h_t / 24),  \cos(2\pi h_t / 24),  \sin(2\pi d_t / 7),  \cos(2\pi d_t / 7) ]^T</w:t>
        <w:tab/>
      </w:r>
      <w:r>
        <w:rPr>
          <w:rFonts w:ascii="Times New Roman" w:hAnsi="Times New Roman"/>
          <w:sz w:val="22"/>
        </w:rPr>
        <w:t>(1)</w:t>
      </w:r>
    </w:p>
    <w:p>
      <w:pPr>
        <w:spacing w:before="0" w:after="100" w:line="276" w:lineRule="auto"/>
        <w:jc w:val="both"/>
      </w:pPr>
      <w:r>
        <w:rPr>
          <w:rFonts w:ascii="Times New Roman" w:hAnsi="Times New Roman"/>
          <w:sz w:val="22"/>
        </w:rPr>
        <w:t>where h_t in [8.0, 16.5] is the daytime hour and d_t in {0, ..., 6} represents the day of the week.</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concern in time series forecasting is the potential for predictive lookahead leakage. In our preprocessing pipeline, three strict architectural safeguards prevent future information from contaminating model inputs or evaluation partitions:</w:t>
      </w:r>
    </w:p>
    <w:p>
      <w:pPr>
        <w:pStyle w:val="ListParagraph"/>
        <w:spacing w:before="40" w:after="40"/>
      </w:pPr>
      <w:r>
        <w:rPr>
          <w:b/>
        </w:rPr>
        <w:t xml:space="preserve">1. Intra-Session Day Bounding: </w:t>
      </w:r>
      <w:r>
        <w:t>Linear time interpolation for missing readings is executed strictly within each single calendar day between 08:00 and 16:30. Interpolation is never performed across overnight closures (16:30 to 08:00). Overnight gaps are treated as absolute sequence boundaries, guaranteeing that evening observations never influence morning forecasts.</w:t>
      </w:r>
    </w:p>
    <w:p>
      <w:pPr>
        <w:pStyle w:val="ListParagraph"/>
        <w:spacing w:before="40" w:after="40"/>
      </w:pPr>
      <w:r>
        <w:rPr>
          <w:b/>
        </w:rPr>
        <w:t xml:space="preserve">2. Strict Chronological Timeline Splitting: </w:t>
      </w:r>
      <w:r>
        <w:t>The 70% train, 15% validation, and 15% test partition is applied strictly chronologically along each facility's active operational timeline. The training partition contains solely the earliest 70% of days, followed by the next 15% for validation, and the final 15% for testing. Because interpolation occurs within individual days before chronological windowing, no test-period observation can ever influence train or validation interpolations.</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in future time steps.</w:t>
      </w:r>
    </w:p>
    <w:p>
      <w:pPr>
        <w:spacing w:before="0" w:after="100" w:line="276" w:lineRule="auto"/>
        <w:jc w:val="both"/>
      </w:pPr>
      <w:r>
        <w:rPr>
          <w:rFonts w:ascii="Times New Roman" w:hAnsi="Times New Roman"/>
          <w:sz w:val="22"/>
        </w:rPr>
        <w:t>To empirically evaluate whether daytime interpolation distorts forecasting accuracy or biases model rankings, we audited all 3,293 test sequence windows across the 30 facilities. This forensic audit revealed that 2,811 test windows (85.4%) are completely uninterpolated—every single one of the 8 constituent time steps corresponds to an authentic, un-imputed physical sensor transmission. Only 482 windows (14.6%) contain one or more interpolated daytime slots. We conducted a rigorous sensitivity analysis evaluating model accuracy on the pure uninterpolated test subset versus the complete test set. Centralized Attention-LSTM achieved an MAE of 0.02196 (rounded to 0.0220) on the pure raw subset versus 0.02171 (rounded to 0.0217) on the full test set—an unrounded difference of +0.00025, or ~0.3 bays. Global FedAvg achieved an MAE of 0.10228 (0.1023) on the pure raw subset versus 0.10075 (0.1007) on the full test set (+0.00153 difference), while Personalized FedAvg achieved 0.06366 (0.0637) versus 0.06066 (0.0607), a difference of +0.00300. Similarly, Local Linear AR(4) achieved 0.0128 versus 0.0126. Crucially, model rankings, relative margins, and the overwhelming superiority of local linear baselines remain completely unchanged between the raw subsample and the complete test set. We therefore conclude that while linear time-interpolation within operating hours is an operational heuristic for missing daytime readings, the reported benchmark results, algorithmic rankings, and baseline hierarchies are robust and not artifacts of daytime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model to selectively focus on critical past time steps (such as peak in-rush intervals), we integrate a temporal attention mechanism over the recurrent sequence based on Bahdanau et al. [5]. The attention alignment score e_t and normalized weight alpha_t for historical step t are computed with respect to the terminal hidden state h_L:</w:t>
      </w:r>
    </w:p>
    <w:p>
      <w:pPr>
        <w:spacing w:before="80" w:after="80"/>
        <w:jc w:val="both"/>
      </w:pPr>
      <w:r>
        <w:rPr>
          <w:rFonts w:ascii="Times New Roman" w:hAnsi="Times New Roman"/>
          <w:i/>
          <w:sz w:val="22"/>
        </w:rPr>
        <w:tab/>
        <w:t>e_t = v_a^T \tanh(W_a h_t + U_a h_L + b_a)</w:t>
        <w:tab/>
      </w:r>
      <w:r>
        <w:rPr>
          <w:rFonts w:ascii="Times New Roman" w:hAnsi="Times New Roman"/>
          <w:sz w:val="22"/>
        </w:rPr>
        <w:t>(2)</w:t>
      </w:r>
    </w:p>
    <w:p>
      <w:pPr>
        <w:spacing w:before="80" w:after="80"/>
        <w:jc w:val="both"/>
      </w:pPr>
      <w:r>
        <w:rPr>
          <w:rFonts w:ascii="Times New Roman" w:hAnsi="Times New Roman"/>
          <w:i/>
          <w:sz w:val="22"/>
        </w:rPr>
        <w:tab/>
        <w:t>\alpha_t = \frac{\exp(e_t)}{\sum_{j=1}^L \exp(e_j)}</w:t>
        <w:tab/>
      </w:r>
      <w:r>
        <w:rPr>
          <w:rFonts w:ascii="Times New Roman" w:hAnsi="Times New Roman"/>
          <w:sz w:val="22"/>
        </w:rPr>
        <w:t>(3)</w:t>
      </w:r>
    </w:p>
    <w:p>
      <w:pPr>
        <w:spacing w:before="0" w:after="100" w:line="276" w:lineRule="auto"/>
        <w:jc w:val="both"/>
      </w:pPr>
      <w:r>
        <w:rPr>
          <w:rFonts w:ascii="Times New Roman" w:hAnsi="Times New Roman"/>
          <w:sz w:val="22"/>
        </w:rPr>
        <w:t>where W_a, U_a in R^{32 x 64}, v_a in R^{32}, and b_a in R^{32} are learnable parameters. The temporal context vector c in R^{64} is the weighted sum of historical representations: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(Fully Private): </w:t>
      </w:r>
      <w:r>
        <w:t>Each client independently fits an autoregressive linear ridge regression model on its own past 4 availability observations (a_{t-3}, ..., a_t). Employs strictly local data with zero cross-lot communication, providing 100% privacy and zero infrastructure overhead.</w:t>
      </w:r>
    </w:p>
    <w:p>
      <w:pPr>
        <w:pStyle w:val="ListParagraph"/>
        <w:spacing w:before="40" w:after="40"/>
      </w:pPr>
      <w:r>
        <w:rPr>
          <w:b/>
        </w:rPr>
        <w:t xml:space="preserve">3. Pooled Centralized Linear AR(4) Baseline: </w:t>
      </w:r>
      <w:r>
        <w:t>A single global 4-parameter linear autoregressive model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Thus, each federated client executes barely 1.78% of the gradient updates performed by the centralized model. While the IID-shuffled control experiment demonstrates that non-IID statistical heterogeneity accounts for 35.8% of the initial gap between FedAvg and centralized models, the remaining 64.2% residual deficit is strongly consistent with optimization under-training under communication round constraints. Because FedAvg test error continues to improve gradually when communication rounds are extended from R = 8 to R = 16 (falling from 0.1007 to 0.0978),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3,293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(3,293 Unified Test Windows; Evaluated under Primary Benchmark Protocol, Seed = 42,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0.0257</w:t>
            </w:r>
          </w:p>
        </w:tc>
        <w:tc>
          <w:tcPr>
            <w:tcW w:type="dxa" w:w="1290"/>
            <w:shd w:fill="FFFFFF"/>
            <w:tcMar>
              <w:top w:w="60" w:type="dxa"/>
              <w:bottom w:w="60" w:type="dxa"/>
              <w:left w:w="80" w:type="dxa"/>
              <w:right w:w="80" w:type="dxa"/>
            </w:tcMar>
          </w:tcPr>
          <w:p>
            <w:pPr>
              <w:jc w:val="center"/>
            </w:pPr>
            <w:r>
              <w:rPr>
                <w:b/>
                <w:sz w:val="16"/>
              </w:rPr>
              <w:t>0.0387</w:t>
            </w:r>
          </w:p>
        </w:tc>
        <w:tc>
          <w:tcPr>
            <w:tcW w:type="dxa" w:w="1290"/>
            <w:shd w:fill="FFFFFF"/>
            <w:tcMar>
              <w:top w:w="60" w:type="dxa"/>
              <w:bottom w:w="60" w:type="dxa"/>
              <w:left w:w="80" w:type="dxa"/>
              <w:right w:w="80" w:type="dxa"/>
            </w:tcMar>
          </w:tcPr>
          <w:p>
            <w:pPr>
              <w:jc w:val="center"/>
            </w:pPr>
            <w:r>
              <w:rPr>
                <w:b/>
                <w:sz w:val="16"/>
              </w:rPr>
              <w:t>0.0251</w:t>
            </w:r>
          </w:p>
        </w:tc>
        <w:tc>
          <w:tcPr>
            <w:tcW w:type="dxa" w:w="1290"/>
            <w:shd w:fill="FFFFFF"/>
            <w:tcMar>
              <w:top w:w="60" w:type="dxa"/>
              <w:bottom w:w="60" w:type="dxa"/>
              <w:left w:w="80" w:type="dxa"/>
              <w:right w:w="80" w:type="dxa"/>
            </w:tcMar>
          </w:tcPr>
          <w:p>
            <w:pPr>
              <w:jc w:val="center"/>
            </w:pPr>
            <w:r>
              <w:rPr>
                <w:b/>
                <w:sz w:val="16"/>
              </w:rPr>
              <w:t>0.0133</w:t>
            </w:r>
          </w:p>
        </w:tc>
        <w:tc>
          <w:tcPr>
            <w:tcW w:type="dxa" w:w="1290"/>
            <w:shd w:fill="FFFFFF"/>
            <w:tcMar>
              <w:top w:w="60" w:type="dxa"/>
              <w:bottom w:w="60" w:type="dxa"/>
              <w:left w:w="80" w:type="dxa"/>
              <w:right w:w="80" w:type="dxa"/>
            </w:tcMar>
          </w:tcPr>
          <w:p>
            <w:pPr>
              <w:jc w:val="center"/>
            </w:pPr>
            <w:r>
              <w:rPr>
                <w:b/>
                <w:sz w:val="16"/>
              </w:rPr>
              <w:t>35.2</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(Private)</w:t>
            </w:r>
          </w:p>
        </w:tc>
        <w:tc>
          <w:tcPr>
            <w:tcW w:type="dxa" w:w="1290"/>
            <w:shd w:fill="F1F5F9"/>
            <w:tcMar>
              <w:top w:w="60" w:type="dxa"/>
              <w:bottom w:w="60" w:type="dxa"/>
              <w:left w:w="80" w:type="dxa"/>
              <w:right w:w="80" w:type="dxa"/>
            </w:tcMar>
          </w:tcPr>
          <w:p>
            <w:pPr>
              <w:jc w:val="center"/>
            </w:pPr>
            <w:r>
              <w:rPr>
                <w:b/>
                <w:sz w:val="16"/>
              </w:rPr>
              <w:t>0.0126</w:t>
            </w:r>
          </w:p>
        </w:tc>
        <w:tc>
          <w:tcPr>
            <w:tcW w:type="dxa" w:w="1290"/>
            <w:shd w:fill="F1F5F9"/>
            <w:tcMar>
              <w:top w:w="60" w:type="dxa"/>
              <w:bottom w:w="60" w:type="dxa"/>
              <w:left w:w="80" w:type="dxa"/>
              <w:right w:w="80" w:type="dxa"/>
            </w:tcMar>
          </w:tcPr>
          <w:p>
            <w:pPr>
              <w:jc w:val="center"/>
            </w:pPr>
            <w:r>
              <w:rPr>
                <w:b/>
                <w:sz w:val="16"/>
              </w:rPr>
              <w:t>0.0179</w:t>
            </w:r>
          </w:p>
        </w:tc>
        <w:tc>
          <w:tcPr>
            <w:tcW w:type="dxa" w:w="1290"/>
            <w:shd w:fill="F1F5F9"/>
            <w:tcMar>
              <w:top w:w="60" w:type="dxa"/>
              <w:bottom w:w="60" w:type="dxa"/>
              <w:left w:w="80" w:type="dxa"/>
              <w:right w:w="80" w:type="dxa"/>
            </w:tcMar>
          </w:tcPr>
          <w:p>
            <w:pPr>
              <w:jc w:val="center"/>
            </w:pPr>
            <w:r>
              <w:rPr>
                <w:b/>
                <w:sz w:val="16"/>
              </w:rPr>
              <w:t>0.0126</w:t>
            </w:r>
          </w:p>
        </w:tc>
        <w:tc>
          <w:tcPr>
            <w:tcW w:type="dxa" w:w="1290"/>
            <w:shd w:fill="F1F5F9"/>
            <w:tcMar>
              <w:top w:w="60" w:type="dxa"/>
              <w:bottom w:w="60" w:type="dxa"/>
              <w:left w:w="80" w:type="dxa"/>
              <w:right w:w="80" w:type="dxa"/>
            </w:tcMar>
          </w:tcPr>
          <w:p>
            <w:pPr>
              <w:jc w:val="center"/>
            </w:pPr>
            <w:r>
              <w:rPr>
                <w:b/>
                <w:sz w:val="16"/>
              </w:rPr>
              <w:t>0.0050</w:t>
            </w:r>
          </w:p>
        </w:tc>
        <w:tc>
          <w:tcPr>
            <w:tcW w:type="dxa" w:w="1290"/>
            <w:shd w:fill="F1F5F9"/>
            <w:tcMar>
              <w:top w:w="60" w:type="dxa"/>
              <w:bottom w:w="60" w:type="dxa"/>
              <w:left w:w="80" w:type="dxa"/>
              <w:right w:w="80" w:type="dxa"/>
            </w:tcMar>
          </w:tcPr>
          <w:p>
            <w:pPr>
              <w:jc w:val="center"/>
            </w:pPr>
            <w:r>
              <w:rPr>
                <w:b/>
                <w:sz w:val="16"/>
              </w:rPr>
              <w:t>14.5</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0.0189</w:t>
            </w:r>
          </w:p>
        </w:tc>
        <w:tc>
          <w:tcPr>
            <w:tcW w:type="dxa" w:w="1290"/>
            <w:shd w:fill="FFFFFF"/>
            <w:tcMar>
              <w:top w:w="60" w:type="dxa"/>
              <w:bottom w:w="60" w:type="dxa"/>
              <w:left w:w="80" w:type="dxa"/>
              <w:right w:w="80" w:type="dxa"/>
            </w:tcMar>
          </w:tcPr>
          <w:p>
            <w:pPr>
              <w:jc w:val="center"/>
            </w:pPr>
            <w:r>
              <w:rPr>
                <w:sz w:val="16"/>
              </w:rPr>
              <w:t>0.0130</w:t>
            </w:r>
          </w:p>
        </w:tc>
        <w:tc>
          <w:tcPr>
            <w:tcW w:type="dxa" w:w="1290"/>
            <w:shd w:fill="FFFFFF"/>
            <w:tcMar>
              <w:top w:w="60" w:type="dxa"/>
              <w:bottom w:w="60" w:type="dxa"/>
              <w:left w:w="80" w:type="dxa"/>
              <w:right w:w="80" w:type="dxa"/>
            </w:tcMar>
          </w:tcPr>
          <w:p>
            <w:pPr>
              <w:jc w:val="center"/>
            </w:pPr>
            <w:r>
              <w:rPr>
                <w:sz w:val="16"/>
              </w:rPr>
              <w:t>0.0049</w:t>
            </w:r>
          </w:p>
        </w:tc>
        <w:tc>
          <w:tcPr>
            <w:tcW w:type="dxa" w:w="1290"/>
            <w:shd w:fill="FFFFFF"/>
            <w:tcMar>
              <w:top w:w="60" w:type="dxa"/>
              <w:bottom w:w="60" w:type="dxa"/>
              <w:left w:w="80" w:type="dxa"/>
              <w:right w:w="80" w:type="dxa"/>
            </w:tcMar>
          </w:tcPr>
          <w:p>
            <w:pPr>
              <w:jc w:val="center"/>
            </w:pPr>
            <w:r>
              <w:rPr>
                <w:sz w:val="16"/>
              </w:rPr>
              <w:t>15.1</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0.0145</w:t>
            </w:r>
          </w:p>
        </w:tc>
        <w:tc>
          <w:tcPr>
            <w:tcW w:type="dxa" w:w="1290"/>
            <w:shd w:fill="F8FAFC"/>
            <w:tcMar>
              <w:top w:w="60" w:type="dxa"/>
              <w:bottom w:w="60" w:type="dxa"/>
              <w:left w:w="80" w:type="dxa"/>
              <w:right w:w="80" w:type="dxa"/>
            </w:tcMar>
          </w:tcPr>
          <w:p>
            <w:pPr>
              <w:jc w:val="center"/>
            </w:pPr>
            <w:r>
              <w:rPr>
                <w:sz w:val="16"/>
              </w:rPr>
              <w:t>0.0202</w:t>
            </w:r>
          </w:p>
        </w:tc>
        <w:tc>
          <w:tcPr>
            <w:tcW w:type="dxa" w:w="1290"/>
            <w:shd w:fill="F8FAFC"/>
            <w:tcMar>
              <w:top w:w="60" w:type="dxa"/>
              <w:bottom w:w="60" w:type="dxa"/>
              <w:left w:w="80" w:type="dxa"/>
              <w:right w:w="80" w:type="dxa"/>
            </w:tcMar>
          </w:tcPr>
          <w:p>
            <w:pPr>
              <w:jc w:val="center"/>
            </w:pPr>
            <w:r>
              <w:rPr>
                <w:sz w:val="16"/>
              </w:rPr>
              <w:t>0.0154</w:t>
            </w:r>
          </w:p>
        </w:tc>
        <w:tc>
          <w:tcPr>
            <w:tcW w:type="dxa" w:w="1290"/>
            <w:shd w:fill="F8FAFC"/>
            <w:tcMar>
              <w:top w:w="60" w:type="dxa"/>
              <w:bottom w:w="60" w:type="dxa"/>
              <w:left w:w="80" w:type="dxa"/>
              <w:right w:w="80" w:type="dxa"/>
            </w:tcMar>
          </w:tcPr>
          <w:p>
            <w:pPr>
              <w:jc w:val="center"/>
            </w:pPr>
            <w:r>
              <w:rPr>
                <w:sz w:val="16"/>
              </w:rPr>
              <w:t>0.0063</w:t>
            </w:r>
          </w:p>
        </w:tc>
        <w:tc>
          <w:tcPr>
            <w:tcW w:type="dxa" w:w="1290"/>
            <w:shd w:fill="F8FAFC"/>
            <w:tcMar>
              <w:top w:w="60" w:type="dxa"/>
              <w:bottom w:w="60" w:type="dxa"/>
              <w:left w:w="80" w:type="dxa"/>
              <w:right w:w="80" w:type="dxa"/>
            </w:tcMar>
          </w:tcPr>
          <w:p>
            <w:pPr>
              <w:jc w:val="center"/>
            </w:pPr>
            <w:r>
              <w:rPr>
                <w:sz w:val="16"/>
              </w:rPr>
              <w:t>17.6</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w:t>
            </w:r>
          </w:p>
        </w:tc>
        <w:tc>
          <w:tcPr>
            <w:tcW w:type="dxa" w:w="1290"/>
            <w:shd w:fill="FFFFFF"/>
            <w:tcMar>
              <w:top w:w="60" w:type="dxa"/>
              <w:bottom w:w="60" w:type="dxa"/>
              <w:left w:w="80" w:type="dxa"/>
              <w:right w:w="80" w:type="dxa"/>
            </w:tcMar>
          </w:tcPr>
          <w:p>
            <w:pPr>
              <w:jc w:val="center"/>
            </w:pPr>
            <w:r>
              <w:rPr>
                <w:sz w:val="16"/>
              </w:rPr>
              <w:t>0.0300</w:t>
            </w:r>
          </w:p>
        </w:tc>
        <w:tc>
          <w:tcPr>
            <w:tcW w:type="dxa" w:w="1290"/>
            <w:shd w:fill="FFFFFF"/>
            <w:tcMar>
              <w:top w:w="60" w:type="dxa"/>
              <w:bottom w:w="60" w:type="dxa"/>
              <w:left w:w="80" w:type="dxa"/>
              <w:right w:w="80" w:type="dxa"/>
            </w:tcMar>
          </w:tcPr>
          <w:p>
            <w:pPr>
              <w:jc w:val="center"/>
            </w:pPr>
            <w:r>
              <w:rPr>
                <w:sz w:val="16"/>
              </w:rPr>
              <w:t>0.0232</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25.2</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w:t>
            </w:r>
          </w:p>
        </w:tc>
        <w:tc>
          <w:tcPr>
            <w:tcW w:type="dxa" w:w="1290"/>
            <w:shd w:fill="F8FAFC"/>
            <w:tcMar>
              <w:top w:w="60" w:type="dxa"/>
              <w:bottom w:w="60" w:type="dxa"/>
              <w:left w:w="80" w:type="dxa"/>
              <w:right w:w="80" w:type="dxa"/>
            </w:tcMar>
          </w:tcPr>
          <w:p>
            <w:pPr>
              <w:jc w:val="center"/>
            </w:pPr>
            <w:r>
              <w:rPr>
                <w:sz w:val="16"/>
              </w:rPr>
              <w:t>0.0285</w:t>
            </w:r>
          </w:p>
        </w:tc>
        <w:tc>
          <w:tcPr>
            <w:tcW w:type="dxa" w:w="1290"/>
            <w:shd w:fill="F8FAFC"/>
            <w:tcMar>
              <w:top w:w="60" w:type="dxa"/>
              <w:bottom w:w="60" w:type="dxa"/>
              <w:left w:w="80" w:type="dxa"/>
              <w:right w:w="80" w:type="dxa"/>
            </w:tcMar>
          </w:tcPr>
          <w:p>
            <w:pPr>
              <w:jc w:val="center"/>
            </w:pPr>
            <w:r>
              <w:rPr>
                <w:sz w:val="16"/>
              </w:rPr>
              <w:t>0.0231</w:t>
            </w:r>
          </w:p>
        </w:tc>
        <w:tc>
          <w:tcPr>
            <w:tcW w:type="dxa" w:w="1290"/>
            <w:shd w:fill="F8FAFC"/>
            <w:tcMar>
              <w:top w:w="60" w:type="dxa"/>
              <w:bottom w:w="60" w:type="dxa"/>
              <w:left w:w="80" w:type="dxa"/>
              <w:right w:w="80" w:type="dxa"/>
            </w:tcMar>
          </w:tcPr>
          <w:p>
            <w:pPr>
              <w:jc w:val="center"/>
            </w:pPr>
            <w:r>
              <w:rPr>
                <w:sz w:val="16"/>
              </w:rPr>
              <w:t>0.0108</w:t>
            </w:r>
          </w:p>
        </w:tc>
        <w:tc>
          <w:tcPr>
            <w:tcW w:type="dxa" w:w="1290"/>
            <w:shd w:fill="F8FAFC"/>
            <w:tcMar>
              <w:top w:w="60" w:type="dxa"/>
              <w:bottom w:w="60" w:type="dxa"/>
              <w:left w:w="80" w:type="dxa"/>
              <w:right w:w="80" w:type="dxa"/>
            </w:tcMar>
          </w:tcPr>
          <w:p>
            <w:pPr>
              <w:jc w:val="center"/>
            </w:pPr>
            <w:r>
              <w:rPr>
                <w:sz w:val="16"/>
              </w:rPr>
              <w:t>27.0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0.1007</w:t>
            </w:r>
          </w:p>
        </w:tc>
        <w:tc>
          <w:tcPr>
            <w:tcW w:type="dxa" w:w="1290"/>
            <w:shd w:fill="FFFFFF"/>
            <w:tcMar>
              <w:top w:w="60" w:type="dxa"/>
              <w:bottom w:w="60" w:type="dxa"/>
              <w:left w:w="80" w:type="dxa"/>
              <w:right w:w="80" w:type="dxa"/>
            </w:tcMar>
          </w:tcPr>
          <w:p>
            <w:pPr>
              <w:jc w:val="center"/>
            </w:pPr>
            <w:r>
              <w:rPr>
                <w:sz w:val="16"/>
              </w:rPr>
              <w:t>0.1313</w:t>
            </w:r>
          </w:p>
        </w:tc>
        <w:tc>
          <w:tcPr>
            <w:tcW w:type="dxa" w:w="1290"/>
            <w:shd w:fill="FFFFFF"/>
            <w:tcMar>
              <w:top w:w="60" w:type="dxa"/>
              <w:bottom w:w="60" w:type="dxa"/>
              <w:left w:w="80" w:type="dxa"/>
              <w:right w:w="80" w:type="dxa"/>
            </w:tcMar>
          </w:tcPr>
          <w:p>
            <w:pPr>
              <w:jc w:val="center"/>
            </w:pPr>
            <w:r>
              <w:rPr>
                <w:sz w:val="16"/>
              </w:rPr>
              <w:t>0.1029</w:t>
            </w:r>
          </w:p>
        </w:tc>
        <w:tc>
          <w:tcPr>
            <w:tcW w:type="dxa" w:w="1290"/>
            <w:shd w:fill="FFFFFF"/>
            <w:tcMar>
              <w:top w:w="60" w:type="dxa"/>
              <w:bottom w:w="60" w:type="dxa"/>
              <w:left w:w="80" w:type="dxa"/>
              <w:right w:w="80" w:type="dxa"/>
            </w:tcMar>
          </w:tcPr>
          <w:p>
            <w:pPr>
              <w:jc w:val="center"/>
            </w:pPr>
            <w:r>
              <w:rPr>
                <w:sz w:val="16"/>
              </w:rPr>
              <w:t>0.0531</w:t>
            </w:r>
          </w:p>
        </w:tc>
        <w:tc>
          <w:tcPr>
            <w:tcW w:type="dxa" w:w="1290"/>
            <w:shd w:fill="FFFFFF"/>
            <w:tcMar>
              <w:top w:w="60" w:type="dxa"/>
              <w:bottom w:w="60" w:type="dxa"/>
              <w:left w:w="80" w:type="dxa"/>
              <w:right w:w="80" w:type="dxa"/>
            </w:tcMar>
          </w:tcPr>
          <w:p>
            <w:pPr>
              <w:jc w:val="center"/>
            </w:pPr>
            <w:r>
              <w:rPr>
                <w:sz w:val="16"/>
              </w:rPr>
              <w:t>127.1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0.0607</w:t>
            </w:r>
          </w:p>
        </w:tc>
        <w:tc>
          <w:tcPr>
            <w:tcW w:type="dxa" w:w="1290"/>
            <w:shd w:fill="F1F5F9"/>
            <w:tcMar>
              <w:top w:w="60" w:type="dxa"/>
              <w:bottom w:w="60" w:type="dxa"/>
              <w:left w:w="80" w:type="dxa"/>
              <w:right w:w="80" w:type="dxa"/>
            </w:tcMar>
          </w:tcPr>
          <w:p>
            <w:pPr>
              <w:jc w:val="center"/>
            </w:pPr>
            <w:r>
              <w:rPr>
                <w:b/>
                <w:sz w:val="16"/>
              </w:rPr>
              <w:t>0.0818</w:t>
            </w:r>
          </w:p>
        </w:tc>
        <w:tc>
          <w:tcPr>
            <w:tcW w:type="dxa" w:w="1290"/>
            <w:shd w:fill="F1F5F9"/>
            <w:tcMar>
              <w:top w:w="60" w:type="dxa"/>
              <w:bottom w:w="60" w:type="dxa"/>
              <w:left w:w="80" w:type="dxa"/>
              <w:right w:w="80" w:type="dxa"/>
            </w:tcMar>
          </w:tcPr>
          <w:p>
            <w:pPr>
              <w:jc w:val="center"/>
            </w:pPr>
            <w:r>
              <w:rPr>
                <w:b/>
                <w:sz w:val="16"/>
              </w:rPr>
              <w:t>0.0627</w:t>
            </w:r>
          </w:p>
        </w:tc>
        <w:tc>
          <w:tcPr>
            <w:tcW w:type="dxa" w:w="1290"/>
            <w:shd w:fill="F1F5F9"/>
            <w:tcMar>
              <w:top w:w="60" w:type="dxa"/>
              <w:bottom w:w="60" w:type="dxa"/>
              <w:left w:w="80" w:type="dxa"/>
              <w:right w:w="80" w:type="dxa"/>
            </w:tcMar>
          </w:tcPr>
          <w:p>
            <w:pPr>
              <w:jc w:val="center"/>
            </w:pPr>
            <w:r>
              <w:rPr>
                <w:b/>
                <w:sz w:val="16"/>
              </w:rPr>
              <w:t>0.0276</w:t>
            </w:r>
          </w:p>
        </w:tc>
        <w:tc>
          <w:tcPr>
            <w:tcW w:type="dxa" w:w="1290"/>
            <w:shd w:fill="F1F5F9"/>
            <w:tcMar>
              <w:top w:w="60" w:type="dxa"/>
              <w:bottom w:w="60" w:type="dxa"/>
              <w:left w:w="80" w:type="dxa"/>
              <w:right w:w="80" w:type="dxa"/>
            </w:tcMar>
          </w:tcPr>
          <w:p>
            <w:pPr>
              <w:jc w:val="center"/>
            </w:pPr>
            <w:r>
              <w:rPr>
                <w:b/>
                <w:sz w:val="16"/>
              </w:rPr>
              <w:t>73.1</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0.0494</w:t>
            </w:r>
          </w:p>
        </w:tc>
        <w:tc>
          <w:tcPr>
            <w:tcW w:type="dxa" w:w="1290"/>
            <w:shd w:fill="FFFFFF"/>
            <w:tcMar>
              <w:top w:w="60" w:type="dxa"/>
              <w:bottom w:w="60" w:type="dxa"/>
              <w:left w:w="80" w:type="dxa"/>
              <w:right w:w="80" w:type="dxa"/>
            </w:tcMar>
          </w:tcPr>
          <w:p>
            <w:pPr>
              <w:jc w:val="center"/>
            </w:pPr>
            <w:r>
              <w:rPr>
                <w:b/>
                <w:sz w:val="16"/>
              </w:rPr>
              <w:t>0.0716</w:t>
            </w:r>
          </w:p>
        </w:tc>
        <w:tc>
          <w:tcPr>
            <w:tcW w:type="dxa" w:w="1290"/>
            <w:shd w:fill="FFFFFF"/>
            <w:tcMar>
              <w:top w:w="60" w:type="dxa"/>
              <w:bottom w:w="60" w:type="dxa"/>
              <w:left w:w="80" w:type="dxa"/>
              <w:right w:w="80" w:type="dxa"/>
            </w:tcMar>
          </w:tcPr>
          <w:p>
            <w:pPr>
              <w:jc w:val="center"/>
            </w:pPr>
            <w:r>
              <w:rPr>
                <w:b/>
                <w:sz w:val="16"/>
              </w:rPr>
              <w:t>0.0481</w:t>
            </w:r>
          </w:p>
        </w:tc>
        <w:tc>
          <w:tcPr>
            <w:tcW w:type="dxa" w:w="1290"/>
            <w:shd w:fill="FFFFFF"/>
            <w:tcMar>
              <w:top w:w="60" w:type="dxa"/>
              <w:bottom w:w="60" w:type="dxa"/>
              <w:left w:w="80" w:type="dxa"/>
              <w:right w:w="80" w:type="dxa"/>
            </w:tcMar>
          </w:tcPr>
          <w:p>
            <w:pPr>
              <w:jc w:val="center"/>
            </w:pPr>
            <w:r>
              <w:rPr>
                <w:b/>
                <w:sz w:val="16"/>
              </w:rPr>
              <w:t>0.0248</w:t>
            </w:r>
          </w:p>
        </w:tc>
        <w:tc>
          <w:tcPr>
            <w:tcW w:type="dxa" w:w="1290"/>
            <w:shd w:fill="FFFFFF"/>
            <w:tcMar>
              <w:top w:w="60" w:type="dxa"/>
              <w:bottom w:w="60" w:type="dxa"/>
              <w:left w:w="80" w:type="dxa"/>
              <w:right w:w="80" w:type="dxa"/>
            </w:tcMar>
          </w:tcPr>
          <w:p>
            <w:pPr>
              <w:jc w:val="center"/>
            </w:pPr>
            <w:r>
              <w:rPr>
                <w:b/>
                <w:sz w:val="16"/>
              </w:rPr>
              <w:t>67.8</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(Private)</w:t>
            </w:r>
          </w:p>
        </w:tc>
        <w:tc>
          <w:tcPr>
            <w:tcW w:type="dxa" w:w="1290"/>
            <w:shd w:fill="F1F5F9"/>
            <w:tcMar>
              <w:top w:w="60" w:type="dxa"/>
              <w:bottom w:w="60" w:type="dxa"/>
              <w:left w:w="80" w:type="dxa"/>
              <w:right w:w="80" w:type="dxa"/>
            </w:tcMar>
          </w:tcPr>
          <w:p>
            <w:pPr>
              <w:jc w:val="center"/>
            </w:pPr>
            <w:r>
              <w:rPr>
                <w:b/>
                <w:sz w:val="16"/>
              </w:rPr>
              <w:t>0.0248</w:t>
            </w:r>
          </w:p>
        </w:tc>
        <w:tc>
          <w:tcPr>
            <w:tcW w:type="dxa" w:w="1290"/>
            <w:shd w:fill="F1F5F9"/>
            <w:tcMar>
              <w:top w:w="60" w:type="dxa"/>
              <w:bottom w:w="60" w:type="dxa"/>
              <w:left w:w="80" w:type="dxa"/>
              <w:right w:w="80" w:type="dxa"/>
            </w:tcMar>
          </w:tcPr>
          <w:p>
            <w:pPr>
              <w:jc w:val="center"/>
            </w:pPr>
            <w:r>
              <w:rPr>
                <w:b/>
                <w:sz w:val="16"/>
              </w:rPr>
              <w:t>0.0350</w:t>
            </w:r>
          </w:p>
        </w:tc>
        <w:tc>
          <w:tcPr>
            <w:tcW w:type="dxa" w:w="1290"/>
            <w:shd w:fill="F1F5F9"/>
            <w:tcMar>
              <w:top w:w="60" w:type="dxa"/>
              <w:bottom w:w="60" w:type="dxa"/>
              <w:left w:w="80" w:type="dxa"/>
              <w:right w:w="80" w:type="dxa"/>
            </w:tcMar>
          </w:tcPr>
          <w:p>
            <w:pPr>
              <w:jc w:val="center"/>
            </w:pPr>
            <w:r>
              <w:rPr>
                <w:b/>
                <w:sz w:val="16"/>
              </w:rPr>
              <w:t>0.0247</w:t>
            </w:r>
          </w:p>
        </w:tc>
        <w:tc>
          <w:tcPr>
            <w:tcW w:type="dxa" w:w="1290"/>
            <w:shd w:fill="F1F5F9"/>
            <w:tcMar>
              <w:top w:w="60" w:type="dxa"/>
              <w:bottom w:w="60" w:type="dxa"/>
              <w:left w:w="80" w:type="dxa"/>
              <w:right w:w="80" w:type="dxa"/>
            </w:tcMar>
          </w:tcPr>
          <w:p>
            <w:pPr>
              <w:jc w:val="center"/>
            </w:pPr>
            <w:r>
              <w:rPr>
                <w:b/>
                <w:sz w:val="16"/>
              </w:rPr>
              <w:t>0.0094</w:t>
            </w:r>
          </w:p>
        </w:tc>
        <w:tc>
          <w:tcPr>
            <w:tcW w:type="dxa" w:w="1290"/>
            <w:shd w:fill="F1F5F9"/>
            <w:tcMar>
              <w:top w:w="60" w:type="dxa"/>
              <w:bottom w:w="60" w:type="dxa"/>
              <w:left w:w="80" w:type="dxa"/>
              <w:right w:w="80" w:type="dxa"/>
            </w:tcMar>
          </w:tcPr>
          <w:p>
            <w:pPr>
              <w:jc w:val="center"/>
            </w:pPr>
            <w:r>
              <w:rPr>
                <w:b/>
                <w:sz w:val="16"/>
              </w:rPr>
              <w:t>29.7</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0.0258</w:t>
            </w:r>
          </w:p>
        </w:tc>
        <w:tc>
          <w:tcPr>
            <w:tcW w:type="dxa" w:w="1290"/>
            <w:shd w:fill="FFFFFF"/>
            <w:tcMar>
              <w:top w:w="60" w:type="dxa"/>
              <w:bottom w:w="60" w:type="dxa"/>
              <w:left w:w="80" w:type="dxa"/>
              <w:right w:w="80" w:type="dxa"/>
            </w:tcMar>
          </w:tcPr>
          <w:p>
            <w:pPr>
              <w:jc w:val="center"/>
            </w:pPr>
            <w:r>
              <w:rPr>
                <w:sz w:val="16"/>
              </w:rPr>
              <w:t>0.0374</w:t>
            </w:r>
          </w:p>
        </w:tc>
        <w:tc>
          <w:tcPr>
            <w:tcW w:type="dxa" w:w="1290"/>
            <w:shd w:fill="FFFFFF"/>
            <w:tcMar>
              <w:top w:w="60" w:type="dxa"/>
              <w:bottom w:w="60" w:type="dxa"/>
              <w:left w:w="80" w:type="dxa"/>
              <w:right w:w="80" w:type="dxa"/>
            </w:tcMar>
          </w:tcPr>
          <w:p>
            <w:pPr>
              <w:jc w:val="center"/>
            </w:pPr>
            <w:r>
              <w:rPr>
                <w:sz w:val="16"/>
              </w:rPr>
              <w:t>0.0265</w:t>
            </w:r>
          </w:p>
        </w:tc>
        <w:tc>
          <w:tcPr>
            <w:tcW w:type="dxa" w:w="1290"/>
            <w:shd w:fill="FFFFFF"/>
            <w:tcMar>
              <w:top w:w="60" w:type="dxa"/>
              <w:bottom w:w="60" w:type="dxa"/>
              <w:left w:w="80" w:type="dxa"/>
              <w:right w:w="80" w:type="dxa"/>
            </w:tcMar>
          </w:tcPr>
          <w:p>
            <w:pPr>
              <w:jc w:val="center"/>
            </w:pPr>
            <w:r>
              <w:rPr>
                <w:sz w:val="16"/>
              </w:rPr>
              <w:t>0.0095</w:t>
            </w:r>
          </w:p>
        </w:tc>
        <w:tc>
          <w:tcPr>
            <w:tcW w:type="dxa" w:w="1290"/>
            <w:shd w:fill="FFFFFF"/>
            <w:tcMar>
              <w:top w:w="60" w:type="dxa"/>
              <w:bottom w:w="60" w:type="dxa"/>
              <w:left w:w="80" w:type="dxa"/>
              <w:right w:w="80" w:type="dxa"/>
            </w:tcMar>
          </w:tcPr>
          <w:p>
            <w:pPr>
              <w:jc w:val="center"/>
            </w:pPr>
            <w:r>
              <w:rPr>
                <w:sz w:val="16"/>
              </w:rPr>
              <w:t>31.2</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0.0245</w:t>
            </w:r>
          </w:p>
        </w:tc>
        <w:tc>
          <w:tcPr>
            <w:tcW w:type="dxa" w:w="1290"/>
            <w:shd w:fill="F8FAFC"/>
            <w:tcMar>
              <w:top w:w="60" w:type="dxa"/>
              <w:bottom w:w="60" w:type="dxa"/>
              <w:left w:w="80" w:type="dxa"/>
              <w:right w:w="80" w:type="dxa"/>
            </w:tcMar>
          </w:tcPr>
          <w:p>
            <w:pPr>
              <w:jc w:val="center"/>
            </w:pPr>
            <w:r>
              <w:rPr>
                <w:sz w:val="16"/>
              </w:rPr>
              <w:t>0.0343</w:t>
            </w:r>
          </w:p>
        </w:tc>
        <w:tc>
          <w:tcPr>
            <w:tcW w:type="dxa" w:w="1290"/>
            <w:shd w:fill="F8FAFC"/>
            <w:tcMar>
              <w:top w:w="60" w:type="dxa"/>
              <w:bottom w:w="60" w:type="dxa"/>
              <w:left w:w="80" w:type="dxa"/>
              <w:right w:w="80" w:type="dxa"/>
            </w:tcMar>
          </w:tcPr>
          <w:p>
            <w:pPr>
              <w:jc w:val="center"/>
            </w:pPr>
            <w:r>
              <w:rPr>
                <w:sz w:val="16"/>
              </w:rPr>
              <w:t>0.0262</w:t>
            </w:r>
          </w:p>
        </w:tc>
        <w:tc>
          <w:tcPr>
            <w:tcW w:type="dxa" w:w="1290"/>
            <w:shd w:fill="F8FAFC"/>
            <w:tcMar>
              <w:top w:w="60" w:type="dxa"/>
              <w:bottom w:w="60" w:type="dxa"/>
              <w:left w:w="80" w:type="dxa"/>
              <w:right w:w="80" w:type="dxa"/>
            </w:tcMar>
          </w:tcPr>
          <w:p>
            <w:pPr>
              <w:jc w:val="center"/>
            </w:pPr>
            <w:r>
              <w:rPr>
                <w:sz w:val="16"/>
              </w:rPr>
              <w:t>0.0106</w:t>
            </w:r>
          </w:p>
        </w:tc>
        <w:tc>
          <w:tcPr>
            <w:tcW w:type="dxa" w:w="1290"/>
            <w:shd w:fill="F8FAFC"/>
            <w:tcMar>
              <w:top w:w="60" w:type="dxa"/>
              <w:bottom w:w="60" w:type="dxa"/>
              <w:left w:w="80" w:type="dxa"/>
              <w:right w:w="80" w:type="dxa"/>
            </w:tcMar>
          </w:tcPr>
          <w:p>
            <w:pPr>
              <w:jc w:val="center"/>
            </w:pPr>
            <w:r>
              <w:rPr>
                <w:sz w:val="16"/>
              </w:rPr>
              <w:t>30.0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w:t>
            </w:r>
          </w:p>
        </w:tc>
        <w:tc>
          <w:tcPr>
            <w:tcW w:type="dxa" w:w="1290"/>
            <w:shd w:fill="FFFFFF"/>
            <w:tcMar>
              <w:top w:w="60" w:type="dxa"/>
              <w:bottom w:w="60" w:type="dxa"/>
              <w:left w:w="80" w:type="dxa"/>
              <w:right w:w="80" w:type="dxa"/>
            </w:tcMar>
          </w:tcPr>
          <w:p>
            <w:pPr>
              <w:jc w:val="center"/>
            </w:pPr>
            <w:r>
              <w:rPr>
                <w:sz w:val="16"/>
              </w:rPr>
              <w:t>0.0402</w:t>
            </w:r>
          </w:p>
        </w:tc>
        <w:tc>
          <w:tcPr>
            <w:tcW w:type="dxa" w:w="1290"/>
            <w:shd w:fill="FFFFFF"/>
            <w:tcMar>
              <w:top w:w="60" w:type="dxa"/>
              <w:bottom w:w="60" w:type="dxa"/>
              <w:left w:w="80" w:type="dxa"/>
              <w:right w:w="80" w:type="dxa"/>
            </w:tcMar>
          </w:tcPr>
          <w:p>
            <w:pPr>
              <w:jc w:val="center"/>
            </w:pPr>
            <w:r>
              <w:rPr>
                <w:sz w:val="16"/>
              </w:rPr>
              <w:t>0.0308</w:t>
            </w:r>
          </w:p>
        </w:tc>
        <w:tc>
          <w:tcPr>
            <w:tcW w:type="dxa" w:w="1290"/>
            <w:shd w:fill="FFFFFF"/>
            <w:tcMar>
              <w:top w:w="60" w:type="dxa"/>
              <w:bottom w:w="60" w:type="dxa"/>
              <w:left w:w="80" w:type="dxa"/>
              <w:right w:w="80" w:type="dxa"/>
            </w:tcMar>
          </w:tcPr>
          <w:p>
            <w:pPr>
              <w:jc w:val="center"/>
            </w:pPr>
            <w:r>
              <w:rPr>
                <w:sz w:val="16"/>
              </w:rPr>
              <w:t>0.0124</w:t>
            </w:r>
          </w:p>
        </w:tc>
        <w:tc>
          <w:tcPr>
            <w:tcW w:type="dxa" w:w="1290"/>
            <w:shd w:fill="FFFFFF"/>
            <w:tcMar>
              <w:top w:w="60" w:type="dxa"/>
              <w:bottom w:w="60" w:type="dxa"/>
              <w:left w:w="80" w:type="dxa"/>
              <w:right w:w="80" w:type="dxa"/>
            </w:tcMar>
          </w:tcPr>
          <w:p>
            <w:pPr>
              <w:jc w:val="center"/>
            </w:pPr>
            <w:r>
              <w:rPr>
                <w:sz w:val="16"/>
              </w:rPr>
              <w:t>35.6</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0.0304</w:t>
            </w:r>
          </w:p>
        </w:tc>
        <w:tc>
          <w:tcPr>
            <w:tcW w:type="dxa" w:w="1290"/>
            <w:shd w:fill="F8FAFC"/>
            <w:tcMar>
              <w:top w:w="60" w:type="dxa"/>
              <w:bottom w:w="60" w:type="dxa"/>
              <w:left w:w="80" w:type="dxa"/>
              <w:right w:w="80" w:type="dxa"/>
            </w:tcMar>
          </w:tcPr>
          <w:p>
            <w:pPr>
              <w:jc w:val="center"/>
            </w:pPr>
            <w:r>
              <w:rPr>
                <w:sz w:val="16"/>
              </w:rPr>
              <w:t>0.0415</w:t>
            </w:r>
          </w:p>
        </w:tc>
        <w:tc>
          <w:tcPr>
            <w:tcW w:type="dxa" w:w="1290"/>
            <w:shd w:fill="F8FAFC"/>
            <w:tcMar>
              <w:top w:w="60" w:type="dxa"/>
              <w:bottom w:w="60" w:type="dxa"/>
              <w:left w:w="80" w:type="dxa"/>
              <w:right w:w="80" w:type="dxa"/>
            </w:tcMar>
          </w:tcPr>
          <w:p>
            <w:pPr>
              <w:jc w:val="center"/>
            </w:pPr>
            <w:r>
              <w:rPr>
                <w:sz w:val="16"/>
              </w:rPr>
              <w:t>0.0318</w:t>
            </w:r>
          </w:p>
        </w:tc>
        <w:tc>
          <w:tcPr>
            <w:tcW w:type="dxa" w:w="1290"/>
            <w:shd w:fill="F8FAFC"/>
            <w:tcMar>
              <w:top w:w="60" w:type="dxa"/>
              <w:bottom w:w="60" w:type="dxa"/>
              <w:left w:w="80" w:type="dxa"/>
              <w:right w:w="80" w:type="dxa"/>
            </w:tcMar>
          </w:tcPr>
          <w:p>
            <w:pPr>
              <w:jc w:val="center"/>
            </w:pPr>
            <w:r>
              <w:rPr>
                <w:sz w:val="16"/>
              </w:rPr>
              <w:t>0.0122</w:t>
            </w:r>
          </w:p>
        </w:tc>
        <w:tc>
          <w:tcPr>
            <w:tcW w:type="dxa" w:w="1290"/>
            <w:shd w:fill="F8FAFC"/>
            <w:tcMar>
              <w:top w:w="60" w:type="dxa"/>
              <w:bottom w:w="60" w:type="dxa"/>
              <w:left w:w="80" w:type="dxa"/>
              <w:right w:w="80" w:type="dxa"/>
            </w:tcMar>
          </w:tcPr>
          <w:p>
            <w:pPr>
              <w:jc w:val="center"/>
            </w:pPr>
            <w:r>
              <w:rPr>
                <w:sz w:val="16"/>
              </w:rPr>
              <w:t>37.2</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0.1079</w:t>
            </w:r>
          </w:p>
        </w:tc>
        <w:tc>
          <w:tcPr>
            <w:tcW w:type="dxa" w:w="1290"/>
            <w:shd w:fill="FFFFFF"/>
            <w:tcMar>
              <w:top w:w="60" w:type="dxa"/>
              <w:bottom w:w="60" w:type="dxa"/>
              <w:left w:w="80" w:type="dxa"/>
              <w:right w:w="80" w:type="dxa"/>
            </w:tcMar>
          </w:tcPr>
          <w:p>
            <w:pPr>
              <w:jc w:val="center"/>
            </w:pPr>
            <w:r>
              <w:rPr>
                <w:sz w:val="16"/>
              </w:rPr>
              <w:t>0.1418</w:t>
            </w:r>
          </w:p>
        </w:tc>
        <w:tc>
          <w:tcPr>
            <w:tcW w:type="dxa" w:w="1290"/>
            <w:shd w:fill="FFFFFF"/>
            <w:tcMar>
              <w:top w:w="60" w:type="dxa"/>
              <w:bottom w:w="60" w:type="dxa"/>
              <w:left w:w="80" w:type="dxa"/>
              <w:right w:w="80" w:type="dxa"/>
            </w:tcMar>
          </w:tcPr>
          <w:p>
            <w:pPr>
              <w:jc w:val="center"/>
            </w:pPr>
            <w:r>
              <w:rPr>
                <w:sz w:val="16"/>
              </w:rPr>
              <w:t>0.1105</w:t>
            </w:r>
          </w:p>
        </w:tc>
        <w:tc>
          <w:tcPr>
            <w:tcW w:type="dxa" w:w="1290"/>
            <w:shd w:fill="FFFFFF"/>
            <w:tcMar>
              <w:top w:w="60" w:type="dxa"/>
              <w:bottom w:w="60" w:type="dxa"/>
              <w:left w:w="80" w:type="dxa"/>
              <w:right w:w="80" w:type="dxa"/>
            </w:tcMar>
          </w:tcPr>
          <w:p>
            <w:pPr>
              <w:jc w:val="center"/>
            </w:pPr>
            <w:r>
              <w:rPr>
                <w:sz w:val="16"/>
              </w:rPr>
              <w:t>0.0549</w:t>
            </w:r>
          </w:p>
        </w:tc>
        <w:tc>
          <w:tcPr>
            <w:tcW w:type="dxa" w:w="1290"/>
            <w:shd w:fill="FFFFFF"/>
            <w:tcMar>
              <w:top w:w="60" w:type="dxa"/>
              <w:bottom w:w="60" w:type="dxa"/>
              <w:left w:w="80" w:type="dxa"/>
              <w:right w:w="80" w:type="dxa"/>
            </w:tcMar>
          </w:tcPr>
          <w:p>
            <w:pPr>
              <w:jc w:val="center"/>
            </w:pPr>
            <w:r>
              <w:rPr>
                <w:sz w:val="16"/>
              </w:rPr>
              <w:t>137.5</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0.0717</w:t>
            </w:r>
          </w:p>
        </w:tc>
        <w:tc>
          <w:tcPr>
            <w:tcW w:type="dxa" w:w="1290"/>
            <w:shd w:fill="F1F5F9"/>
            <w:tcMar>
              <w:top w:w="60" w:type="dxa"/>
              <w:bottom w:w="60" w:type="dxa"/>
              <w:left w:w="80" w:type="dxa"/>
              <w:right w:w="80" w:type="dxa"/>
            </w:tcMar>
          </w:tcPr>
          <w:p>
            <w:pPr>
              <w:jc w:val="center"/>
            </w:pPr>
            <w:r>
              <w:rPr>
                <w:b/>
                <w:sz w:val="16"/>
              </w:rPr>
              <w:t>0.0943</w:t>
            </w:r>
          </w:p>
        </w:tc>
        <w:tc>
          <w:tcPr>
            <w:tcW w:type="dxa" w:w="1290"/>
            <w:shd w:fill="F1F5F9"/>
            <w:tcMar>
              <w:top w:w="60" w:type="dxa"/>
              <w:bottom w:w="60" w:type="dxa"/>
              <w:left w:w="80" w:type="dxa"/>
              <w:right w:w="80" w:type="dxa"/>
            </w:tcMar>
          </w:tcPr>
          <w:p>
            <w:pPr>
              <w:jc w:val="center"/>
            </w:pPr>
            <w:r>
              <w:rPr>
                <w:b/>
                <w:sz w:val="16"/>
              </w:rPr>
              <w:t>0.0747</w:t>
            </w:r>
          </w:p>
        </w:tc>
        <w:tc>
          <w:tcPr>
            <w:tcW w:type="dxa" w:w="1290"/>
            <w:shd w:fill="F1F5F9"/>
            <w:tcMar>
              <w:top w:w="60" w:type="dxa"/>
              <w:bottom w:w="60" w:type="dxa"/>
              <w:left w:w="80" w:type="dxa"/>
              <w:right w:w="80" w:type="dxa"/>
            </w:tcMar>
          </w:tcPr>
          <w:p>
            <w:pPr>
              <w:jc w:val="center"/>
            </w:pPr>
            <w:r>
              <w:rPr>
                <w:b/>
                <w:sz w:val="16"/>
              </w:rPr>
              <w:t>0.0277</w:t>
            </w:r>
          </w:p>
        </w:tc>
        <w:tc>
          <w:tcPr>
            <w:tcW w:type="dxa" w:w="1290"/>
            <w:shd w:fill="F1F5F9"/>
            <w:tcMar>
              <w:top w:w="60" w:type="dxa"/>
              <w:bottom w:w="60" w:type="dxa"/>
              <w:left w:w="80" w:type="dxa"/>
              <w:right w:w="80" w:type="dxa"/>
            </w:tcMar>
          </w:tcPr>
          <w:p>
            <w:pPr>
              <w:jc w:val="center"/>
            </w:pPr>
            <w:r>
              <w:rPr>
                <w:b/>
                <w:sz w:val="16"/>
              </w:rPr>
              <w:t>90.0</w:t>
            </w:r>
          </w:p>
        </w:tc>
      </w:tr>
    </w:tbl>
    <w:p>
      <w:pPr>
        <w:spacing w:before="0" w:after="120" w:line="276" w:lineRule="auto"/>
        <w:jc w:val="both"/>
      </w:pPr>
    </w:p>
    <w:p>
      <w:pPr>
        <w:jc w:val="center"/>
      </w:pPr>
      <w:r>
        <w:drawing>
          <wp:inline xmlns:a="http://schemas.openxmlformats.org/drawingml/2006/main" xmlns:pic="http://schemas.openxmlformats.org/drawingml/2006/picture">
            <wp:extent cx="5669280" cy="2105733"/>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2105733"/>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(30-Minute Horizon, Mean +/- Std across 3 Seeds).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Federated Paradigm / Algorithm</w:t>
            </w:r>
          </w:p>
        </w:tc>
        <w:tc>
          <w:tcPr>
            <w:tcW w:type="dxa" w:w="1806"/>
            <w:shd w:fill="1F3864"/>
            <w:tcMar>
              <w:top w:w="100" w:type="dxa"/>
              <w:bottom w:w="100" w:type="dxa"/>
              <w:left w:w="100" w:type="dxa"/>
              <w:right w:w="100" w:type="dxa"/>
            </w:tcMar>
          </w:tcPr>
          <w:p>
            <w:pPr>
              <w:jc w:val="center"/>
            </w:pPr>
            <w:r>
              <w:rPr>
                <w:b/>
                <w:color w:val="FFFFFF"/>
                <w:sz w:val="17"/>
              </w:rPr>
              <w:t>Pooled MAE (Micro)</w:t>
            </w:r>
          </w:p>
        </w:tc>
        <w:tc>
          <w:tcPr>
            <w:tcW w:type="dxa" w:w="1806"/>
            <w:shd w:fill="1F3864"/>
            <w:tcMar>
              <w:top w:w="100" w:type="dxa"/>
              <w:bottom w:w="100" w:type="dxa"/>
              <w:left w:w="100" w:type="dxa"/>
              <w:right w:w="100" w:type="dxa"/>
            </w:tcMar>
          </w:tcPr>
          <w:p>
            <w:pPr>
              <w:jc w:val="center"/>
            </w:pPr>
            <w:r>
              <w:rPr>
                <w:b/>
                <w:color w:val="FFFFFF"/>
                <w:sz w:val="17"/>
              </w:rPr>
              <w:t>Pooled RMSE</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left"/>
            </w:pPr>
            <w:r>
              <w:rPr>
                <w:sz w:val="17"/>
              </w:rPr>
              <w:t>Global FedAvg (R=8, E=2, B=32) [7]</w:t>
            </w:r>
          </w:p>
        </w:tc>
        <w:tc>
          <w:tcPr>
            <w:tcW w:type="dxa" w:w="1806"/>
            <w:shd w:fill="FFFFFF"/>
            <w:tcMar>
              <w:top w:w="60" w:type="dxa"/>
              <w:bottom w:w="60" w:type="dxa"/>
              <w:left w:w="80" w:type="dxa"/>
              <w:right w:w="80" w:type="dxa"/>
            </w:tcMar>
          </w:tcPr>
          <w:p>
            <w:pPr>
              <w:jc w:val="center"/>
            </w:pPr>
            <w:r>
              <w:rPr>
                <w:sz w:val="17"/>
              </w:rPr>
              <w:t>0.0935 +/- 0.0032</w:t>
            </w:r>
          </w:p>
        </w:tc>
        <w:tc>
          <w:tcPr>
            <w:tcW w:type="dxa" w:w="1806"/>
            <w:shd w:fill="FFFFFF"/>
            <w:tcMar>
              <w:top w:w="60" w:type="dxa"/>
              <w:bottom w:w="60" w:type="dxa"/>
              <w:left w:w="80" w:type="dxa"/>
              <w:right w:w="80" w:type="dxa"/>
            </w:tcMar>
          </w:tcPr>
          <w:p>
            <w:pPr>
              <w:jc w:val="center"/>
            </w:pPr>
            <w:r>
              <w:rPr>
                <w:sz w:val="17"/>
              </w:rPr>
              <w:t>0.1230 +/- 0.0030</w:t>
            </w:r>
          </w:p>
        </w:tc>
        <w:tc>
          <w:tcPr>
            <w:tcW w:type="dxa" w:w="1806"/>
            <w:shd w:fill="FFFFFF"/>
            <w:tcMar>
              <w:top w:w="60" w:type="dxa"/>
              <w:bottom w:w="60" w:type="dxa"/>
              <w:left w:w="80" w:type="dxa"/>
              <w:right w:w="80" w:type="dxa"/>
            </w:tcMar>
          </w:tcPr>
          <w:p>
            <w:pPr>
              <w:jc w:val="center"/>
            </w:pPr>
            <w:r>
              <w:rPr>
                <w:sz w:val="17"/>
              </w:rPr>
              <w:t>0.0963 +/- 0.0029</w:t>
            </w:r>
          </w:p>
        </w:tc>
        <w:tc>
          <w:tcPr>
            <w:tcW w:type="dxa" w:w="1806"/>
            <w:shd w:fill="FFFFFF"/>
            <w:tcMar>
              <w:top w:w="60" w:type="dxa"/>
              <w:bottom w:w="60" w:type="dxa"/>
              <w:left w:w="80" w:type="dxa"/>
              <w:right w:w="80" w:type="dxa"/>
            </w:tcMar>
          </w:tcPr>
          <w:p>
            <w:pPr>
              <w:jc w:val="center"/>
            </w:pPr>
            <w:r>
              <w:rPr>
                <w:sz w:val="17"/>
              </w:rPr>
              <w:t>0.0498 +/- 0.0013</w:t>
            </w:r>
          </w:p>
        </w:tc>
      </w:tr>
      <w:tr>
        <w:tc>
          <w:tcPr>
            <w:tcW w:type="dxa" w:w="1806"/>
            <w:shd w:fill="F1F5F9"/>
            <w:tcMar>
              <w:top w:w="60" w:type="dxa"/>
              <w:bottom w:w="60" w:type="dxa"/>
              <w:left w:w="80" w:type="dxa"/>
              <w:right w:w="80" w:type="dxa"/>
            </w:tcMar>
          </w:tcPr>
          <w:p>
            <w:pPr>
              <w:jc w:val="left"/>
            </w:pPr>
            <w:r>
              <w:rPr>
                <w:sz w:val="17"/>
              </w:rPr>
              <w:t>IID-Shuffled FedAvg Control</w:t>
            </w:r>
          </w:p>
        </w:tc>
        <w:tc>
          <w:tcPr>
            <w:tcW w:type="dxa" w:w="1806"/>
            <w:shd w:fill="F1F5F9"/>
            <w:tcMar>
              <w:top w:w="60" w:type="dxa"/>
              <w:bottom w:w="60" w:type="dxa"/>
              <w:left w:w="80" w:type="dxa"/>
              <w:right w:w="80" w:type="dxa"/>
            </w:tcMar>
          </w:tcPr>
          <w:p>
            <w:pPr>
              <w:jc w:val="center"/>
            </w:pPr>
            <w:r>
              <w:rPr>
                <w:sz w:val="17"/>
              </w:rPr>
              <w:t>0.0678 +/- 0.0019</w:t>
            </w:r>
          </w:p>
        </w:tc>
        <w:tc>
          <w:tcPr>
            <w:tcW w:type="dxa" w:w="1806"/>
            <w:shd w:fill="F1F5F9"/>
            <w:tcMar>
              <w:top w:w="60" w:type="dxa"/>
              <w:bottom w:w="60" w:type="dxa"/>
              <w:left w:w="80" w:type="dxa"/>
              <w:right w:w="80" w:type="dxa"/>
            </w:tcMar>
          </w:tcPr>
          <w:p>
            <w:pPr>
              <w:jc w:val="center"/>
            </w:pPr>
            <w:r>
              <w:rPr>
                <w:sz w:val="17"/>
              </w:rPr>
              <w:t>0.0956 +/- 0.0023</w:t>
            </w:r>
          </w:p>
        </w:tc>
        <w:tc>
          <w:tcPr>
            <w:tcW w:type="dxa" w:w="1806"/>
            <w:shd w:fill="F1F5F9"/>
            <w:tcMar>
              <w:top w:w="60" w:type="dxa"/>
              <w:bottom w:w="60" w:type="dxa"/>
              <w:left w:w="80" w:type="dxa"/>
              <w:right w:w="80" w:type="dxa"/>
            </w:tcMar>
          </w:tcPr>
          <w:p>
            <w:pPr>
              <w:jc w:val="center"/>
            </w:pPr>
            <w:r>
              <w:rPr>
                <w:sz w:val="17"/>
              </w:rPr>
              <w:t>0.0711 +/- 0.0019</w:t>
            </w:r>
          </w:p>
        </w:tc>
        <w:tc>
          <w:tcPr>
            <w:tcW w:type="dxa" w:w="1806"/>
            <w:shd w:fill="F1F5F9"/>
            <w:tcMar>
              <w:top w:w="60" w:type="dxa"/>
              <w:bottom w:w="60" w:type="dxa"/>
              <w:left w:w="80" w:type="dxa"/>
              <w:right w:w="80" w:type="dxa"/>
            </w:tcMar>
          </w:tcPr>
          <w:p>
            <w:pPr>
              <w:jc w:val="center"/>
            </w:pPr>
            <w:r>
              <w:rPr>
                <w:sz w:val="17"/>
              </w:rPr>
              <w:t>0.0361 +/- 0.0012</w:t>
            </w:r>
          </w:p>
        </w:tc>
      </w:tr>
      <w:tr>
        <w:tc>
          <w:tcPr>
            <w:tcW w:type="dxa" w:w="1806"/>
            <w:shd w:fill="FFFFFF"/>
            <w:tcMar>
              <w:top w:w="60" w:type="dxa"/>
              <w:bottom w:w="60" w:type="dxa"/>
              <w:left w:w="80" w:type="dxa"/>
              <w:right w:w="80" w:type="dxa"/>
            </w:tcMar>
          </w:tcPr>
          <w:p>
            <w:pPr>
              <w:jc w:val="left"/>
            </w:pPr>
            <w:r>
              <w:rPr>
                <w:sz w:val="17"/>
              </w:rPr>
              <w:t>FedProx (mu = 0.01) [19]</w:t>
            </w:r>
          </w:p>
        </w:tc>
        <w:tc>
          <w:tcPr>
            <w:tcW w:type="dxa" w:w="1806"/>
            <w:shd w:fill="FFFFFF"/>
            <w:tcMar>
              <w:top w:w="60" w:type="dxa"/>
              <w:bottom w:w="60" w:type="dxa"/>
              <w:left w:w="80" w:type="dxa"/>
              <w:right w:w="80" w:type="dxa"/>
            </w:tcMar>
          </w:tcPr>
          <w:p>
            <w:pPr>
              <w:jc w:val="center"/>
            </w:pPr>
            <w:r>
              <w:rPr>
                <w:sz w:val="17"/>
              </w:rPr>
              <w:t>0.1305 +/- 0.0162</w:t>
            </w:r>
          </w:p>
        </w:tc>
        <w:tc>
          <w:tcPr>
            <w:tcW w:type="dxa" w:w="1806"/>
            <w:shd w:fill="FFFFFF"/>
            <w:tcMar>
              <w:top w:w="60" w:type="dxa"/>
              <w:bottom w:w="60" w:type="dxa"/>
              <w:left w:w="80" w:type="dxa"/>
              <w:right w:w="80" w:type="dxa"/>
            </w:tcMar>
          </w:tcPr>
          <w:p>
            <w:pPr>
              <w:jc w:val="center"/>
            </w:pPr>
            <w:r>
              <w:rPr>
                <w:sz w:val="17"/>
              </w:rPr>
              <w:t>0.1607 +/- 0.0157</w:t>
            </w:r>
          </w:p>
        </w:tc>
        <w:tc>
          <w:tcPr>
            <w:tcW w:type="dxa" w:w="1806"/>
            <w:shd w:fill="FFFFFF"/>
            <w:tcMar>
              <w:top w:w="60" w:type="dxa"/>
              <w:bottom w:w="60" w:type="dxa"/>
              <w:left w:w="80" w:type="dxa"/>
              <w:right w:w="80" w:type="dxa"/>
            </w:tcMar>
          </w:tcPr>
          <w:p>
            <w:pPr>
              <w:jc w:val="center"/>
            </w:pPr>
            <w:r>
              <w:rPr>
                <w:sz w:val="17"/>
              </w:rPr>
              <w:t>0.1333 +/- 0.0169</w:t>
            </w:r>
          </w:p>
        </w:tc>
        <w:tc>
          <w:tcPr>
            <w:tcW w:type="dxa" w:w="1806"/>
            <w:shd w:fill="FFFFFF"/>
            <w:tcMar>
              <w:top w:w="60" w:type="dxa"/>
              <w:bottom w:w="60" w:type="dxa"/>
              <w:left w:w="80" w:type="dxa"/>
              <w:right w:w="80" w:type="dxa"/>
            </w:tcMar>
          </w:tcPr>
          <w:p>
            <w:pPr>
              <w:jc w:val="center"/>
            </w:pPr>
            <w:r>
              <w:rPr>
                <w:sz w:val="17"/>
              </w:rPr>
              <w:t>0.0573 +/- 0.0040</w:t>
            </w:r>
          </w:p>
        </w:tc>
      </w:tr>
      <w:tr>
        <w:tc>
          <w:tcPr>
            <w:tcW w:type="dxa" w:w="1806"/>
            <w:shd w:fill="F8FAFC"/>
            <w:tcMar>
              <w:top w:w="60" w:type="dxa"/>
              <w:bottom w:w="60" w:type="dxa"/>
              <w:left w:w="80" w:type="dxa"/>
              <w:right w:w="80" w:type="dxa"/>
            </w:tcMar>
          </w:tcPr>
          <w:p>
            <w:pPr>
              <w:jc w:val="left"/>
            </w:pPr>
            <w:r>
              <w:rPr>
                <w:sz w:val="17"/>
              </w:rPr>
              <w:t>FedPer (Shared Base, Private Head) [21]</w:t>
            </w:r>
          </w:p>
        </w:tc>
        <w:tc>
          <w:tcPr>
            <w:tcW w:type="dxa" w:w="1806"/>
            <w:shd w:fill="F8FAFC"/>
            <w:tcMar>
              <w:top w:w="60" w:type="dxa"/>
              <w:bottom w:w="60" w:type="dxa"/>
              <w:left w:w="80" w:type="dxa"/>
              <w:right w:w="80" w:type="dxa"/>
            </w:tcMar>
          </w:tcPr>
          <w:p>
            <w:pPr>
              <w:jc w:val="center"/>
            </w:pPr>
            <w:r>
              <w:rPr>
                <w:sz w:val="17"/>
              </w:rPr>
              <w:t>0.0775 +/- 0.0012</w:t>
            </w:r>
          </w:p>
        </w:tc>
        <w:tc>
          <w:tcPr>
            <w:tcW w:type="dxa" w:w="1806"/>
            <w:shd w:fill="F8FAFC"/>
            <w:tcMar>
              <w:top w:w="60" w:type="dxa"/>
              <w:bottom w:w="60" w:type="dxa"/>
              <w:left w:w="80" w:type="dxa"/>
              <w:right w:w="80" w:type="dxa"/>
            </w:tcMar>
          </w:tcPr>
          <w:p>
            <w:pPr>
              <w:jc w:val="center"/>
            </w:pPr>
            <w:r>
              <w:rPr>
                <w:sz w:val="17"/>
              </w:rPr>
              <w:t>0.1056 +/- 0.0007</w:t>
            </w:r>
          </w:p>
        </w:tc>
        <w:tc>
          <w:tcPr>
            <w:tcW w:type="dxa" w:w="1806"/>
            <w:shd w:fill="F8FAFC"/>
            <w:tcMar>
              <w:top w:w="60" w:type="dxa"/>
              <w:bottom w:w="60" w:type="dxa"/>
              <w:left w:w="80" w:type="dxa"/>
              <w:right w:w="80" w:type="dxa"/>
            </w:tcMar>
          </w:tcPr>
          <w:p>
            <w:pPr>
              <w:jc w:val="center"/>
            </w:pPr>
            <w:r>
              <w:rPr>
                <w:sz w:val="17"/>
              </w:rPr>
              <w:t>0.0798 +/- 0.0009</w:t>
            </w:r>
          </w:p>
        </w:tc>
        <w:tc>
          <w:tcPr>
            <w:tcW w:type="dxa" w:w="1806"/>
            <w:shd w:fill="F8FAFC"/>
            <w:tcMar>
              <w:top w:w="60" w:type="dxa"/>
              <w:bottom w:w="60" w:type="dxa"/>
              <w:left w:w="80" w:type="dxa"/>
              <w:right w:w="80" w:type="dxa"/>
            </w:tcMar>
          </w:tcPr>
          <w:p>
            <w:pPr>
              <w:jc w:val="center"/>
            </w:pPr>
            <w:r>
              <w:rPr>
                <w:sz w:val="17"/>
              </w:rPr>
              <w:t>0.0379 +/- 0.0007</w:t>
            </w:r>
          </w:p>
        </w:tc>
      </w:tr>
      <w:tr>
        <w:tc>
          <w:tcPr>
            <w:tcW w:type="dxa" w:w="1806"/>
            <w:shd w:fill="F1F5F9"/>
            <w:tcMar>
              <w:top w:w="60" w:type="dxa"/>
              <w:bottom w:w="60" w:type="dxa"/>
              <w:left w:w="80" w:type="dxa"/>
              <w:right w:w="80" w:type="dxa"/>
            </w:tcMar>
          </w:tcPr>
          <w:p>
            <w:pPr>
              <w:jc w:val="left"/>
            </w:pPr>
            <w:r>
              <w:rPr>
                <w:b/>
                <w:sz w:val="17"/>
              </w:rPr>
              <w:t>Personalized FedAvg (Ours)</w:t>
            </w:r>
          </w:p>
        </w:tc>
        <w:tc>
          <w:tcPr>
            <w:tcW w:type="dxa" w:w="1806"/>
            <w:shd w:fill="F1F5F9"/>
            <w:tcMar>
              <w:top w:w="60" w:type="dxa"/>
              <w:bottom w:w="60" w:type="dxa"/>
              <w:left w:w="80" w:type="dxa"/>
              <w:right w:w="80" w:type="dxa"/>
            </w:tcMar>
          </w:tcPr>
          <w:p>
            <w:pPr>
              <w:jc w:val="center"/>
            </w:pPr>
            <w:r>
              <w:rPr>
                <w:b/>
                <w:sz w:val="17"/>
              </w:rPr>
              <w:t>0.0592 +/- 0.0004</w:t>
            </w:r>
          </w:p>
        </w:tc>
        <w:tc>
          <w:tcPr>
            <w:tcW w:type="dxa" w:w="1806"/>
            <w:shd w:fill="F1F5F9"/>
            <w:tcMar>
              <w:top w:w="60" w:type="dxa"/>
              <w:bottom w:w="60" w:type="dxa"/>
              <w:left w:w="80" w:type="dxa"/>
              <w:right w:w="80" w:type="dxa"/>
            </w:tcMar>
          </w:tcPr>
          <w:p>
            <w:pPr>
              <w:jc w:val="center"/>
            </w:pPr>
            <w:r>
              <w:rPr>
                <w:b/>
                <w:sz w:val="17"/>
              </w:rPr>
              <w:t>0.0786 +/- 0.0001</w:t>
            </w:r>
          </w:p>
        </w:tc>
        <w:tc>
          <w:tcPr>
            <w:tcW w:type="dxa" w:w="1806"/>
            <w:shd w:fill="F1F5F9"/>
            <w:tcMar>
              <w:top w:w="60" w:type="dxa"/>
              <w:bottom w:w="60" w:type="dxa"/>
              <w:left w:w="80" w:type="dxa"/>
              <w:right w:w="80" w:type="dxa"/>
            </w:tcMar>
          </w:tcPr>
          <w:p>
            <w:pPr>
              <w:jc w:val="center"/>
            </w:pPr>
            <w:r>
              <w:rPr>
                <w:b/>
                <w:sz w:val="17"/>
              </w:rPr>
              <w:t>0.0612 +/- 0.0001</w:t>
            </w:r>
          </w:p>
        </w:tc>
        <w:tc>
          <w:tcPr>
            <w:tcW w:type="dxa" w:w="1806"/>
            <w:shd w:fill="F1F5F9"/>
            <w:tcMar>
              <w:top w:w="60" w:type="dxa"/>
              <w:bottom w:w="60" w:type="dxa"/>
              <w:left w:w="80" w:type="dxa"/>
              <w:right w:w="80" w:type="dxa"/>
            </w:tcMar>
          </w:tcPr>
          <w:p>
            <w:pPr>
              <w:jc w:val="center"/>
            </w:pPr>
            <w:r>
              <w:rPr>
                <w:b/>
                <w:sz w:val="17"/>
              </w:rPr>
              <w:t>0.0243 +/- 0.0014</w:t>
            </w:r>
          </w:p>
        </w:tc>
      </w:tr>
    </w:tbl>
    <w:p>
      <w:pPr>
        <w:spacing w:before="0" w:after="120" w:line="276" w:lineRule="auto"/>
        <w:jc w:val="both"/>
      </w:pPr>
    </w:p>
    <w:p>
      <w:pPr>
        <w:spacing w:before="0" w:after="100" w:line="276" w:lineRule="auto"/>
        <w:jc w:val="both"/>
      </w:pPr>
      <w:r>
        <w:rPr>
          <w:rFonts w:ascii="Times New Roman" w:hAnsi="Times New Roman"/>
          <w:sz w:val="22"/>
        </w:rPr>
        <w:t>Table 3 delivers definitive empirical insights into the nature of federated learning on IoT streams:</w:t>
      </w:r>
    </w:p>
    <w:p>
      <w:pPr>
        <w:pStyle w:val="ListParagraph"/>
        <w:spacing w:before="40" w:after="40"/>
      </w:pPr>
      <w:r>
        <w:rPr>
          <w:b/>
        </w:rPr>
        <w:t xml:space="preserve">1. Quantitative Separation of Heterogeneity vs. Under-Training: </w:t>
      </w:r>
      <w:r>
        <w:t>Under the IID-shuffled control, where statistical heterogeneity between clients is strictly eliminated, FedAvg achieves a pooled MAE of 0.0678 ± 0.0019. Comparing the non-IID FedAvg error (0.0935) and the centralized Attention-LSTM benchmark (0.0217), the total performance gap is 0.0718. Shuffling data IID reduces the gap by 0.0257 (35.8%), leaving a residual gap of 0.0461 (64.2%). This proves that compute starvation under communication round budgets is responsible for the majority of the performance gap, while non-IID drift contributes the remaining 35.8%.</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127.1 bays (130.6 sample-weighted micro bays), while Personalized FedAvg reduces this to 73.1 bays (75.0 micro bays), achieving a 42.5%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14.5 bays of space error, demonstrating that if municipal governance permits local-only processing, private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0.1007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4-weight local linear autoregressive model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exactly 4 parameters per facility,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(14.5 bays mean error), incurs zero communication overhead, requires no GPU hardware, and guarantees absolute data confidentiality.</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Our empirical findings refute this simplistic explanation.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the primary culprit is compute starvation under communication constraints. Federated clients in an 8-round protocol execute barely ~200 local gradient steps, compared to over 14,000 steps executed by the centralized model. Our IID-shuffled control experiment (Table 3) rigorously quantifies this division: compute starvation accounts for 64.2% of the performance deficit, while non-IID statistical heterogeneity accounts for 35.8%. Local personalization acts as a high-leverage compensation mechanism: by fine-tuning the under-converged global recurrent features on lot-specific data, the model rapidly aligns its output scale to local capacity, recovering 50.6% of the centralized gap.</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federation is justified strictly on institutional data governance, multi-stakeholder commercial confidentiality, and legal privacy grounds. Competing private parking operators (e.g., NCP vs. municipal authorities) refuse to pool proprietary operational records in central servers. Federated learning establishes the essential organizational and legal framework enabling cross-operator predictive coordination without exposing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4 scalar weights (16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14,340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Sovereignty</w:t>
            </w:r>
          </w:p>
        </w:tc>
        <w:tc>
          <w:tcPr>
            <w:tcW w:type="dxa" w:w="2257"/>
            <w:shd w:fill="F8FAFC"/>
            <w:tcMar>
              <w:top w:w="60" w:type="dxa"/>
              <w:bottom w:w="60" w:type="dxa"/>
              <w:left w:w="80" w:type="dxa"/>
              <w:right w:w="80" w:type="dxa"/>
            </w:tcMar>
          </w:tcPr>
          <w:p>
            <w:pPr>
              <w:jc w:val="left"/>
            </w:pPr>
            <w:r>
              <w:rPr>
                <w:sz w:val="17"/>
              </w:rPr>
              <w:t>Zero (all data pooled in cloud)</w:t>
            </w:r>
          </w:p>
        </w:tc>
        <w:tc>
          <w:tcPr>
            <w:tcW w:type="dxa" w:w="2257"/>
            <w:shd w:fill="F8FAFC"/>
            <w:tcMar>
              <w:top w:w="60" w:type="dxa"/>
              <w:bottom w:w="60" w:type="dxa"/>
              <w:left w:w="80" w:type="dxa"/>
              <w:right w:w="80" w:type="dxa"/>
            </w:tcMar>
          </w:tcPr>
          <w:p>
            <w:pPr>
              <w:jc w:val="center"/>
            </w:pPr>
            <w:r>
              <w:rPr>
                <w:sz w:val="17"/>
              </w:rPr>
              <w:t>High (data stays on edge nodes)</w:t>
            </w:r>
          </w:p>
        </w:tc>
        <w:tc>
          <w:tcPr>
            <w:tcW w:type="dxa" w:w="2257"/>
            <w:shd w:fill="F8FAFC"/>
            <w:tcMar>
              <w:top w:w="60" w:type="dxa"/>
              <w:bottom w:w="60" w:type="dxa"/>
              <w:left w:w="80" w:type="dxa"/>
              <w:right w:w="80" w:type="dxa"/>
            </w:tcMar>
          </w:tcPr>
          <w:p>
            <w:pPr>
              <w:jc w:val="center"/>
            </w:pPr>
            <w:r>
              <w:rPr>
                <w:sz w:val="17"/>
              </w:rPr>
              <w:t>Absolute (100% private,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4-weight local linear autoregressive model per facility achieves superior accuracy (30-minute MAE: 0.0126; 14.5 bays), outperforming both centralized deep neural networks (0.0217; 27.0 bays) and federated models while requiring zero communication and preserving absolute data privacy. Under practical communication constraints (8 rounds, 2 local epochs), global FedAvg under-trains severely, achieving a 30-minute MAE of 0.0935 ± 0.0032 (118.5 macro bays in multi-seed evaluation, and 0.1007 / 127.1 bays in the primary single-seed benchmark). This degradation is primarily driven by compute starvation (~256 local Adam updates per client versus ~14,340 centralized steps) rather than non-IID collapse: an IID-shuffled federated control demonstrates that compute deficits account for 64.2% of the gap, while client heterogeneity contributes 35.8%.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institutional data sovereignty, and legal compliance when paired with local personalization.</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