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advocated for smart parking forecasting across multi-operator facilities, yet decentralized claims often overlook simple local baselines. We conduct an empirical benchmark on the Birmingham IoT stream (30 facilities, 21,868 sequences) across 30- and 60-minute horizons. A persistence baseline achieves a 30-minute Mean Absolute Error (MAE) of 0.0256 (33.4 bays), while an isolated 5-parameter local linear autoregressive model per lot—requiring zero communication—achieves an MAE of 0.0126 (13.9 bays), outperforming centralized deep learning (Attention-LSTM MAE: 0.0217; 26.9 bays) and all federated models. Under standard communication budgets (8 rounds), global FedAvg achieves an MAE of 0.0935 ± 0.0032. An IID control leaves a large residual at eight rounds; at approximately 14,790 updates, IID FedAvg (MAE: 0.0384 ± 0.0010) outperforms non-IID FedAvg (0.0858 ± 0.0015), highlighting the regime-dependent roles of optimization budget and client heterogeneity. Local personalization reduces federated error to 0.0592 ± 0.0004 (82.4 bays), yet transmitting model weights incurs a 74.6-fold communication overhead compared to raw data transfers. Bilateral interpolation of daytime sensor gaps introduces potential within-day lookahead bias. We conclude that federation cannot be justified on bandwidth grounds and underperforms isolated local linear models, but offers institutional data containment when multi-stakeholder governance precludes centralization.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avoid cross-facility data sharing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should FL be justified primarily by commercial data governance and institutional data sovereignty considerations?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5-parameter local-only linear AR(4) model per facility (4 lag coefficients plus intercept)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Optimization Budgets from Client Heterogeneity: </w:t>
      </w:r>
      <w:r>
        <w:t>Under the eight-round communication-constrained protocol, the difference between non-IID FedAvg and the IID-shuffled control corresponds to 35.8% of the overall gap between non-IID FedAvg and the centralized benchmark. The remaining 64.2% is the IID-shuffled-to-centralized residual, which is consistent with optimization under-training but cannot be attributed to under-training alone. Crucially, approximately matched compute-budget experiments (15 rounds, 14,790 cumulative client updates vs. 14,370 centralized steps, 102.9%) demonstrate that IID-shuffled FedAvg converges to 0.0384 ± 0.0010 (47.5 bays), reducing the optimization gap by 63.8%. Under this matched-budget protocol, the observed difference associated with non-IID versus IID-shuffled configurations accounts for 73.9% of the remaining deficit once compute starvation is mitigated. Local personalization fine-tuning bridges this gap, achieving MAE 0.0592 ± 0.0004 at R=8 and 0.0548 ± 0.0012 at R=15, recovering over 50% of the centralized performance gap without sharing client telemetry.</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local-only estimators that avoid cross-facility data sharing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12"/>
            <w:shd w:fill="1F3864"/>
            <w:tcMar>
              <w:top w:w="100" w:type="dxa"/>
              <w:bottom w:w="100" w:type="dxa"/>
              <w:left w:w="120" w:type="dxa"/>
              <w:right w:w="120" w:type="dxa"/>
            </w:tcMar>
          </w:tcPr>
          <w:p>
            <w:pPr>
              <w:jc w:val="center"/>
            </w:pPr>
            <w:r>
              <w:rPr>
                <w:b/>
                <w:color w:val="FFFFFF"/>
                <w:sz w:val="18"/>
              </w:rPr>
              <w:t>Study &amp; Reference</w:t>
            </w:r>
          </w:p>
        </w:tc>
        <w:tc>
          <w:tcPr>
            <w:tcW w:type="dxa" w:w="1584"/>
            <w:shd w:fill="1F3864"/>
            <w:tcMar>
              <w:top w:w="100" w:type="dxa"/>
              <w:bottom w:w="100" w:type="dxa"/>
              <w:left w:w="120" w:type="dxa"/>
              <w:right w:w="120" w:type="dxa"/>
            </w:tcMar>
          </w:tcPr>
          <w:p>
            <w:pPr>
              <w:jc w:val="center"/>
            </w:pPr>
            <w:r>
              <w:rPr>
                <w:b/>
                <w:color w:val="FFFFFF"/>
                <w:sz w:val="18"/>
              </w:rPr>
              <w:t>Core Methodology</w:t>
            </w:r>
          </w:p>
        </w:tc>
        <w:tc>
          <w:tcPr>
            <w:tcW w:type="dxa" w:w="1440"/>
            <w:shd w:fill="1F3864"/>
            <w:tcMar>
              <w:top w:w="100" w:type="dxa"/>
              <w:bottom w:w="100" w:type="dxa"/>
              <w:left w:w="120" w:type="dxa"/>
              <w:right w:w="120" w:type="dxa"/>
            </w:tcMar>
          </w:tcPr>
          <w:p>
            <w:pPr>
              <w:jc w:val="center"/>
            </w:pPr>
            <w:r>
              <w:rPr>
                <w:b/>
                <w:color w:val="FFFFFF"/>
                <w:sz w:val="18"/>
              </w:rPr>
              <w:t>Dataset / Testbed</w:t>
            </w:r>
          </w:p>
        </w:tc>
        <w:tc>
          <w:tcPr>
            <w:tcW w:type="dxa" w:w="1512"/>
            <w:shd w:fill="1F3864"/>
            <w:tcMar>
              <w:top w:w="100" w:type="dxa"/>
              <w:bottom w:w="100" w:type="dxa"/>
              <w:left w:w="120" w:type="dxa"/>
              <w:right w:w="120" w:type="dxa"/>
            </w:tcMar>
          </w:tcPr>
          <w:p>
            <w:pPr>
              <w:jc w:val="center"/>
            </w:pPr>
            <w:r>
              <w:rPr>
                <w:b/>
                <w:color w:val="FFFFFF"/>
                <w:sz w:val="18"/>
              </w:rPr>
              <w:t>Privacy / Governance</w:t>
            </w:r>
          </w:p>
        </w:tc>
        <w:tc>
          <w:tcPr>
            <w:tcW w:type="dxa" w:w="1152"/>
            <w:shd w:fill="1F3864"/>
            <w:tcMar>
              <w:top w:w="100" w:type="dxa"/>
              <w:bottom w:w="100" w:type="dxa"/>
              <w:left w:w="120" w:type="dxa"/>
              <w:right w:w="120" w:type="dxa"/>
            </w:tcMar>
          </w:tcPr>
          <w:p>
            <w:pPr>
              <w:jc w:val="center"/>
            </w:pPr>
            <w:r>
              <w:rPr>
                <w:b/>
                <w:color w:val="FFFFFF"/>
                <w:sz w:val="18"/>
              </w:rPr>
              <w:t>Local Baseline Included?</w:t>
            </w:r>
          </w:p>
        </w:tc>
        <w:tc>
          <w:tcPr>
            <w:tcW w:type="dxa" w:w="2160"/>
            <w:shd w:fill="1F3864"/>
            <w:tcMar>
              <w:top w:w="100" w:type="dxa"/>
              <w:bottom w:w="100" w:type="dxa"/>
              <w:left w:w="120" w:type="dxa"/>
              <w:right w:w="120" w:type="dxa"/>
            </w:tcMar>
          </w:tcPr>
          <w:p>
            <w:pPr>
              <w:jc w:val="center"/>
            </w:pPr>
            <w:r>
              <w:rPr>
                <w:b/>
                <w:color w:val="FFFFFF"/>
                <w:sz w:val="18"/>
              </w:rPr>
              <w:t>Key Limitations</w:t>
            </w:r>
          </w:p>
        </w:tc>
      </w:tr>
      <w:tr>
        <w:tc>
          <w:tcPr>
            <w:tcW w:type="dxa" w:w="1512"/>
            <w:shd w:fill="F8FAFC"/>
            <w:tcMar>
              <w:top w:w="70" w:type="dxa"/>
              <w:bottom w:w="70" w:type="dxa"/>
              <w:left w:w="100" w:type="dxa"/>
              <w:right w:w="100" w:type="dxa"/>
            </w:tcMar>
          </w:tcPr>
          <w:p>
            <w:pPr>
              <w:jc w:val="center"/>
            </w:pPr>
            <w:r>
              <w:rPr>
                <w:sz w:val="17"/>
              </w:rPr>
              <w:t>Rong et al. (2018) [11]</w:t>
            </w:r>
          </w:p>
        </w:tc>
        <w:tc>
          <w:tcPr>
            <w:tcW w:type="dxa" w:w="1584"/>
            <w:shd w:fill="F8FAFC"/>
            <w:tcMar>
              <w:top w:w="70" w:type="dxa"/>
              <w:bottom w:w="70" w:type="dxa"/>
              <w:left w:w="100" w:type="dxa"/>
              <w:right w:w="100" w:type="dxa"/>
            </w:tcMar>
          </w:tcPr>
          <w:p>
            <w:pPr>
              <w:jc w:val="left"/>
            </w:pPr>
            <w:r>
              <w:rPr>
                <w:sz w:val="17"/>
              </w:rPr>
              <w:t>Du-Parking (LSTM + Context)</w:t>
            </w:r>
          </w:p>
        </w:tc>
        <w:tc>
          <w:tcPr>
            <w:tcW w:type="dxa" w:w="1440"/>
            <w:shd w:fill="F8FAFC"/>
            <w:tcMar>
              <w:top w:w="70" w:type="dxa"/>
              <w:bottom w:w="70" w:type="dxa"/>
              <w:left w:w="100" w:type="dxa"/>
              <w:right w:w="100" w:type="dxa"/>
            </w:tcMar>
          </w:tcPr>
          <w:p>
            <w:pPr>
              <w:jc w:val="left"/>
            </w:pPr>
            <w:r>
              <w:rPr>
                <w:sz w:val="17"/>
              </w:rPr>
              <w:t>Baidu Maps (China)</w:t>
            </w:r>
          </w:p>
        </w:tc>
        <w:tc>
          <w:tcPr>
            <w:tcW w:type="dxa" w:w="1512"/>
            <w:shd w:fill="F8FAFC"/>
            <w:tcMar>
              <w:top w:w="70" w:type="dxa"/>
              <w:bottom w:w="70" w:type="dxa"/>
              <w:left w:w="100" w:type="dxa"/>
              <w:right w:w="100" w:type="dxa"/>
            </w:tcMar>
          </w:tcPr>
          <w:p>
            <w:pPr>
              <w:jc w:val="center"/>
            </w:pPr>
            <w:r>
              <w:rPr>
                <w:sz w:val="17"/>
              </w:rPr>
              <w:t>Centralized only</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Proprietary commercial dataset; missing local linear baselines and privacy guarantees</w:t>
            </w:r>
          </w:p>
        </w:tc>
      </w:tr>
      <w:tr>
        <w:tc>
          <w:tcPr>
            <w:tcW w:type="dxa" w:w="1512"/>
            <w:shd w:fill="FFFFFF"/>
            <w:tcMar>
              <w:top w:w="70" w:type="dxa"/>
              <w:bottom w:w="70" w:type="dxa"/>
              <w:left w:w="100" w:type="dxa"/>
              <w:right w:w="100" w:type="dxa"/>
            </w:tcMar>
          </w:tcPr>
          <w:p>
            <w:pPr>
              <w:jc w:val="center"/>
            </w:pPr>
            <w:r>
              <w:rPr>
                <w:sz w:val="17"/>
              </w:rPr>
              <w:t>Zhao et al. (2022) [12]</w:t>
            </w:r>
          </w:p>
        </w:tc>
        <w:tc>
          <w:tcPr>
            <w:tcW w:type="dxa" w:w="1584"/>
            <w:shd w:fill="FFFFFF"/>
            <w:tcMar>
              <w:top w:w="70" w:type="dxa"/>
              <w:bottom w:w="70" w:type="dxa"/>
              <w:left w:w="100" w:type="dxa"/>
              <w:right w:w="100" w:type="dxa"/>
            </w:tcMar>
          </w:tcPr>
          <w:p>
            <w:pPr>
              <w:jc w:val="left"/>
            </w:pPr>
            <w:r>
              <w:rPr>
                <w:sz w:val="17"/>
              </w:rPr>
              <w:t>MePark (Meter Sensing)</w:t>
            </w:r>
          </w:p>
        </w:tc>
        <w:tc>
          <w:tcPr>
            <w:tcW w:type="dxa" w:w="1440"/>
            <w:shd w:fill="FFFFFF"/>
            <w:tcMar>
              <w:top w:w="70" w:type="dxa"/>
              <w:bottom w:w="70" w:type="dxa"/>
              <w:left w:w="100" w:type="dxa"/>
              <w:right w:w="100" w:type="dxa"/>
            </w:tcMar>
          </w:tcPr>
          <w:p>
            <w:pPr>
              <w:jc w:val="left"/>
            </w:pPr>
            <w:r>
              <w:rPr>
                <w:sz w:val="17"/>
              </w:rPr>
              <w:t>San Francisco / Melbourne</w:t>
            </w:r>
          </w:p>
        </w:tc>
        <w:tc>
          <w:tcPr>
            <w:tcW w:type="dxa" w:w="1512"/>
            <w:shd w:fill="FFFFFF"/>
            <w:tcMar>
              <w:top w:w="70" w:type="dxa"/>
              <w:bottom w:w="70" w:type="dxa"/>
              <w:left w:w="100" w:type="dxa"/>
              <w:right w:w="100" w:type="dxa"/>
            </w:tcMar>
          </w:tcPr>
          <w:p>
            <w:pPr>
              <w:jc w:val="center"/>
            </w:pPr>
            <w:r>
              <w:rPr>
                <w:sz w:val="17"/>
              </w:rPr>
              <w:t>Centralized telemetry</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Transaction-based proxy; missing ground-truth physical sensor validation</w:t>
            </w:r>
          </w:p>
        </w:tc>
      </w:tr>
      <w:tr>
        <w:tc>
          <w:tcPr>
            <w:tcW w:type="dxa" w:w="1512"/>
            <w:shd w:fill="F8FAFC"/>
            <w:tcMar>
              <w:top w:w="70" w:type="dxa"/>
              <w:bottom w:w="70" w:type="dxa"/>
              <w:left w:w="100" w:type="dxa"/>
              <w:right w:w="100" w:type="dxa"/>
            </w:tcMar>
          </w:tcPr>
          <w:p>
            <w:pPr>
              <w:jc w:val="center"/>
            </w:pPr>
            <w:r>
              <w:rPr>
                <w:sz w:val="17"/>
              </w:rPr>
              <w:t>McMahan et al. (2017) [7]</w:t>
            </w:r>
          </w:p>
        </w:tc>
        <w:tc>
          <w:tcPr>
            <w:tcW w:type="dxa" w:w="1584"/>
            <w:shd w:fill="F8FAFC"/>
            <w:tcMar>
              <w:top w:w="70" w:type="dxa"/>
              <w:bottom w:w="70" w:type="dxa"/>
              <w:left w:w="100" w:type="dxa"/>
              <w:right w:w="100" w:type="dxa"/>
            </w:tcMar>
          </w:tcPr>
          <w:p>
            <w:pPr>
              <w:jc w:val="left"/>
            </w:pPr>
            <w:r>
              <w:rPr>
                <w:sz w:val="17"/>
              </w:rPr>
              <w:t>Standard FedAvg</w:t>
            </w:r>
          </w:p>
        </w:tc>
        <w:tc>
          <w:tcPr>
            <w:tcW w:type="dxa" w:w="1440"/>
            <w:shd w:fill="F8FAFC"/>
            <w:tcMar>
              <w:top w:w="70" w:type="dxa"/>
              <w:bottom w:w="70" w:type="dxa"/>
              <w:left w:w="100" w:type="dxa"/>
              <w:right w:w="100" w:type="dxa"/>
            </w:tcMar>
          </w:tcPr>
          <w:p>
            <w:pPr>
              <w:jc w:val="left"/>
            </w:pPr>
            <w:r>
              <w:rPr>
                <w:sz w:val="17"/>
              </w:rPr>
              <w:t>Synthetic &amp; vision benchmarks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Yes (on vision)</w:t>
            </w:r>
          </w:p>
        </w:tc>
        <w:tc>
          <w:tcPr>
            <w:tcW w:type="dxa" w:w="2160"/>
            <w:shd w:fill="F8FAFC"/>
            <w:tcMar>
              <w:top w:w="70" w:type="dxa"/>
              <w:bottom w:w="70" w:type="dxa"/>
              <w:left w:w="100" w:type="dxa"/>
              <w:right w:w="100" w:type="dxa"/>
            </w:tcMar>
          </w:tcPr>
          <w:p>
            <w:pPr>
              <w:jc w:val="left"/>
            </w:pPr>
            <w:r>
              <w:rPr>
                <w:sz w:val="17"/>
              </w:rPr>
              <w:t>Evaluated on vision benchmarks; not evaluated on municipal IoT streams</w:t>
            </w:r>
          </w:p>
        </w:tc>
      </w:tr>
      <w:tr>
        <w:tc>
          <w:tcPr>
            <w:tcW w:type="dxa" w:w="1512"/>
            <w:shd w:fill="FFFFFF"/>
            <w:tcMar>
              <w:top w:w="70" w:type="dxa"/>
              <w:bottom w:w="70" w:type="dxa"/>
              <w:left w:w="100" w:type="dxa"/>
              <w:right w:w="100" w:type="dxa"/>
            </w:tcMar>
          </w:tcPr>
          <w:p>
            <w:pPr>
              <w:jc w:val="center"/>
            </w:pPr>
            <w:r>
              <w:rPr>
                <w:sz w:val="17"/>
              </w:rPr>
              <w:t>Li et al. (2020) [19]</w:t>
            </w:r>
          </w:p>
        </w:tc>
        <w:tc>
          <w:tcPr>
            <w:tcW w:type="dxa" w:w="1584"/>
            <w:shd w:fill="FFFFFF"/>
            <w:tcMar>
              <w:top w:w="70" w:type="dxa"/>
              <w:bottom w:w="70" w:type="dxa"/>
              <w:left w:w="100" w:type="dxa"/>
              <w:right w:w="100" w:type="dxa"/>
            </w:tcMar>
          </w:tcPr>
          <w:p>
            <w:pPr>
              <w:jc w:val="left"/>
            </w:pPr>
            <w:r>
              <w:rPr>
                <w:sz w:val="17"/>
              </w:rPr>
              <w:t>FedProx (Proximal term)</w:t>
            </w:r>
          </w:p>
        </w:tc>
        <w:tc>
          <w:tcPr>
            <w:tcW w:type="dxa" w:w="1440"/>
            <w:shd w:fill="FFFFFF"/>
            <w:tcMar>
              <w:top w:w="70" w:type="dxa"/>
              <w:bottom w:w="70" w:type="dxa"/>
              <w:left w:w="100" w:type="dxa"/>
              <w:right w:w="100" w:type="dxa"/>
            </w:tcMar>
          </w:tcPr>
          <w:p>
            <w:pPr>
              <w:jc w:val="left"/>
            </w:pPr>
            <w:r>
              <w:rPr>
                <w:sz w:val="17"/>
              </w:rPr>
              <w:t>Federated NLP &amp; vision</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Yes (partial)</w:t>
            </w:r>
          </w:p>
        </w:tc>
        <w:tc>
          <w:tcPr>
            <w:tcW w:type="dxa" w:w="2160"/>
            <w:shd w:fill="FFFFFF"/>
            <w:tcMar>
              <w:top w:w="70" w:type="dxa"/>
              <w:bottom w:w="70" w:type="dxa"/>
              <w:left w:w="100" w:type="dxa"/>
              <w:right w:w="100" w:type="dxa"/>
            </w:tcMar>
          </w:tcPr>
          <w:p>
            <w:pPr>
              <w:jc w:val="left"/>
            </w:pPr>
            <w:r>
              <w:rPr>
                <w:sz w:val="17"/>
              </w:rPr>
              <w:t>Proximal penalty hyperparameter mu adds optimization friction under compute starvation</w:t>
            </w:r>
          </w:p>
        </w:tc>
      </w:tr>
      <w:tr>
        <w:tc>
          <w:tcPr>
            <w:tcW w:type="dxa" w:w="1512"/>
            <w:shd w:fill="F8FAFC"/>
            <w:tcMar>
              <w:top w:w="70" w:type="dxa"/>
              <w:bottom w:w="70" w:type="dxa"/>
              <w:left w:w="100" w:type="dxa"/>
              <w:right w:w="100" w:type="dxa"/>
            </w:tcMar>
          </w:tcPr>
          <w:p>
            <w:pPr>
              <w:jc w:val="center"/>
            </w:pPr>
            <w:r>
              <w:rPr>
                <w:sz w:val="17"/>
              </w:rPr>
              <w:t>Attiah et al. (2025) [16]</w:t>
            </w:r>
          </w:p>
        </w:tc>
        <w:tc>
          <w:tcPr>
            <w:tcW w:type="dxa" w:w="1584"/>
            <w:shd w:fill="F8FAFC"/>
            <w:tcMar>
              <w:top w:w="70" w:type="dxa"/>
              <w:bottom w:w="70" w:type="dxa"/>
              <w:left w:w="100" w:type="dxa"/>
              <w:right w:w="100" w:type="dxa"/>
            </w:tcMar>
          </w:tcPr>
          <w:p>
            <w:pPr>
              <w:jc w:val="left"/>
            </w:pPr>
            <w:r>
              <w:rPr>
                <w:sz w:val="17"/>
              </w:rPr>
              <w:t>FedPark (Crowdsensing)</w:t>
            </w:r>
          </w:p>
        </w:tc>
        <w:tc>
          <w:tcPr>
            <w:tcW w:type="dxa" w:w="1440"/>
            <w:shd w:fill="F8FAFC"/>
            <w:tcMar>
              <w:top w:w="70" w:type="dxa"/>
              <w:bottom w:w="70" w:type="dxa"/>
              <w:left w:w="100" w:type="dxa"/>
              <w:right w:w="100" w:type="dxa"/>
            </w:tcMar>
          </w:tcPr>
          <w:p>
            <w:pPr>
              <w:jc w:val="left"/>
            </w:pPr>
            <w:r>
              <w:rPr>
                <w:sz w:val="17"/>
              </w:rPr>
              <w:t>Crowdsourced mobile logs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On-street crowdsensing focus; lacks simple persistence and linear baselines</w:t>
            </w:r>
          </w:p>
        </w:tc>
      </w:tr>
      <w:tr>
        <w:tc>
          <w:tcPr>
            <w:tcW w:type="dxa" w:w="1512"/>
            <w:shd w:fill="FFFFFF"/>
            <w:tcMar>
              <w:top w:w="70" w:type="dxa"/>
              <w:bottom w:w="70" w:type="dxa"/>
              <w:left w:w="100" w:type="dxa"/>
              <w:right w:w="100" w:type="dxa"/>
            </w:tcMar>
          </w:tcPr>
          <w:p>
            <w:pPr>
              <w:jc w:val="center"/>
            </w:pPr>
            <w:r>
              <w:rPr>
                <w:sz w:val="17"/>
              </w:rPr>
              <w:t>Rocco di Torrepadula et al. (2025) [22]</w:t>
            </w:r>
          </w:p>
        </w:tc>
        <w:tc>
          <w:tcPr>
            <w:tcW w:type="dxa" w:w="1584"/>
            <w:shd w:fill="FFFFFF"/>
            <w:tcMar>
              <w:top w:w="70" w:type="dxa"/>
              <w:bottom w:w="70" w:type="dxa"/>
              <w:left w:w="100" w:type="dxa"/>
              <w:right w:w="100" w:type="dxa"/>
            </w:tcMar>
          </w:tcPr>
          <w:p>
            <w:pPr>
              <w:jc w:val="left"/>
            </w:pPr>
            <w:r>
              <w:rPr>
                <w:sz w:val="17"/>
              </w:rPr>
              <w:t>FedFlow (Personalized FL)</w:t>
            </w:r>
          </w:p>
        </w:tc>
        <w:tc>
          <w:tcPr>
            <w:tcW w:type="dxa" w:w="1440"/>
            <w:shd w:fill="FFFFFF"/>
            <w:tcMar>
              <w:top w:w="70" w:type="dxa"/>
              <w:bottom w:w="70" w:type="dxa"/>
              <w:left w:w="100" w:type="dxa"/>
              <w:right w:w="100" w:type="dxa"/>
            </w:tcMar>
          </w:tcPr>
          <w:p>
            <w:pPr>
              <w:jc w:val="left"/>
            </w:pPr>
            <w:r>
              <w:rPr>
                <w:sz w:val="17"/>
              </w:rPr>
              <w:t>Mobility passenger flows</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Passenger flow domain; lacks smart parking and local baseline analysis</w:t>
            </w:r>
          </w:p>
        </w:tc>
      </w:tr>
      <w:tr>
        <w:tc>
          <w:tcPr>
            <w:tcW w:type="dxa" w:w="1512"/>
            <w:shd w:fill="F8FAFC"/>
            <w:tcMar>
              <w:top w:w="70" w:type="dxa"/>
              <w:bottom w:w="70" w:type="dxa"/>
              <w:left w:w="100" w:type="dxa"/>
              <w:right w:w="100" w:type="dxa"/>
            </w:tcMar>
          </w:tcPr>
          <w:p>
            <w:pPr>
              <w:jc w:val="center"/>
            </w:pPr>
            <w:r>
              <w:rPr>
                <w:sz w:val="17"/>
              </w:rPr>
              <w:t>This Study (2026)</w:t>
            </w:r>
          </w:p>
        </w:tc>
        <w:tc>
          <w:tcPr>
            <w:tcW w:type="dxa" w:w="1584"/>
            <w:shd w:fill="F8FAFC"/>
            <w:tcMar>
              <w:top w:w="70" w:type="dxa"/>
              <w:bottom w:w="70" w:type="dxa"/>
              <w:left w:w="100" w:type="dxa"/>
              <w:right w:w="100" w:type="dxa"/>
            </w:tcMar>
          </w:tcPr>
          <w:p>
            <w:pPr>
              <w:jc w:val="left"/>
            </w:pPr>
            <w:r>
              <w:rPr>
                <w:sz w:val="17"/>
              </w:rPr>
              <w:t>Empirical FL &amp; Local Baselines</w:t>
            </w:r>
          </w:p>
        </w:tc>
        <w:tc>
          <w:tcPr>
            <w:tcW w:type="dxa" w:w="1440"/>
            <w:shd w:fill="F8FAFC"/>
            <w:tcMar>
              <w:top w:w="70" w:type="dxa"/>
              <w:bottom w:w="70" w:type="dxa"/>
              <w:left w:w="100" w:type="dxa"/>
              <w:right w:w="100" w:type="dxa"/>
            </w:tcMar>
          </w:tcPr>
          <w:p>
            <w:pPr>
              <w:jc w:val="left"/>
            </w:pPr>
            <w:r>
              <w:rPr>
                <w:sz w:val="17"/>
              </w:rPr>
              <w:t>Birmingham IoT (30 lots)</w:t>
            </w:r>
          </w:p>
        </w:tc>
        <w:tc>
          <w:tcPr>
            <w:tcW w:type="dxa" w:w="1512"/>
            <w:shd w:fill="F8FAFC"/>
            <w:tcMar>
              <w:top w:w="70" w:type="dxa"/>
              <w:bottom w:w="70" w:type="dxa"/>
              <w:left w:w="100" w:type="dxa"/>
              <w:right w:w="100" w:type="dxa"/>
            </w:tcMar>
          </w:tcPr>
          <w:p>
            <w:pPr>
              <w:jc w:val="center"/>
            </w:pPr>
            <w:r>
              <w:rPr>
                <w:sz w:val="17"/>
              </w:rPr>
              <w:t>Decentralized containment / Multi-operator governance</w:t>
            </w:r>
          </w:p>
        </w:tc>
        <w:tc>
          <w:tcPr>
            <w:tcW w:type="dxa" w:w="1152"/>
            <w:shd w:fill="F8FAFC"/>
            <w:tcMar>
              <w:top w:w="70" w:type="dxa"/>
              <w:bottom w:w="70" w:type="dxa"/>
              <w:left w:w="100" w:type="dxa"/>
              <w:right w:w="100" w:type="dxa"/>
            </w:tcMar>
          </w:tcPr>
          <w:p>
            <w:pPr>
              <w:jc w:val="center"/>
            </w:pPr>
            <w:r>
              <w:rPr>
                <w:sz w:val="17"/>
              </w:rPr>
              <w:t>Yes (Persistence + Local Linear)</w:t>
            </w:r>
          </w:p>
        </w:tc>
        <w:tc>
          <w:tcPr>
            <w:tcW w:type="dxa" w:w="2160"/>
            <w:shd w:fill="F8FAFC"/>
            <w:tcMar>
              <w:top w:w="70" w:type="dxa"/>
              <w:bottom w:w="70" w:type="dxa"/>
              <w:left w:w="100" w:type="dxa"/>
              <w:right w:w="100" w:type="dxa"/>
            </w:tcMar>
          </w:tcPr>
          <w:p>
            <w:pPr>
              <w:jc w:val="left"/>
            </w:pPr>
            <w:r>
              <w:rPr>
                <w:sz w:val="17"/>
              </w:rPr>
              <w:t>Single municipal dataset; within-day bilateral interpolation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(Local Isolation): </w:t>
      </w:r>
      <w:r>
        <w:t>Each client independently fits an autoregressive linear ridge regression model on its own past 4 availability observations (a_{t-3}, ..., a_t) plus an intercept term (5 fitted parameters per facility).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5-parameter linear autoregressive model (4 lag coefficients plus intercept)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Accounting: Disentangling Optimization Budgets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 ceil(15,299 / 32) = 30 × 479 = 14,370 Adam gradient updates. In contrast, under standard FedAvg with R = 8 rounds and E = 2 local epochs per round, training is partitioned across the 30 municipal facilities. Because physical facility capacities and recorded telemetry vary (ranging from 38 training sequences at the smallest lot to 562 at the largest), the number of mini-batches per epoch varies between 2 and 18 across clients, summing to exactly 493 batches per epoch across the federation. Across 8 rounds (16 local epochs per client), the federation executes a system-wide total of 7,888 client-side optimizer updates (493 × 16), which corresponds to an average of 262.9 (approximately 263) updates per client (ranging from 32 to 288 updates across facilities), representing 54.9% of the 14,370 updates executed by the centralized model. (An idealized client with exactly 16 batches per epoch executes 256 updates over 8 rounds).</w:t>
      </w:r>
    </w:p>
    <w:p>
      <w:pPr>
        <w:spacing w:before="0" w:after="100" w:line="276" w:lineRule="auto"/>
        <w:jc w:val="both"/>
      </w:pPr>
      <w:r>
        <w:rPr>
          <w:rFonts w:ascii="Times New Roman" w:hAnsi="Times New Roman"/>
          <w:sz w:val="22"/>
        </w:rPr>
        <w:t>In the IID-shuffled control experiment, the 15,299 pooled sequences are randomly permuted and sliced into 29 partitions of 509 sequences and 1 partition of 538 sequences. At batch size 32, the 29 uniform partitions yield ceil(509 / 32) = 16 batches per epoch, while the 30th partition yields ceil(538 / 32) = 17 batches per epoch, summing to 481 batches per epoch across the 30 clients. Across 8 rounds (16 local epochs), the IID control executes exactly 481 × 16 = 7,696 client updates (averaging 256.5 updates per client), representing 53.6% of centralized compute volume. For Personalized FedAvg, base 8-round federated training executes the standard 7,888 updates, followed by 3 local fine-tuning epochs on each client's private training set. These 3 fine-tuning epochs execute an additional 493 × 3 = 1,479 client updates across the federation (~49.3 updates per client), bringing the cumulative total for Personalized FedAvg to 9,367 optimizer updates (averaging 312.2 updates per client; 65.2% of centralized compute).</w:t>
      </w:r>
    </w:p>
    <w:p>
      <w:pPr>
        <w:spacing w:before="0" w:after="100" w:line="276" w:lineRule="auto"/>
        <w:jc w:val="both"/>
      </w:pPr>
      <w:r>
        <w:rPr>
          <w:rFonts w:ascii="Times New Roman" w:hAnsi="Times New Roman"/>
          <w:sz w:val="22"/>
        </w:rPr>
        <w:t>To evaluate performance when compute starvation is mitigated, we scale federated training to R = 15 rounds (E = 2, B = 32), totaling 14,790 cumulative client updates for non-IID FedAvg (493 × 30, averaging 493.0 updates per client, 102.9% of centralized compute) and 14,430 updates for the IID-shuffled control (481 × 30, averaging 481.0 updates per client, 100.4% of centralized compute). Personalized FedAvg under this 15-round regime executes 14,790 base updates plus 1,479 fine-tuning updates, totaling 16,269 updates (averaging 542.3 updates per client, 113.2% of centralized compute). We note that optimizer-update counts serve as a pragmatic compute proxy rather than proof of identical optimization dynamics, as decentralized client drift, localized mini-batches, and periodic parameter averaging induce distinct loss landscape trajectories. Under the eight-round communication-constrained protocol, the difference between non-IID FedAvg and the IID-shuffled control corresponds to 35.8% of the overall gap between non-IID FedAvg and the centralized benchmark. The remaining 64.2% is the IID-shuffled-to-centralized residual, which is consistent with optimization under-training but cannot be attributed to under-training alone. Extending rounds to the approximately matched 15-round budget shifts this balance, where the observed difference associated with non-IID versus IID-shuffled configurations accounts for 73.9% of the remaining deficit once compute starvation is mitigated (Section 4.2 and Section 5.2). Because FedAvg test error improves gradually when communication rounds are extended,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Multi-Seed Mean ± Std across Seeds {42, 101, 2024},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 ± 0.0000</w:t>
            </w:r>
          </w:p>
        </w:tc>
        <w:tc>
          <w:tcPr>
            <w:tcW w:type="dxa" w:w="1290"/>
            <w:shd w:fill="FFFFFF"/>
            <w:tcMar>
              <w:top w:w="60" w:type="dxa"/>
              <w:bottom w:w="60" w:type="dxa"/>
              <w:left w:w="80" w:type="dxa"/>
              <w:right w:w="80" w:type="dxa"/>
            </w:tcMar>
          </w:tcPr>
          <w:p>
            <w:pPr>
              <w:jc w:val="center"/>
            </w:pPr>
            <w:r>
              <w:rPr>
                <w:b/>
                <w:sz w:val="16"/>
              </w:rPr>
              <w:t>0.0387 ± 0.0000</w:t>
            </w:r>
          </w:p>
        </w:tc>
        <w:tc>
          <w:tcPr>
            <w:tcW w:type="dxa" w:w="1290"/>
            <w:shd w:fill="FFFFFF"/>
            <w:tcMar>
              <w:top w:w="60" w:type="dxa"/>
              <w:bottom w:w="60" w:type="dxa"/>
              <w:left w:w="80" w:type="dxa"/>
              <w:right w:w="80" w:type="dxa"/>
            </w:tcMar>
          </w:tcPr>
          <w:p>
            <w:pPr>
              <w:jc w:val="center"/>
            </w:pPr>
            <w:r>
              <w:rPr>
                <w:b/>
                <w:sz w:val="16"/>
              </w:rPr>
              <w:t>0.0247 ± 0.0000</w:t>
            </w:r>
          </w:p>
        </w:tc>
        <w:tc>
          <w:tcPr>
            <w:tcW w:type="dxa" w:w="1290"/>
            <w:shd w:fill="FFFFFF"/>
            <w:tcMar>
              <w:top w:w="60" w:type="dxa"/>
              <w:bottom w:w="60" w:type="dxa"/>
              <w:left w:w="80" w:type="dxa"/>
              <w:right w:w="80" w:type="dxa"/>
            </w:tcMar>
          </w:tcPr>
          <w:p>
            <w:pPr>
              <w:jc w:val="center"/>
            </w:pPr>
            <w:r>
              <w:rPr>
                <w:b/>
                <w:sz w:val="16"/>
              </w:rPr>
              <w:t>0.0135 ± 0.0000</w:t>
            </w:r>
          </w:p>
        </w:tc>
        <w:tc>
          <w:tcPr>
            <w:tcW w:type="dxa" w:w="1290"/>
            <w:shd w:fill="FFFFFF"/>
            <w:tcMar>
              <w:top w:w="60" w:type="dxa"/>
              <w:bottom w:w="60" w:type="dxa"/>
              <w:left w:w="80" w:type="dxa"/>
              <w:right w:w="80" w:type="dxa"/>
            </w:tcMar>
          </w:tcPr>
          <w:p>
            <w:pPr>
              <w:jc w:val="center"/>
            </w:pPr>
            <w:r>
              <w:rPr>
                <w:b/>
                <w:sz w:val="16"/>
              </w:rPr>
              <w:t>33.3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0.0126 ± 0.0000</w:t>
            </w:r>
          </w:p>
        </w:tc>
        <w:tc>
          <w:tcPr>
            <w:tcW w:type="dxa" w:w="1290"/>
            <w:shd w:fill="F1F5F9"/>
            <w:tcMar>
              <w:top w:w="60" w:type="dxa"/>
              <w:bottom w:w="60" w:type="dxa"/>
              <w:left w:w="80" w:type="dxa"/>
              <w:right w:w="80" w:type="dxa"/>
            </w:tcMar>
          </w:tcPr>
          <w:p>
            <w:pPr>
              <w:jc w:val="center"/>
            </w:pPr>
            <w:r>
              <w:rPr>
                <w:b/>
                <w:sz w:val="16"/>
              </w:rPr>
              <w:t>0.0179 ± 0.0000</w:t>
            </w:r>
          </w:p>
        </w:tc>
        <w:tc>
          <w:tcPr>
            <w:tcW w:type="dxa" w:w="1290"/>
            <w:shd w:fill="F1F5F9"/>
            <w:tcMar>
              <w:top w:w="60" w:type="dxa"/>
              <w:bottom w:w="60" w:type="dxa"/>
              <w:left w:w="80" w:type="dxa"/>
              <w:right w:w="80" w:type="dxa"/>
            </w:tcMar>
          </w:tcPr>
          <w:p>
            <w:pPr>
              <w:jc w:val="center"/>
            </w:pPr>
            <w:r>
              <w:rPr>
                <w:b/>
                <w:sz w:val="16"/>
              </w:rPr>
              <w:t>0.0124 ± 0.0000</w:t>
            </w:r>
          </w:p>
        </w:tc>
        <w:tc>
          <w:tcPr>
            <w:tcW w:type="dxa" w:w="1290"/>
            <w:shd w:fill="F1F5F9"/>
            <w:tcMar>
              <w:top w:w="60" w:type="dxa"/>
              <w:bottom w:w="60" w:type="dxa"/>
              <w:left w:w="80" w:type="dxa"/>
              <w:right w:w="80" w:type="dxa"/>
            </w:tcMar>
          </w:tcPr>
          <w:p>
            <w:pPr>
              <w:jc w:val="center"/>
            </w:pPr>
            <w:r>
              <w:rPr>
                <w:b/>
                <w:sz w:val="16"/>
              </w:rPr>
              <w:t>0.0049 ± 0.0000</w:t>
            </w:r>
          </w:p>
        </w:tc>
        <w:tc>
          <w:tcPr>
            <w:tcW w:type="dxa" w:w="1290"/>
            <w:shd w:fill="F1F5F9"/>
            <w:tcMar>
              <w:top w:w="60" w:type="dxa"/>
              <w:bottom w:w="60" w:type="dxa"/>
              <w:left w:w="80" w:type="dxa"/>
              <w:right w:w="80" w:type="dxa"/>
            </w:tcMar>
          </w:tcPr>
          <w:p>
            <w:pPr>
              <w:jc w:val="center"/>
            </w:pPr>
            <w:r>
              <w:rPr>
                <w:b/>
                <w:sz w:val="16"/>
              </w:rPr>
              <w:t>13.9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 ± 0.0000</w:t>
            </w:r>
          </w:p>
        </w:tc>
        <w:tc>
          <w:tcPr>
            <w:tcW w:type="dxa" w:w="1290"/>
            <w:shd w:fill="FFFFFF"/>
            <w:tcMar>
              <w:top w:w="60" w:type="dxa"/>
              <w:bottom w:w="60" w:type="dxa"/>
              <w:left w:w="80" w:type="dxa"/>
              <w:right w:w="80" w:type="dxa"/>
            </w:tcMar>
          </w:tcPr>
          <w:p>
            <w:pPr>
              <w:jc w:val="center"/>
            </w:pPr>
            <w:r>
              <w:rPr>
                <w:sz w:val="16"/>
              </w:rPr>
              <w:t>0.0190 ± 0.0000</w:t>
            </w:r>
          </w:p>
        </w:tc>
        <w:tc>
          <w:tcPr>
            <w:tcW w:type="dxa" w:w="1290"/>
            <w:shd w:fill="FFFFFF"/>
            <w:tcMar>
              <w:top w:w="60" w:type="dxa"/>
              <w:bottom w:w="60" w:type="dxa"/>
              <w:left w:w="80" w:type="dxa"/>
              <w:right w:w="80" w:type="dxa"/>
            </w:tcMar>
          </w:tcPr>
          <w:p>
            <w:pPr>
              <w:jc w:val="center"/>
            </w:pPr>
            <w:r>
              <w:rPr>
                <w:sz w:val="16"/>
              </w:rPr>
              <w:t>0.0132 ± 0.0000</w:t>
            </w:r>
          </w:p>
        </w:tc>
        <w:tc>
          <w:tcPr>
            <w:tcW w:type="dxa" w:w="1290"/>
            <w:shd w:fill="FFFFFF"/>
            <w:tcMar>
              <w:top w:w="60" w:type="dxa"/>
              <w:bottom w:w="60" w:type="dxa"/>
              <w:left w:w="80" w:type="dxa"/>
              <w:right w:w="80" w:type="dxa"/>
            </w:tcMar>
          </w:tcPr>
          <w:p>
            <w:pPr>
              <w:jc w:val="center"/>
            </w:pPr>
            <w:r>
              <w:rPr>
                <w:sz w:val="16"/>
              </w:rPr>
              <w:t>0.0050 ± 0.0000</w:t>
            </w:r>
          </w:p>
        </w:tc>
        <w:tc>
          <w:tcPr>
            <w:tcW w:type="dxa" w:w="1290"/>
            <w:shd w:fill="FFFFFF"/>
            <w:tcMar>
              <w:top w:w="60" w:type="dxa"/>
              <w:bottom w:w="60" w:type="dxa"/>
              <w:left w:w="80" w:type="dxa"/>
              <w:right w:w="80" w:type="dxa"/>
            </w:tcMar>
          </w:tcPr>
          <w:p>
            <w:pPr>
              <w:jc w:val="center"/>
            </w:pPr>
            <w:r>
              <w:rPr>
                <w:sz w:val="16"/>
              </w:rPr>
              <w:t>14.8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0.0133 ± 0.0000</w:t>
            </w:r>
          </w:p>
        </w:tc>
        <w:tc>
          <w:tcPr>
            <w:tcW w:type="dxa" w:w="1290"/>
            <w:shd w:fill="F8FAFC"/>
            <w:tcMar>
              <w:top w:w="60" w:type="dxa"/>
              <w:bottom w:w="60" w:type="dxa"/>
              <w:left w:w="80" w:type="dxa"/>
              <w:right w:w="80" w:type="dxa"/>
            </w:tcMar>
          </w:tcPr>
          <w:p>
            <w:pPr>
              <w:jc w:val="center"/>
            </w:pPr>
            <w:r>
              <w:rPr>
                <w:sz w:val="16"/>
              </w:rPr>
              <w:t>0.0187 ± 0.0000</w:t>
            </w:r>
          </w:p>
        </w:tc>
        <w:tc>
          <w:tcPr>
            <w:tcW w:type="dxa" w:w="1290"/>
            <w:shd w:fill="F8FAFC"/>
            <w:tcMar>
              <w:top w:w="60" w:type="dxa"/>
              <w:bottom w:w="60" w:type="dxa"/>
              <w:left w:w="80" w:type="dxa"/>
              <w:right w:w="80" w:type="dxa"/>
            </w:tcMar>
          </w:tcPr>
          <w:p>
            <w:pPr>
              <w:jc w:val="center"/>
            </w:pPr>
            <w:r>
              <w:rPr>
                <w:sz w:val="16"/>
              </w:rPr>
              <w:t>0.0141 ± 0.0000</w:t>
            </w:r>
          </w:p>
        </w:tc>
        <w:tc>
          <w:tcPr>
            <w:tcW w:type="dxa" w:w="1290"/>
            <w:shd w:fill="F8FAFC"/>
            <w:tcMar>
              <w:top w:w="60" w:type="dxa"/>
              <w:bottom w:w="60" w:type="dxa"/>
              <w:left w:w="80" w:type="dxa"/>
              <w:right w:w="80" w:type="dxa"/>
            </w:tcMar>
          </w:tcPr>
          <w:p>
            <w:pPr>
              <w:jc w:val="center"/>
            </w:pPr>
            <w:r>
              <w:rPr>
                <w:sz w:val="16"/>
              </w:rPr>
              <w:t>0.0056 ± 0.0000</w:t>
            </w:r>
          </w:p>
        </w:tc>
        <w:tc>
          <w:tcPr>
            <w:tcW w:type="dxa" w:w="1290"/>
            <w:shd w:fill="F8FAFC"/>
            <w:tcMar>
              <w:top w:w="60" w:type="dxa"/>
              <w:bottom w:w="60" w:type="dxa"/>
              <w:left w:w="80" w:type="dxa"/>
              <w:right w:w="80" w:type="dxa"/>
            </w:tcMar>
          </w:tcPr>
          <w:p>
            <w:pPr>
              <w:jc w:val="center"/>
            </w:pPr>
            <w:r>
              <w:rPr>
                <w:sz w:val="16"/>
              </w:rPr>
              <w:t>15.8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 ± 0.0005</w:t>
            </w:r>
          </w:p>
        </w:tc>
        <w:tc>
          <w:tcPr>
            <w:tcW w:type="dxa" w:w="1290"/>
            <w:shd w:fill="FFFFFF"/>
            <w:tcMar>
              <w:top w:w="60" w:type="dxa"/>
              <w:bottom w:w="60" w:type="dxa"/>
              <w:left w:w="80" w:type="dxa"/>
              <w:right w:w="80" w:type="dxa"/>
            </w:tcMar>
          </w:tcPr>
          <w:p>
            <w:pPr>
              <w:jc w:val="center"/>
            </w:pPr>
            <w:r>
              <w:rPr>
                <w:sz w:val="16"/>
              </w:rPr>
              <w:t>0.0300 ± 0.0004</w:t>
            </w:r>
          </w:p>
        </w:tc>
        <w:tc>
          <w:tcPr>
            <w:tcW w:type="dxa" w:w="1290"/>
            <w:shd w:fill="FFFFFF"/>
            <w:tcMar>
              <w:top w:w="60" w:type="dxa"/>
              <w:bottom w:w="60" w:type="dxa"/>
              <w:left w:w="80" w:type="dxa"/>
              <w:right w:w="80" w:type="dxa"/>
            </w:tcMar>
          </w:tcPr>
          <w:p>
            <w:pPr>
              <w:jc w:val="center"/>
            </w:pPr>
            <w:r>
              <w:rPr>
                <w:sz w:val="16"/>
              </w:rPr>
              <w:t>0.0233 ± 0.0004</w:t>
            </w:r>
          </w:p>
        </w:tc>
        <w:tc>
          <w:tcPr>
            <w:tcW w:type="dxa" w:w="1290"/>
            <w:shd w:fill="FFFFFF"/>
            <w:tcMar>
              <w:top w:w="60" w:type="dxa"/>
              <w:bottom w:w="60" w:type="dxa"/>
              <w:left w:w="80" w:type="dxa"/>
              <w:right w:w="80" w:type="dxa"/>
            </w:tcMar>
          </w:tcPr>
          <w:p>
            <w:pPr>
              <w:jc w:val="center"/>
            </w:pPr>
            <w:r>
              <w:rPr>
                <w:sz w:val="16"/>
              </w:rPr>
              <w:t>0.0131 ± 0.0003</w:t>
            </w:r>
          </w:p>
        </w:tc>
        <w:tc>
          <w:tcPr>
            <w:tcW w:type="dxa" w:w="1290"/>
            <w:shd w:fill="FFFFFF"/>
            <w:tcMar>
              <w:top w:w="60" w:type="dxa"/>
              <w:bottom w:w="60" w:type="dxa"/>
              <w:left w:w="80" w:type="dxa"/>
              <w:right w:w="80" w:type="dxa"/>
            </w:tcMar>
          </w:tcPr>
          <w:p>
            <w:pPr>
              <w:jc w:val="center"/>
            </w:pPr>
            <w:r>
              <w:rPr>
                <w:sz w:val="16"/>
              </w:rPr>
              <w:t>25.2 ± 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 ± 0.0004</w:t>
            </w:r>
          </w:p>
        </w:tc>
        <w:tc>
          <w:tcPr>
            <w:tcW w:type="dxa" w:w="1290"/>
            <w:shd w:fill="F8FAFC"/>
            <w:tcMar>
              <w:top w:w="60" w:type="dxa"/>
              <w:bottom w:w="60" w:type="dxa"/>
              <w:left w:w="80" w:type="dxa"/>
              <w:right w:w="80" w:type="dxa"/>
            </w:tcMar>
          </w:tcPr>
          <w:p>
            <w:pPr>
              <w:jc w:val="center"/>
            </w:pPr>
            <w:r>
              <w:rPr>
                <w:sz w:val="16"/>
              </w:rPr>
              <w:t>0.0285 ± 0.0003</w:t>
            </w:r>
          </w:p>
        </w:tc>
        <w:tc>
          <w:tcPr>
            <w:tcW w:type="dxa" w:w="1290"/>
            <w:shd w:fill="F8FAFC"/>
            <w:tcMar>
              <w:top w:w="60" w:type="dxa"/>
              <w:bottom w:w="60" w:type="dxa"/>
              <w:left w:w="80" w:type="dxa"/>
              <w:right w:w="80" w:type="dxa"/>
            </w:tcMar>
          </w:tcPr>
          <w:p>
            <w:pPr>
              <w:jc w:val="center"/>
            </w:pPr>
            <w:r>
              <w:rPr>
                <w:sz w:val="16"/>
              </w:rPr>
              <w:t>0.0230 ± 0.0003</w:t>
            </w:r>
          </w:p>
        </w:tc>
        <w:tc>
          <w:tcPr>
            <w:tcW w:type="dxa" w:w="1290"/>
            <w:shd w:fill="F8FAFC"/>
            <w:tcMar>
              <w:top w:w="60" w:type="dxa"/>
              <w:bottom w:w="60" w:type="dxa"/>
              <w:left w:w="80" w:type="dxa"/>
              <w:right w:w="80" w:type="dxa"/>
            </w:tcMar>
          </w:tcPr>
          <w:p>
            <w:pPr>
              <w:jc w:val="center"/>
            </w:pPr>
            <w:r>
              <w:rPr>
                <w:sz w:val="16"/>
              </w:rPr>
              <w:t>0.0113 ± 0.0002</w:t>
            </w:r>
          </w:p>
        </w:tc>
        <w:tc>
          <w:tcPr>
            <w:tcW w:type="dxa" w:w="1290"/>
            <w:shd w:fill="F8FAFC"/>
            <w:tcMar>
              <w:top w:w="60" w:type="dxa"/>
              <w:bottom w:w="60" w:type="dxa"/>
              <w:left w:w="80" w:type="dxa"/>
              <w:right w:w="80" w:type="dxa"/>
            </w:tcMar>
          </w:tcPr>
          <w:p>
            <w:pPr>
              <w:jc w:val="center"/>
            </w:pPr>
            <w:r>
              <w:rPr>
                <w:sz w:val="16"/>
              </w:rPr>
              <w:t>26.9 ± 0.3</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0.0935 ± 0.0032</w:t>
            </w:r>
          </w:p>
        </w:tc>
        <w:tc>
          <w:tcPr>
            <w:tcW w:type="dxa" w:w="1290"/>
            <w:shd w:fill="FFFFFF"/>
            <w:tcMar>
              <w:top w:w="60" w:type="dxa"/>
              <w:bottom w:w="60" w:type="dxa"/>
              <w:left w:w="80" w:type="dxa"/>
              <w:right w:w="80" w:type="dxa"/>
            </w:tcMar>
          </w:tcPr>
          <w:p>
            <w:pPr>
              <w:jc w:val="center"/>
            </w:pPr>
            <w:r>
              <w:rPr>
                <w:sz w:val="16"/>
              </w:rPr>
              <w:t>0.1230 ± 0.0030</w:t>
            </w:r>
          </w:p>
        </w:tc>
        <w:tc>
          <w:tcPr>
            <w:tcW w:type="dxa" w:w="1290"/>
            <w:shd w:fill="FFFFFF"/>
            <w:tcMar>
              <w:top w:w="60" w:type="dxa"/>
              <w:bottom w:w="60" w:type="dxa"/>
              <w:left w:w="80" w:type="dxa"/>
              <w:right w:w="80" w:type="dxa"/>
            </w:tcMar>
          </w:tcPr>
          <w:p>
            <w:pPr>
              <w:jc w:val="center"/>
            </w:pPr>
            <w:r>
              <w:rPr>
                <w:sz w:val="16"/>
              </w:rPr>
              <w:t>0.0963 ± 0.0029</w:t>
            </w:r>
          </w:p>
        </w:tc>
        <w:tc>
          <w:tcPr>
            <w:tcW w:type="dxa" w:w="1290"/>
            <w:shd w:fill="FFFFFF"/>
            <w:tcMar>
              <w:top w:w="60" w:type="dxa"/>
              <w:bottom w:w="60" w:type="dxa"/>
              <w:left w:w="80" w:type="dxa"/>
              <w:right w:w="80" w:type="dxa"/>
            </w:tcMar>
          </w:tcPr>
          <w:p>
            <w:pPr>
              <w:jc w:val="center"/>
            </w:pPr>
            <w:r>
              <w:rPr>
                <w:sz w:val="16"/>
              </w:rPr>
              <w:t>0.0498 ± 0.0013</w:t>
            </w:r>
          </w:p>
        </w:tc>
        <w:tc>
          <w:tcPr>
            <w:tcW w:type="dxa" w:w="1290"/>
            <w:shd w:fill="FFFFFF"/>
            <w:tcMar>
              <w:top w:w="60" w:type="dxa"/>
              <w:bottom w:w="60" w:type="dxa"/>
              <w:left w:w="80" w:type="dxa"/>
              <w:right w:w="80" w:type="dxa"/>
            </w:tcMar>
          </w:tcPr>
          <w:p>
            <w:pPr>
              <w:jc w:val="center"/>
            </w:pPr>
            <w:r>
              <w:rPr>
                <w:sz w:val="16"/>
              </w:rPr>
              <w:t>118.5 ± 2.6</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0.0592 ± 0.0004</w:t>
            </w:r>
          </w:p>
        </w:tc>
        <w:tc>
          <w:tcPr>
            <w:tcW w:type="dxa" w:w="1290"/>
            <w:shd w:fill="F1F5F9"/>
            <w:tcMar>
              <w:top w:w="60" w:type="dxa"/>
              <w:bottom w:w="60" w:type="dxa"/>
              <w:left w:w="80" w:type="dxa"/>
              <w:right w:w="80" w:type="dxa"/>
            </w:tcMar>
          </w:tcPr>
          <w:p>
            <w:pPr>
              <w:jc w:val="center"/>
            </w:pPr>
            <w:r>
              <w:rPr>
                <w:b/>
                <w:sz w:val="16"/>
              </w:rPr>
              <w:t>0.0786 ± 0.0001</w:t>
            </w:r>
          </w:p>
        </w:tc>
        <w:tc>
          <w:tcPr>
            <w:tcW w:type="dxa" w:w="1290"/>
            <w:shd w:fill="F1F5F9"/>
            <w:tcMar>
              <w:top w:w="60" w:type="dxa"/>
              <w:bottom w:w="60" w:type="dxa"/>
              <w:left w:w="80" w:type="dxa"/>
              <w:right w:w="80" w:type="dxa"/>
            </w:tcMar>
          </w:tcPr>
          <w:p>
            <w:pPr>
              <w:jc w:val="center"/>
            </w:pPr>
            <w:r>
              <w:rPr>
                <w:b/>
                <w:sz w:val="16"/>
              </w:rPr>
              <w:t>0.0612 ± 0.0001</w:t>
            </w:r>
          </w:p>
        </w:tc>
        <w:tc>
          <w:tcPr>
            <w:tcW w:type="dxa" w:w="1290"/>
            <w:shd w:fill="F1F5F9"/>
            <w:tcMar>
              <w:top w:w="60" w:type="dxa"/>
              <w:bottom w:w="60" w:type="dxa"/>
              <w:left w:w="80" w:type="dxa"/>
              <w:right w:w="80" w:type="dxa"/>
            </w:tcMar>
          </w:tcPr>
          <w:p>
            <w:pPr>
              <w:jc w:val="center"/>
            </w:pPr>
            <w:r>
              <w:rPr>
                <w:b/>
                <w:sz w:val="16"/>
              </w:rPr>
              <w:t>0.0243 ± 0.0014</w:t>
            </w:r>
          </w:p>
        </w:tc>
        <w:tc>
          <w:tcPr>
            <w:tcW w:type="dxa" w:w="1290"/>
            <w:shd w:fill="F1F5F9"/>
            <w:tcMar>
              <w:top w:w="60" w:type="dxa"/>
              <w:bottom w:w="60" w:type="dxa"/>
              <w:left w:w="80" w:type="dxa"/>
              <w:right w:w="80" w:type="dxa"/>
            </w:tcMar>
          </w:tcPr>
          <w:p>
            <w:pPr>
              <w:jc w:val="center"/>
            </w:pPr>
            <w:r>
              <w:rPr>
                <w:b/>
                <w:sz w:val="16"/>
              </w:rPr>
              <w:t>82.4 ± 0.4</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0.0493 ± 0.0000</w:t>
            </w:r>
          </w:p>
        </w:tc>
        <w:tc>
          <w:tcPr>
            <w:tcW w:type="dxa" w:w="1290"/>
            <w:shd w:fill="FFFFFF"/>
            <w:tcMar>
              <w:top w:w="60" w:type="dxa"/>
              <w:bottom w:w="60" w:type="dxa"/>
              <w:left w:w="80" w:type="dxa"/>
              <w:right w:w="80" w:type="dxa"/>
            </w:tcMar>
          </w:tcPr>
          <w:p>
            <w:pPr>
              <w:jc w:val="center"/>
            </w:pPr>
            <w:r>
              <w:rPr>
                <w:b/>
                <w:sz w:val="16"/>
              </w:rPr>
              <w:t>0.0716 ± 0.0000</w:t>
            </w:r>
          </w:p>
        </w:tc>
        <w:tc>
          <w:tcPr>
            <w:tcW w:type="dxa" w:w="1290"/>
            <w:shd w:fill="FFFFFF"/>
            <w:tcMar>
              <w:top w:w="60" w:type="dxa"/>
              <w:bottom w:w="60" w:type="dxa"/>
              <w:left w:w="80" w:type="dxa"/>
              <w:right w:w="80" w:type="dxa"/>
            </w:tcMar>
          </w:tcPr>
          <w:p>
            <w:pPr>
              <w:jc w:val="center"/>
            </w:pPr>
            <w:r>
              <w:rPr>
                <w:b/>
                <w:sz w:val="16"/>
              </w:rPr>
              <w:t>0.0476 ± 0.0000</w:t>
            </w:r>
          </w:p>
        </w:tc>
        <w:tc>
          <w:tcPr>
            <w:tcW w:type="dxa" w:w="1290"/>
            <w:shd w:fill="FFFFFF"/>
            <w:tcMar>
              <w:top w:w="60" w:type="dxa"/>
              <w:bottom w:w="60" w:type="dxa"/>
              <w:left w:w="80" w:type="dxa"/>
              <w:right w:w="80" w:type="dxa"/>
            </w:tcMar>
          </w:tcPr>
          <w:p>
            <w:pPr>
              <w:jc w:val="center"/>
            </w:pPr>
            <w:r>
              <w:rPr>
                <w:b/>
                <w:sz w:val="16"/>
              </w:rPr>
              <w:t>0.0252 ± 0.0000</w:t>
            </w:r>
          </w:p>
        </w:tc>
        <w:tc>
          <w:tcPr>
            <w:tcW w:type="dxa" w:w="1290"/>
            <w:shd w:fill="FFFFFF"/>
            <w:tcMar>
              <w:top w:w="60" w:type="dxa"/>
              <w:bottom w:w="60" w:type="dxa"/>
              <w:left w:w="80" w:type="dxa"/>
              <w:right w:w="80" w:type="dxa"/>
            </w:tcMar>
          </w:tcPr>
          <w:p>
            <w:pPr>
              <w:jc w:val="center"/>
            </w:pPr>
            <w:r>
              <w:rPr>
                <w:b/>
                <w:sz w:val="16"/>
              </w:rPr>
              <w:t>64.2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0.0248 ± 0.0000</w:t>
            </w:r>
          </w:p>
        </w:tc>
        <w:tc>
          <w:tcPr>
            <w:tcW w:type="dxa" w:w="1290"/>
            <w:shd w:fill="F1F5F9"/>
            <w:tcMar>
              <w:top w:w="60" w:type="dxa"/>
              <w:bottom w:w="60" w:type="dxa"/>
              <w:left w:w="80" w:type="dxa"/>
              <w:right w:w="80" w:type="dxa"/>
            </w:tcMar>
          </w:tcPr>
          <w:p>
            <w:pPr>
              <w:jc w:val="center"/>
            </w:pPr>
            <w:r>
              <w:rPr>
                <w:b/>
                <w:sz w:val="16"/>
              </w:rPr>
              <w:t>0.0350 ± 0.0000</w:t>
            </w:r>
          </w:p>
        </w:tc>
        <w:tc>
          <w:tcPr>
            <w:tcW w:type="dxa" w:w="1290"/>
            <w:shd w:fill="F1F5F9"/>
            <w:tcMar>
              <w:top w:w="60" w:type="dxa"/>
              <w:bottom w:w="60" w:type="dxa"/>
              <w:left w:w="80" w:type="dxa"/>
              <w:right w:w="80" w:type="dxa"/>
            </w:tcMar>
          </w:tcPr>
          <w:p>
            <w:pPr>
              <w:jc w:val="center"/>
            </w:pPr>
            <w:r>
              <w:rPr>
                <w:b/>
                <w:sz w:val="16"/>
              </w:rPr>
              <w:t>0.0242 ± 0.0000</w:t>
            </w:r>
          </w:p>
        </w:tc>
        <w:tc>
          <w:tcPr>
            <w:tcW w:type="dxa" w:w="1290"/>
            <w:shd w:fill="F1F5F9"/>
            <w:tcMar>
              <w:top w:w="60" w:type="dxa"/>
              <w:bottom w:w="60" w:type="dxa"/>
              <w:left w:w="80" w:type="dxa"/>
              <w:right w:w="80" w:type="dxa"/>
            </w:tcMar>
          </w:tcPr>
          <w:p>
            <w:pPr>
              <w:jc w:val="center"/>
            </w:pPr>
            <w:r>
              <w:rPr>
                <w:b/>
                <w:sz w:val="16"/>
              </w:rPr>
              <w:t>0.0096 ± 0.0000</w:t>
            </w:r>
          </w:p>
        </w:tc>
        <w:tc>
          <w:tcPr>
            <w:tcW w:type="dxa" w:w="1290"/>
            <w:shd w:fill="F1F5F9"/>
            <w:tcMar>
              <w:top w:w="60" w:type="dxa"/>
              <w:bottom w:w="60" w:type="dxa"/>
              <w:left w:w="80" w:type="dxa"/>
              <w:right w:w="80" w:type="dxa"/>
            </w:tcMar>
          </w:tcPr>
          <w:p>
            <w:pPr>
              <w:jc w:val="center"/>
            </w:pPr>
            <w:r>
              <w:rPr>
                <w:b/>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0.0260 ± 0.0000</w:t>
            </w:r>
          </w:p>
        </w:tc>
        <w:tc>
          <w:tcPr>
            <w:tcW w:type="dxa" w:w="1290"/>
            <w:shd w:fill="FFFFFF"/>
            <w:tcMar>
              <w:top w:w="60" w:type="dxa"/>
              <w:bottom w:w="60" w:type="dxa"/>
              <w:left w:w="80" w:type="dxa"/>
              <w:right w:w="80" w:type="dxa"/>
            </w:tcMar>
          </w:tcPr>
          <w:p>
            <w:pPr>
              <w:jc w:val="center"/>
            </w:pPr>
            <w:r>
              <w:rPr>
                <w:sz w:val="16"/>
              </w:rPr>
              <w:t>0.0376 ± 0.0000</w:t>
            </w:r>
          </w:p>
        </w:tc>
        <w:tc>
          <w:tcPr>
            <w:tcW w:type="dxa" w:w="1290"/>
            <w:shd w:fill="FFFFFF"/>
            <w:tcMar>
              <w:top w:w="60" w:type="dxa"/>
              <w:bottom w:w="60" w:type="dxa"/>
              <w:left w:w="80" w:type="dxa"/>
              <w:right w:w="80" w:type="dxa"/>
            </w:tcMar>
          </w:tcPr>
          <w:p>
            <w:pPr>
              <w:jc w:val="center"/>
            </w:pPr>
            <w:r>
              <w:rPr>
                <w:sz w:val="16"/>
              </w:rPr>
              <w:t>0.0267 ± 0.0000</w:t>
            </w:r>
          </w:p>
        </w:tc>
        <w:tc>
          <w:tcPr>
            <w:tcW w:type="dxa" w:w="1290"/>
            <w:shd w:fill="FFFFFF"/>
            <w:tcMar>
              <w:top w:w="60" w:type="dxa"/>
              <w:bottom w:w="60" w:type="dxa"/>
              <w:left w:w="80" w:type="dxa"/>
              <w:right w:w="80" w:type="dxa"/>
            </w:tcMar>
          </w:tcPr>
          <w:p>
            <w:pPr>
              <w:jc w:val="center"/>
            </w:pPr>
            <w:r>
              <w:rPr>
                <w:sz w:val="16"/>
              </w:rPr>
              <w:t>0.0096 ± 0.0000</w:t>
            </w:r>
          </w:p>
        </w:tc>
        <w:tc>
          <w:tcPr>
            <w:tcW w:type="dxa" w:w="1290"/>
            <w:shd w:fill="FFFFFF"/>
            <w:tcMar>
              <w:top w:w="60" w:type="dxa"/>
              <w:bottom w:w="60" w:type="dxa"/>
              <w:left w:w="80" w:type="dxa"/>
              <w:right w:w="80" w:type="dxa"/>
            </w:tcMar>
          </w:tcPr>
          <w:p>
            <w:pPr>
              <w:jc w:val="center"/>
            </w:pPr>
            <w:r>
              <w:rPr>
                <w:sz w:val="16"/>
              </w:rPr>
              <w:t>30.6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0.0233 ± 0.0000</w:t>
            </w:r>
          </w:p>
        </w:tc>
        <w:tc>
          <w:tcPr>
            <w:tcW w:type="dxa" w:w="1290"/>
            <w:shd w:fill="F8FAFC"/>
            <w:tcMar>
              <w:top w:w="60" w:type="dxa"/>
              <w:bottom w:w="60" w:type="dxa"/>
              <w:left w:w="80" w:type="dxa"/>
              <w:right w:w="80" w:type="dxa"/>
            </w:tcMar>
          </w:tcPr>
          <w:p>
            <w:pPr>
              <w:jc w:val="center"/>
            </w:pPr>
            <w:r>
              <w:rPr>
                <w:sz w:val="16"/>
              </w:rPr>
              <w:t>0.0325 ± 0.0000</w:t>
            </w:r>
          </w:p>
        </w:tc>
        <w:tc>
          <w:tcPr>
            <w:tcW w:type="dxa" w:w="1290"/>
            <w:shd w:fill="F8FAFC"/>
            <w:tcMar>
              <w:top w:w="60" w:type="dxa"/>
              <w:bottom w:w="60" w:type="dxa"/>
              <w:left w:w="80" w:type="dxa"/>
              <w:right w:w="80" w:type="dxa"/>
            </w:tcMar>
          </w:tcPr>
          <w:p>
            <w:pPr>
              <w:jc w:val="center"/>
            </w:pPr>
            <w:r>
              <w:rPr>
                <w:sz w:val="16"/>
              </w:rPr>
              <w:t>0.0254 ± 0.0000</w:t>
            </w:r>
          </w:p>
        </w:tc>
        <w:tc>
          <w:tcPr>
            <w:tcW w:type="dxa" w:w="1290"/>
            <w:shd w:fill="F8FAFC"/>
            <w:tcMar>
              <w:top w:w="60" w:type="dxa"/>
              <w:bottom w:w="60" w:type="dxa"/>
              <w:left w:w="80" w:type="dxa"/>
              <w:right w:w="80" w:type="dxa"/>
            </w:tcMar>
          </w:tcPr>
          <w:p>
            <w:pPr>
              <w:jc w:val="center"/>
            </w:pPr>
            <w:r>
              <w:rPr>
                <w:sz w:val="16"/>
              </w:rPr>
              <w:t>0.0116 ± 0.0000</w:t>
            </w:r>
          </w:p>
        </w:tc>
        <w:tc>
          <w:tcPr>
            <w:tcW w:type="dxa" w:w="1290"/>
            <w:shd w:fill="F8FAFC"/>
            <w:tcMar>
              <w:top w:w="60" w:type="dxa"/>
              <w:bottom w:w="60" w:type="dxa"/>
              <w:left w:w="80" w:type="dxa"/>
              <w:right w:w="80" w:type="dxa"/>
            </w:tcMar>
          </w:tcPr>
          <w:p>
            <w:pPr>
              <w:jc w:val="center"/>
            </w:pPr>
            <w:r>
              <w:rPr>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 ± 0.0006</w:t>
            </w:r>
          </w:p>
        </w:tc>
        <w:tc>
          <w:tcPr>
            <w:tcW w:type="dxa" w:w="1290"/>
            <w:shd w:fill="FFFFFF"/>
            <w:tcMar>
              <w:top w:w="60" w:type="dxa"/>
              <w:bottom w:w="60" w:type="dxa"/>
              <w:left w:w="80" w:type="dxa"/>
              <w:right w:w="80" w:type="dxa"/>
            </w:tcMar>
          </w:tcPr>
          <w:p>
            <w:pPr>
              <w:jc w:val="center"/>
            </w:pPr>
            <w:r>
              <w:rPr>
                <w:sz w:val="16"/>
              </w:rPr>
              <w:t>0.0402 ± 0.0005</w:t>
            </w:r>
          </w:p>
        </w:tc>
        <w:tc>
          <w:tcPr>
            <w:tcW w:type="dxa" w:w="1290"/>
            <w:shd w:fill="FFFFFF"/>
            <w:tcMar>
              <w:top w:w="60" w:type="dxa"/>
              <w:bottom w:w="60" w:type="dxa"/>
              <w:left w:w="80" w:type="dxa"/>
              <w:right w:w="80" w:type="dxa"/>
            </w:tcMar>
          </w:tcPr>
          <w:p>
            <w:pPr>
              <w:jc w:val="center"/>
            </w:pPr>
            <w:r>
              <w:rPr>
                <w:sz w:val="16"/>
              </w:rPr>
              <w:t>0.0304 ± 0.0005</w:t>
            </w:r>
          </w:p>
        </w:tc>
        <w:tc>
          <w:tcPr>
            <w:tcW w:type="dxa" w:w="1290"/>
            <w:shd w:fill="FFFFFF"/>
            <w:tcMar>
              <w:top w:w="60" w:type="dxa"/>
              <w:bottom w:w="60" w:type="dxa"/>
              <w:left w:w="80" w:type="dxa"/>
              <w:right w:w="80" w:type="dxa"/>
            </w:tcMar>
          </w:tcPr>
          <w:p>
            <w:pPr>
              <w:jc w:val="center"/>
            </w:pPr>
            <w:r>
              <w:rPr>
                <w:sz w:val="16"/>
              </w:rPr>
              <w:t>0.0118 ± 0.0004</w:t>
            </w:r>
          </w:p>
        </w:tc>
        <w:tc>
          <w:tcPr>
            <w:tcW w:type="dxa" w:w="1290"/>
            <w:shd w:fill="FFFFFF"/>
            <w:tcMar>
              <w:top w:w="60" w:type="dxa"/>
              <w:bottom w:w="60" w:type="dxa"/>
              <w:left w:w="80" w:type="dxa"/>
              <w:right w:w="80" w:type="dxa"/>
            </w:tcMar>
          </w:tcPr>
          <w:p>
            <w:pPr>
              <w:jc w:val="center"/>
            </w:pPr>
            <w:r>
              <w:rPr>
                <w:sz w:val="16"/>
              </w:rPr>
              <w:t>35.5 ± 0.5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0.0305 ± 0.0005</w:t>
            </w:r>
          </w:p>
        </w:tc>
        <w:tc>
          <w:tcPr>
            <w:tcW w:type="dxa" w:w="1290"/>
            <w:shd w:fill="F8FAFC"/>
            <w:tcMar>
              <w:top w:w="60" w:type="dxa"/>
              <w:bottom w:w="60" w:type="dxa"/>
              <w:left w:w="80" w:type="dxa"/>
              <w:right w:w="80" w:type="dxa"/>
            </w:tcMar>
          </w:tcPr>
          <w:p>
            <w:pPr>
              <w:jc w:val="center"/>
            </w:pPr>
            <w:r>
              <w:rPr>
                <w:sz w:val="16"/>
              </w:rPr>
              <w:t>0.0416 ± 0.0004</w:t>
            </w:r>
          </w:p>
        </w:tc>
        <w:tc>
          <w:tcPr>
            <w:tcW w:type="dxa" w:w="1290"/>
            <w:shd w:fill="F8FAFC"/>
            <w:tcMar>
              <w:top w:w="60" w:type="dxa"/>
              <w:bottom w:w="60" w:type="dxa"/>
              <w:left w:w="80" w:type="dxa"/>
              <w:right w:w="80" w:type="dxa"/>
            </w:tcMar>
          </w:tcPr>
          <w:p>
            <w:pPr>
              <w:jc w:val="center"/>
            </w:pPr>
            <w:r>
              <w:rPr>
                <w:sz w:val="16"/>
              </w:rPr>
              <w:t>0.0318 ± 0.0004</w:t>
            </w:r>
          </w:p>
        </w:tc>
        <w:tc>
          <w:tcPr>
            <w:tcW w:type="dxa" w:w="1290"/>
            <w:shd w:fill="F8FAFC"/>
            <w:tcMar>
              <w:top w:w="60" w:type="dxa"/>
              <w:bottom w:w="60" w:type="dxa"/>
              <w:left w:w="80" w:type="dxa"/>
              <w:right w:w="80" w:type="dxa"/>
            </w:tcMar>
          </w:tcPr>
          <w:p>
            <w:pPr>
              <w:jc w:val="center"/>
            </w:pPr>
            <w:r>
              <w:rPr>
                <w:sz w:val="16"/>
              </w:rPr>
              <w:t>0.0120 ± 0.0003</w:t>
            </w:r>
          </w:p>
        </w:tc>
        <w:tc>
          <w:tcPr>
            <w:tcW w:type="dxa" w:w="1290"/>
            <w:shd w:fill="F8FAFC"/>
            <w:tcMar>
              <w:top w:w="60" w:type="dxa"/>
              <w:bottom w:w="60" w:type="dxa"/>
              <w:left w:w="80" w:type="dxa"/>
              <w:right w:w="80" w:type="dxa"/>
            </w:tcMar>
          </w:tcPr>
          <w:p>
            <w:pPr>
              <w:jc w:val="center"/>
            </w:pPr>
            <w:r>
              <w:rPr>
                <w:sz w:val="16"/>
              </w:rPr>
              <w:t>37.4 ± 0.4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 ± 0.0035</w:t>
            </w:r>
          </w:p>
        </w:tc>
        <w:tc>
          <w:tcPr>
            <w:tcW w:type="dxa" w:w="1290"/>
            <w:shd w:fill="FFFFFF"/>
            <w:tcMar>
              <w:top w:w="60" w:type="dxa"/>
              <w:bottom w:w="60" w:type="dxa"/>
              <w:left w:w="80" w:type="dxa"/>
              <w:right w:w="80" w:type="dxa"/>
            </w:tcMar>
          </w:tcPr>
          <w:p>
            <w:pPr>
              <w:jc w:val="center"/>
            </w:pPr>
            <w:r>
              <w:rPr>
                <w:sz w:val="16"/>
              </w:rPr>
              <w:t>0.1415 ± 0.0032</w:t>
            </w:r>
          </w:p>
        </w:tc>
        <w:tc>
          <w:tcPr>
            <w:tcW w:type="dxa" w:w="1290"/>
            <w:shd w:fill="FFFFFF"/>
            <w:tcMar>
              <w:top w:w="60" w:type="dxa"/>
              <w:bottom w:w="60" w:type="dxa"/>
              <w:left w:w="80" w:type="dxa"/>
              <w:right w:w="80" w:type="dxa"/>
            </w:tcMar>
          </w:tcPr>
          <w:p>
            <w:pPr>
              <w:jc w:val="center"/>
            </w:pPr>
            <w:r>
              <w:rPr>
                <w:sz w:val="16"/>
              </w:rPr>
              <w:t>0.1109 ± 0.0031</w:t>
            </w:r>
          </w:p>
        </w:tc>
        <w:tc>
          <w:tcPr>
            <w:tcW w:type="dxa" w:w="1290"/>
            <w:shd w:fill="FFFFFF"/>
            <w:tcMar>
              <w:top w:w="60" w:type="dxa"/>
              <w:bottom w:w="60" w:type="dxa"/>
              <w:left w:w="80" w:type="dxa"/>
              <w:right w:w="80" w:type="dxa"/>
            </w:tcMar>
          </w:tcPr>
          <w:p>
            <w:pPr>
              <w:jc w:val="center"/>
            </w:pPr>
            <w:r>
              <w:rPr>
                <w:sz w:val="16"/>
              </w:rPr>
              <w:t>0.0560 ± 0.0015</w:t>
            </w:r>
          </w:p>
        </w:tc>
        <w:tc>
          <w:tcPr>
            <w:tcW w:type="dxa" w:w="1290"/>
            <w:shd w:fill="FFFFFF"/>
            <w:tcMar>
              <w:top w:w="60" w:type="dxa"/>
              <w:bottom w:w="60" w:type="dxa"/>
              <w:left w:w="80" w:type="dxa"/>
              <w:right w:w="80" w:type="dxa"/>
            </w:tcMar>
          </w:tcPr>
          <w:p>
            <w:pPr>
              <w:jc w:val="center"/>
            </w:pPr>
            <w:r>
              <w:rPr>
                <w:sz w:val="16"/>
              </w:rPr>
              <w:t>137.1 ± 3.1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0.0732 ± 0.0005</w:t>
            </w:r>
          </w:p>
        </w:tc>
        <w:tc>
          <w:tcPr>
            <w:tcW w:type="dxa" w:w="1290"/>
            <w:shd w:fill="F1F5F9"/>
            <w:tcMar>
              <w:top w:w="60" w:type="dxa"/>
              <w:bottom w:w="60" w:type="dxa"/>
              <w:left w:w="80" w:type="dxa"/>
              <w:right w:w="80" w:type="dxa"/>
            </w:tcMar>
          </w:tcPr>
          <w:p>
            <w:pPr>
              <w:jc w:val="center"/>
            </w:pPr>
            <w:r>
              <w:rPr>
                <w:b/>
                <w:sz w:val="16"/>
              </w:rPr>
              <w:t>0.0962 ± 0.0003</w:t>
            </w:r>
          </w:p>
        </w:tc>
        <w:tc>
          <w:tcPr>
            <w:tcW w:type="dxa" w:w="1290"/>
            <w:shd w:fill="F1F5F9"/>
            <w:tcMar>
              <w:top w:w="60" w:type="dxa"/>
              <w:bottom w:w="60" w:type="dxa"/>
              <w:left w:w="80" w:type="dxa"/>
              <w:right w:w="80" w:type="dxa"/>
            </w:tcMar>
          </w:tcPr>
          <w:p>
            <w:pPr>
              <w:jc w:val="center"/>
            </w:pPr>
            <w:r>
              <w:rPr>
                <w:b/>
                <w:sz w:val="16"/>
              </w:rPr>
              <w:t>0.0750 ± 0.0003</w:t>
            </w:r>
          </w:p>
        </w:tc>
        <w:tc>
          <w:tcPr>
            <w:tcW w:type="dxa" w:w="1290"/>
            <w:shd w:fill="F1F5F9"/>
            <w:tcMar>
              <w:top w:w="60" w:type="dxa"/>
              <w:bottom w:w="60" w:type="dxa"/>
              <w:left w:w="80" w:type="dxa"/>
              <w:right w:w="80" w:type="dxa"/>
            </w:tcMar>
          </w:tcPr>
          <w:p>
            <w:pPr>
              <w:jc w:val="center"/>
            </w:pPr>
            <w:r>
              <w:rPr>
                <w:b/>
                <w:sz w:val="16"/>
              </w:rPr>
              <w:t>0.0263 ± 0.0012</w:t>
            </w:r>
          </w:p>
        </w:tc>
        <w:tc>
          <w:tcPr>
            <w:tcW w:type="dxa" w:w="1290"/>
            <w:shd w:fill="F1F5F9"/>
            <w:tcMar>
              <w:top w:w="60" w:type="dxa"/>
              <w:bottom w:w="60" w:type="dxa"/>
              <w:left w:w="80" w:type="dxa"/>
              <w:right w:w="80" w:type="dxa"/>
            </w:tcMar>
          </w:tcPr>
          <w:p>
            <w:pPr>
              <w:jc w:val="center"/>
            </w:pPr>
            <w:r>
              <w:rPr>
                <w:b/>
                <w:sz w:val="16"/>
              </w:rPr>
              <w:t>92.3 ± 0.6</w:t>
            </w:r>
          </w:p>
        </w:tc>
      </w:tr>
    </w:tbl>
    <w:p>
      <w:pPr>
        <w:spacing w:before="0" w:after="80" w:line="276" w:lineRule="auto"/>
        <w:jc w:val="both"/>
      </w:pPr>
      <w:r>
        <w:rPr>
          <w:i/>
          <w:color w:val="64748B"/>
          <w:sz w:val="16"/>
        </w:rPr>
        <w:t>Note: Baseline models (Persistence, Local Linear, Pooled Linear, and XGBoost) are deterministic and seed-invariant (± 0.0000). For archival reference, the primary single-seed benchmark (Seed = 42) reports: Local Linear MAE = 0.0126 (13.9 bays), Centralized Attention-LSTM MAE = 0.0217 (26.9 bays), Global FedAvg MAE = 0.1006 (126.8 bays), and Personalized FedAvg MAE = 0.0607 (73.2 bays).</w:t>
      </w:r>
    </w:p>
    <w:p>
      <w:pPr>
        <w:spacing w:before="0" w:after="120" w:line="276" w:lineRule="auto"/>
        <w:jc w:val="both"/>
      </w:pPr>
    </w:p>
    <w:p>
      <w:pPr>
        <w:jc w:val="center"/>
      </w:pPr>
      <w:r>
        <w:drawing>
          <wp:inline xmlns:a="http://schemas.openxmlformats.org/drawingml/2006/main" xmlns:pic="http://schemas.openxmlformats.org/drawingml/2006/picture">
            <wp:extent cx="5669280" cy="1965350"/>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196535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across Communication-Constrained (R=8) and Approximately Matched Compute-Budget (R=15) Regimes (30-Minute Horizon, Mean ± Std across Seeds {42, 101, 2024}).</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656"/>
            <w:shd w:fill="1F3864"/>
            <w:tcMar>
              <w:top w:w="100" w:type="dxa"/>
              <w:bottom w:w="100" w:type="dxa"/>
              <w:left w:w="100" w:type="dxa"/>
              <w:right w:w="100" w:type="dxa"/>
            </w:tcMar>
          </w:tcPr>
          <w:p>
            <w:pPr>
              <w:jc w:val="center"/>
            </w:pPr>
            <w:r>
              <w:rPr>
                <w:b/>
                <w:color w:val="FFFFFF"/>
                <w:sz w:val="16"/>
              </w:rPr>
              <w:t>Regime &amp; Protocol</w:t>
            </w:r>
          </w:p>
        </w:tc>
        <w:tc>
          <w:tcPr>
            <w:tcW w:type="dxa" w:w="2232"/>
            <w:shd w:fill="1F3864"/>
            <w:tcMar>
              <w:top w:w="100" w:type="dxa"/>
              <w:bottom w:w="100" w:type="dxa"/>
              <w:left w:w="100" w:type="dxa"/>
              <w:right w:w="100" w:type="dxa"/>
            </w:tcMar>
          </w:tcPr>
          <w:p>
            <w:pPr>
              <w:jc w:val="center"/>
            </w:pPr>
            <w:r>
              <w:rPr>
                <w:b/>
                <w:color w:val="FFFFFF"/>
                <w:sz w:val="16"/>
              </w:rPr>
              <w:t>Federated Paradigm / Algorithm</w:t>
            </w:r>
          </w:p>
        </w:tc>
        <w:tc>
          <w:tcPr>
            <w:tcW w:type="dxa" w:w="1152"/>
            <w:shd w:fill="1F3864"/>
            <w:tcMar>
              <w:top w:w="100" w:type="dxa"/>
              <w:bottom w:w="100" w:type="dxa"/>
              <w:left w:w="100" w:type="dxa"/>
              <w:right w:w="100" w:type="dxa"/>
            </w:tcMar>
          </w:tcPr>
          <w:p>
            <w:pPr>
              <w:jc w:val="center"/>
            </w:pPr>
            <w:r>
              <w:rPr>
                <w:b/>
                <w:color w:val="FFFFFF"/>
                <w:sz w:val="16"/>
              </w:rPr>
              <w:t>Pooled MAE (Micro)</w:t>
            </w:r>
          </w:p>
        </w:tc>
        <w:tc>
          <w:tcPr>
            <w:tcW w:type="dxa" w:w="1080"/>
            <w:shd w:fill="1F3864"/>
            <w:tcMar>
              <w:top w:w="100" w:type="dxa"/>
              <w:bottom w:w="100" w:type="dxa"/>
              <w:left w:w="100" w:type="dxa"/>
              <w:right w:w="100" w:type="dxa"/>
            </w:tcMar>
          </w:tcPr>
          <w:p>
            <w:pPr>
              <w:jc w:val="center"/>
            </w:pPr>
            <w:r>
              <w:rPr>
                <w:b/>
                <w:color w:val="FFFFFF"/>
                <w:sz w:val="16"/>
              </w:rPr>
              <w:t>Pooled RMSE</w:t>
            </w:r>
          </w:p>
        </w:tc>
        <w:tc>
          <w:tcPr>
            <w:tcW w:type="dxa" w:w="1080"/>
            <w:shd w:fill="1F3864"/>
            <w:tcMar>
              <w:top w:w="100" w:type="dxa"/>
              <w:bottom w:w="100" w:type="dxa"/>
              <w:left w:w="100" w:type="dxa"/>
              <w:right w:w="100" w:type="dxa"/>
            </w:tcMar>
          </w:tcPr>
          <w:p>
            <w:pPr>
              <w:jc w:val="center"/>
            </w:pPr>
            <w:r>
              <w:rPr>
                <w:b/>
                <w:color w:val="FFFFFF"/>
                <w:sz w:val="16"/>
              </w:rPr>
              <w:t>Macro Mean MAE</w:t>
            </w:r>
          </w:p>
        </w:tc>
        <w:tc>
          <w:tcPr>
            <w:tcW w:type="dxa" w:w="1080"/>
            <w:shd w:fill="1F3864"/>
            <w:tcMar>
              <w:top w:w="100" w:type="dxa"/>
              <w:bottom w:w="100" w:type="dxa"/>
              <w:left w:w="100" w:type="dxa"/>
              <w:right w:w="100" w:type="dxa"/>
            </w:tcMar>
          </w:tcPr>
          <w:p>
            <w:pPr>
              <w:jc w:val="center"/>
            </w:pPr>
            <w:r>
              <w:rPr>
                <w:b/>
                <w:color w:val="FFFFFF"/>
                <w:sz w:val="16"/>
              </w:rPr>
              <w:t>Between-Lot Std (sigma)</w:t>
            </w:r>
          </w:p>
        </w:tc>
        <w:tc>
          <w:tcPr>
            <w:tcW w:type="dxa" w:w="1080"/>
            <w:shd w:fill="1F3864"/>
            <w:tcMar>
              <w:top w:w="100" w:type="dxa"/>
              <w:bottom w:w="100" w:type="dxa"/>
              <w:left w:w="100" w:type="dxa"/>
              <w:right w:w="100" w:type="dxa"/>
            </w:tcMar>
          </w:tcPr>
          <w:p>
            <w:pPr>
              <w:jc w:val="center"/>
            </w:pPr>
            <w:r>
              <w:rPr>
                <w:b/>
                <w:color w:val="FFFFFF"/>
                <w:sz w:val="16"/>
              </w:rPr>
              <w:t>Mean Space Error (bays)</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Global FedAvg (R=8, B=32) [7]</w:t>
            </w:r>
          </w:p>
        </w:tc>
        <w:tc>
          <w:tcPr>
            <w:tcW w:type="dxa" w:w="1152"/>
            <w:shd w:fill="FFFFFF"/>
            <w:tcMar>
              <w:top w:w="60" w:type="dxa"/>
              <w:bottom w:w="60" w:type="dxa"/>
              <w:left w:w="80" w:type="dxa"/>
              <w:right w:w="80" w:type="dxa"/>
            </w:tcMar>
          </w:tcPr>
          <w:p>
            <w:pPr>
              <w:jc w:val="center"/>
            </w:pPr>
            <w:r>
              <w:rPr>
                <w:sz w:val="16"/>
              </w:rPr>
              <w:t>0.0935 ± 0.0032</w:t>
            </w:r>
          </w:p>
        </w:tc>
        <w:tc>
          <w:tcPr>
            <w:tcW w:type="dxa" w:w="1080"/>
            <w:shd w:fill="FFFFFF"/>
            <w:tcMar>
              <w:top w:w="60" w:type="dxa"/>
              <w:bottom w:w="60" w:type="dxa"/>
              <w:left w:w="80" w:type="dxa"/>
              <w:right w:w="80" w:type="dxa"/>
            </w:tcMar>
          </w:tcPr>
          <w:p>
            <w:pPr>
              <w:jc w:val="center"/>
            </w:pPr>
            <w:r>
              <w:rPr>
                <w:sz w:val="16"/>
              </w:rPr>
              <w:t>0.1230 ± 0.0030</w:t>
            </w:r>
          </w:p>
        </w:tc>
        <w:tc>
          <w:tcPr>
            <w:tcW w:type="dxa" w:w="1080"/>
            <w:shd w:fill="FFFFFF"/>
            <w:tcMar>
              <w:top w:w="60" w:type="dxa"/>
              <w:bottom w:w="60" w:type="dxa"/>
              <w:left w:w="80" w:type="dxa"/>
              <w:right w:w="80" w:type="dxa"/>
            </w:tcMar>
          </w:tcPr>
          <w:p>
            <w:pPr>
              <w:jc w:val="center"/>
            </w:pPr>
            <w:r>
              <w:rPr>
                <w:sz w:val="16"/>
              </w:rPr>
              <w:t>0.0963 ± 0.0029</w:t>
            </w:r>
          </w:p>
        </w:tc>
        <w:tc>
          <w:tcPr>
            <w:tcW w:type="dxa" w:w="1080"/>
            <w:shd w:fill="FFFFFF"/>
            <w:tcMar>
              <w:top w:w="60" w:type="dxa"/>
              <w:bottom w:w="60" w:type="dxa"/>
              <w:left w:w="80" w:type="dxa"/>
              <w:right w:w="80" w:type="dxa"/>
            </w:tcMar>
          </w:tcPr>
          <w:p>
            <w:pPr>
              <w:jc w:val="center"/>
            </w:pPr>
            <w:r>
              <w:rPr>
                <w:sz w:val="16"/>
              </w:rPr>
              <w:t>0.0498 ± 0.0013</w:t>
            </w:r>
          </w:p>
        </w:tc>
        <w:tc>
          <w:tcPr>
            <w:tcW w:type="dxa" w:w="1080"/>
            <w:shd w:fill="FFFFFF"/>
            <w:tcMar>
              <w:top w:w="60" w:type="dxa"/>
              <w:bottom w:w="60" w:type="dxa"/>
              <w:left w:w="80" w:type="dxa"/>
              <w:right w:w="80" w:type="dxa"/>
            </w:tcMar>
          </w:tcPr>
          <w:p>
            <w:pPr>
              <w:jc w:val="center"/>
            </w:pPr>
            <w:r>
              <w:rPr>
                <w:sz w:val="16"/>
              </w:rPr>
              <w:t>118.5 ± 2.6</w:t>
            </w:r>
          </w:p>
        </w:tc>
      </w:tr>
      <w:tr>
        <w:tc>
          <w:tcPr>
            <w:tcW w:type="dxa" w:w="1656"/>
            <w:shd w:fill="F1F5F9"/>
            <w:tcMar>
              <w:top w:w="60" w:type="dxa"/>
              <w:bottom w:w="60" w:type="dxa"/>
              <w:left w:w="80" w:type="dxa"/>
              <w:right w:w="80" w:type="dxa"/>
            </w:tcMar>
          </w:tcPr>
          <w:p>
            <w:pPr>
              <w:jc w:val="left"/>
            </w:pPr>
            <w:r>
              <w:rPr>
                <w:sz w:val="16"/>
              </w:rPr>
              <w:t>Communication-Constrained (R=8, E=2, ~7,888 steps)</w:t>
            </w:r>
          </w:p>
        </w:tc>
        <w:tc>
          <w:tcPr>
            <w:tcW w:type="dxa" w:w="2232"/>
            <w:shd w:fill="F1F5F9"/>
            <w:tcMar>
              <w:top w:w="60" w:type="dxa"/>
              <w:bottom w:w="60" w:type="dxa"/>
              <w:left w:w="80" w:type="dxa"/>
              <w:right w:w="80" w:type="dxa"/>
            </w:tcMar>
          </w:tcPr>
          <w:p>
            <w:pPr>
              <w:jc w:val="left"/>
            </w:pPr>
            <w:r>
              <w:rPr>
                <w:sz w:val="16"/>
              </w:rPr>
              <w:t>IID-Shuffled FedAvg Control</w:t>
            </w:r>
          </w:p>
        </w:tc>
        <w:tc>
          <w:tcPr>
            <w:tcW w:type="dxa" w:w="1152"/>
            <w:shd w:fill="F1F5F9"/>
            <w:tcMar>
              <w:top w:w="60" w:type="dxa"/>
              <w:bottom w:w="60" w:type="dxa"/>
              <w:left w:w="80" w:type="dxa"/>
              <w:right w:w="80" w:type="dxa"/>
            </w:tcMar>
          </w:tcPr>
          <w:p>
            <w:pPr>
              <w:jc w:val="center"/>
            </w:pPr>
            <w:r>
              <w:rPr>
                <w:sz w:val="16"/>
              </w:rPr>
              <w:t>0.0678 ± 0.0019</w:t>
            </w:r>
          </w:p>
        </w:tc>
        <w:tc>
          <w:tcPr>
            <w:tcW w:type="dxa" w:w="1080"/>
            <w:shd w:fill="F1F5F9"/>
            <w:tcMar>
              <w:top w:w="60" w:type="dxa"/>
              <w:bottom w:w="60" w:type="dxa"/>
              <w:left w:w="80" w:type="dxa"/>
              <w:right w:w="80" w:type="dxa"/>
            </w:tcMar>
          </w:tcPr>
          <w:p>
            <w:pPr>
              <w:jc w:val="center"/>
            </w:pPr>
            <w:r>
              <w:rPr>
                <w:sz w:val="16"/>
              </w:rPr>
              <w:t>0.0956 ± 0.0023</w:t>
            </w:r>
          </w:p>
        </w:tc>
        <w:tc>
          <w:tcPr>
            <w:tcW w:type="dxa" w:w="1080"/>
            <w:shd w:fill="F1F5F9"/>
            <w:tcMar>
              <w:top w:w="60" w:type="dxa"/>
              <w:bottom w:w="60" w:type="dxa"/>
              <w:left w:w="80" w:type="dxa"/>
              <w:right w:w="80" w:type="dxa"/>
            </w:tcMar>
          </w:tcPr>
          <w:p>
            <w:pPr>
              <w:jc w:val="center"/>
            </w:pPr>
            <w:r>
              <w:rPr>
                <w:sz w:val="16"/>
              </w:rPr>
              <w:t>0.0711 ± 0.0019</w:t>
            </w:r>
          </w:p>
        </w:tc>
        <w:tc>
          <w:tcPr>
            <w:tcW w:type="dxa" w:w="1080"/>
            <w:shd w:fill="F1F5F9"/>
            <w:tcMar>
              <w:top w:w="60" w:type="dxa"/>
              <w:bottom w:w="60" w:type="dxa"/>
              <w:left w:w="80" w:type="dxa"/>
              <w:right w:w="80" w:type="dxa"/>
            </w:tcMar>
          </w:tcPr>
          <w:p>
            <w:pPr>
              <w:jc w:val="center"/>
            </w:pPr>
            <w:r>
              <w:rPr>
                <w:sz w:val="16"/>
              </w:rPr>
              <w:t>0.0361 ± 0.0012</w:t>
            </w:r>
          </w:p>
        </w:tc>
        <w:tc>
          <w:tcPr>
            <w:tcW w:type="dxa" w:w="1080"/>
            <w:shd w:fill="F1F5F9"/>
            <w:tcMar>
              <w:top w:w="60" w:type="dxa"/>
              <w:bottom w:w="60" w:type="dxa"/>
              <w:left w:w="80" w:type="dxa"/>
              <w:right w:w="80" w:type="dxa"/>
            </w:tcMar>
          </w:tcPr>
          <w:p>
            <w:pPr>
              <w:jc w:val="center"/>
            </w:pPr>
            <w:r>
              <w:rPr>
                <w:sz w:val="16"/>
              </w:rPr>
              <w:t>90.4 ± 1.5</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FedProx (mu = 0.01) [19]</w:t>
            </w:r>
          </w:p>
        </w:tc>
        <w:tc>
          <w:tcPr>
            <w:tcW w:type="dxa" w:w="1152"/>
            <w:shd w:fill="FFFFFF"/>
            <w:tcMar>
              <w:top w:w="60" w:type="dxa"/>
              <w:bottom w:w="60" w:type="dxa"/>
              <w:left w:w="80" w:type="dxa"/>
              <w:right w:w="80" w:type="dxa"/>
            </w:tcMar>
          </w:tcPr>
          <w:p>
            <w:pPr>
              <w:jc w:val="center"/>
            </w:pPr>
            <w:r>
              <w:rPr>
                <w:sz w:val="16"/>
              </w:rPr>
              <w:t>0.1305 ± 0.0162</w:t>
            </w:r>
          </w:p>
        </w:tc>
        <w:tc>
          <w:tcPr>
            <w:tcW w:type="dxa" w:w="1080"/>
            <w:shd w:fill="FFFFFF"/>
            <w:tcMar>
              <w:top w:w="60" w:type="dxa"/>
              <w:bottom w:w="60" w:type="dxa"/>
              <w:left w:w="80" w:type="dxa"/>
              <w:right w:w="80" w:type="dxa"/>
            </w:tcMar>
          </w:tcPr>
          <w:p>
            <w:pPr>
              <w:jc w:val="center"/>
            </w:pPr>
            <w:r>
              <w:rPr>
                <w:sz w:val="16"/>
              </w:rPr>
              <w:t>0.1607 ± 0.0157</w:t>
            </w:r>
          </w:p>
        </w:tc>
        <w:tc>
          <w:tcPr>
            <w:tcW w:type="dxa" w:w="1080"/>
            <w:shd w:fill="FFFFFF"/>
            <w:tcMar>
              <w:top w:w="60" w:type="dxa"/>
              <w:bottom w:w="60" w:type="dxa"/>
              <w:left w:w="80" w:type="dxa"/>
              <w:right w:w="80" w:type="dxa"/>
            </w:tcMar>
          </w:tcPr>
          <w:p>
            <w:pPr>
              <w:jc w:val="center"/>
            </w:pPr>
            <w:r>
              <w:rPr>
                <w:sz w:val="16"/>
              </w:rPr>
              <w:t>0.1333 ± 0.0169</w:t>
            </w:r>
          </w:p>
        </w:tc>
        <w:tc>
          <w:tcPr>
            <w:tcW w:type="dxa" w:w="1080"/>
            <w:shd w:fill="FFFFFF"/>
            <w:tcMar>
              <w:top w:w="60" w:type="dxa"/>
              <w:bottom w:w="60" w:type="dxa"/>
              <w:left w:w="80" w:type="dxa"/>
              <w:right w:w="80" w:type="dxa"/>
            </w:tcMar>
          </w:tcPr>
          <w:p>
            <w:pPr>
              <w:jc w:val="center"/>
            </w:pPr>
            <w:r>
              <w:rPr>
                <w:sz w:val="16"/>
              </w:rPr>
              <w:t>0.0573 ± 0.0040</w:t>
            </w:r>
          </w:p>
        </w:tc>
        <w:tc>
          <w:tcPr>
            <w:tcW w:type="dxa" w:w="1080"/>
            <w:shd w:fill="FFFFFF"/>
            <w:tcMar>
              <w:top w:w="60" w:type="dxa"/>
              <w:bottom w:w="60" w:type="dxa"/>
              <w:left w:w="80" w:type="dxa"/>
              <w:right w:w="80" w:type="dxa"/>
            </w:tcMar>
          </w:tcPr>
          <w:p>
            <w:pPr>
              <w:jc w:val="center"/>
            </w:pPr>
            <w:r>
              <w:rPr>
                <w:sz w:val="16"/>
              </w:rPr>
              <w:t>162.8 ± 18.5</w:t>
            </w:r>
          </w:p>
        </w:tc>
      </w:tr>
      <w:tr>
        <w:tc>
          <w:tcPr>
            <w:tcW w:type="dxa" w:w="1656"/>
            <w:shd w:fill="F8FAFC"/>
            <w:tcMar>
              <w:top w:w="60" w:type="dxa"/>
              <w:bottom w:w="60" w:type="dxa"/>
              <w:left w:w="80" w:type="dxa"/>
              <w:right w:w="80" w:type="dxa"/>
            </w:tcMar>
          </w:tcPr>
          <w:p>
            <w:pPr>
              <w:jc w:val="left"/>
            </w:pPr>
            <w:r>
              <w:rPr>
                <w:sz w:val="16"/>
              </w:rPr>
              <w:t>Communication-Constrained (R=8, E=2, ~7,888 steps)</w:t>
            </w:r>
          </w:p>
        </w:tc>
        <w:tc>
          <w:tcPr>
            <w:tcW w:type="dxa" w:w="2232"/>
            <w:shd w:fill="F8FAFC"/>
            <w:tcMar>
              <w:top w:w="60" w:type="dxa"/>
              <w:bottom w:w="60" w:type="dxa"/>
              <w:left w:w="80" w:type="dxa"/>
              <w:right w:w="80" w:type="dxa"/>
            </w:tcMar>
          </w:tcPr>
          <w:p>
            <w:pPr>
              <w:jc w:val="left"/>
            </w:pPr>
            <w:r>
              <w:rPr>
                <w:sz w:val="16"/>
              </w:rPr>
              <w:t>FedPer (Shared Base, Private Head) [21]</w:t>
            </w:r>
          </w:p>
        </w:tc>
        <w:tc>
          <w:tcPr>
            <w:tcW w:type="dxa" w:w="1152"/>
            <w:shd w:fill="F8FAFC"/>
            <w:tcMar>
              <w:top w:w="60" w:type="dxa"/>
              <w:bottom w:w="60" w:type="dxa"/>
              <w:left w:w="80" w:type="dxa"/>
              <w:right w:w="80" w:type="dxa"/>
            </w:tcMar>
          </w:tcPr>
          <w:p>
            <w:pPr>
              <w:jc w:val="center"/>
            </w:pPr>
            <w:r>
              <w:rPr>
                <w:sz w:val="16"/>
              </w:rPr>
              <w:t>0.0775 ± 0.0012</w:t>
            </w:r>
          </w:p>
        </w:tc>
        <w:tc>
          <w:tcPr>
            <w:tcW w:type="dxa" w:w="1080"/>
            <w:shd w:fill="F8FAFC"/>
            <w:tcMar>
              <w:top w:w="60" w:type="dxa"/>
              <w:bottom w:w="60" w:type="dxa"/>
              <w:left w:w="80" w:type="dxa"/>
              <w:right w:w="80" w:type="dxa"/>
            </w:tcMar>
          </w:tcPr>
          <w:p>
            <w:pPr>
              <w:jc w:val="center"/>
            </w:pPr>
            <w:r>
              <w:rPr>
                <w:sz w:val="16"/>
              </w:rPr>
              <w:t>0.1056 ± 0.0007</w:t>
            </w:r>
          </w:p>
        </w:tc>
        <w:tc>
          <w:tcPr>
            <w:tcW w:type="dxa" w:w="1080"/>
            <w:shd w:fill="F8FAFC"/>
            <w:tcMar>
              <w:top w:w="60" w:type="dxa"/>
              <w:bottom w:w="60" w:type="dxa"/>
              <w:left w:w="80" w:type="dxa"/>
              <w:right w:w="80" w:type="dxa"/>
            </w:tcMar>
          </w:tcPr>
          <w:p>
            <w:pPr>
              <w:jc w:val="center"/>
            </w:pPr>
            <w:r>
              <w:rPr>
                <w:sz w:val="16"/>
              </w:rPr>
              <w:t>0.0798 ± 0.0009</w:t>
            </w:r>
          </w:p>
        </w:tc>
        <w:tc>
          <w:tcPr>
            <w:tcW w:type="dxa" w:w="1080"/>
            <w:shd w:fill="F8FAFC"/>
            <w:tcMar>
              <w:top w:w="60" w:type="dxa"/>
              <w:bottom w:w="60" w:type="dxa"/>
              <w:left w:w="80" w:type="dxa"/>
              <w:right w:w="80" w:type="dxa"/>
            </w:tcMar>
          </w:tcPr>
          <w:p>
            <w:pPr>
              <w:jc w:val="center"/>
            </w:pPr>
            <w:r>
              <w:rPr>
                <w:sz w:val="16"/>
              </w:rPr>
              <w:t>0.0379 ± 0.0007</w:t>
            </w:r>
          </w:p>
        </w:tc>
        <w:tc>
          <w:tcPr>
            <w:tcW w:type="dxa" w:w="1080"/>
            <w:shd w:fill="F8FAFC"/>
            <w:tcMar>
              <w:top w:w="60" w:type="dxa"/>
              <w:bottom w:w="60" w:type="dxa"/>
              <w:left w:w="80" w:type="dxa"/>
              <w:right w:w="80" w:type="dxa"/>
            </w:tcMar>
          </w:tcPr>
          <w:p>
            <w:pPr>
              <w:jc w:val="center"/>
            </w:pPr>
            <w:r>
              <w:rPr>
                <w:sz w:val="16"/>
              </w:rPr>
              <w:t>99.8 ± 1.2</w:t>
            </w:r>
          </w:p>
        </w:tc>
      </w:tr>
      <w:tr>
        <w:tc>
          <w:tcPr>
            <w:tcW w:type="dxa" w:w="1656"/>
            <w:shd w:fill="F1F5F9"/>
            <w:tcMar>
              <w:top w:w="60" w:type="dxa"/>
              <w:bottom w:w="60" w:type="dxa"/>
              <w:left w:w="80" w:type="dxa"/>
              <w:right w:w="80" w:type="dxa"/>
            </w:tcMar>
          </w:tcPr>
          <w:p>
            <w:pPr>
              <w:jc w:val="left"/>
            </w:pPr>
            <w:r>
              <w:rPr>
                <w:b/>
                <w:sz w:val="16"/>
              </w:rPr>
              <w:t>Communication-Constrained (R=8, E=2, ~7,888 steps)</w:t>
            </w:r>
          </w:p>
        </w:tc>
        <w:tc>
          <w:tcPr>
            <w:tcW w:type="dxa" w:w="2232"/>
            <w:shd w:fill="F1F5F9"/>
            <w:tcMar>
              <w:top w:w="60" w:type="dxa"/>
              <w:bottom w:w="60" w:type="dxa"/>
              <w:left w:w="80" w:type="dxa"/>
              <w:right w:w="80" w:type="dxa"/>
            </w:tcMar>
          </w:tcPr>
          <w:p>
            <w:pPr>
              <w:jc w:val="left"/>
            </w:pPr>
            <w:r>
              <w:rPr>
                <w:b/>
                <w:sz w:val="16"/>
              </w:rPr>
              <w:t>Personalized FedAvg (Local Adaptation)</w:t>
            </w:r>
          </w:p>
        </w:tc>
        <w:tc>
          <w:tcPr>
            <w:tcW w:type="dxa" w:w="1152"/>
            <w:shd w:fill="F1F5F9"/>
            <w:tcMar>
              <w:top w:w="60" w:type="dxa"/>
              <w:bottom w:w="60" w:type="dxa"/>
              <w:left w:w="80" w:type="dxa"/>
              <w:right w:w="80" w:type="dxa"/>
            </w:tcMar>
          </w:tcPr>
          <w:p>
            <w:pPr>
              <w:jc w:val="center"/>
            </w:pPr>
            <w:r>
              <w:rPr>
                <w:b/>
                <w:sz w:val="16"/>
              </w:rPr>
              <w:t>0.0592 ± 0.0004</w:t>
            </w:r>
          </w:p>
        </w:tc>
        <w:tc>
          <w:tcPr>
            <w:tcW w:type="dxa" w:w="1080"/>
            <w:shd w:fill="F1F5F9"/>
            <w:tcMar>
              <w:top w:w="60" w:type="dxa"/>
              <w:bottom w:w="60" w:type="dxa"/>
              <w:left w:w="80" w:type="dxa"/>
              <w:right w:w="80" w:type="dxa"/>
            </w:tcMar>
          </w:tcPr>
          <w:p>
            <w:pPr>
              <w:jc w:val="center"/>
            </w:pPr>
            <w:r>
              <w:rPr>
                <w:b/>
                <w:sz w:val="16"/>
              </w:rPr>
              <w:t>0.0786 ± 0.0001</w:t>
            </w:r>
          </w:p>
        </w:tc>
        <w:tc>
          <w:tcPr>
            <w:tcW w:type="dxa" w:w="1080"/>
            <w:shd w:fill="F1F5F9"/>
            <w:tcMar>
              <w:top w:w="60" w:type="dxa"/>
              <w:bottom w:w="60" w:type="dxa"/>
              <w:left w:w="80" w:type="dxa"/>
              <w:right w:w="80" w:type="dxa"/>
            </w:tcMar>
          </w:tcPr>
          <w:p>
            <w:pPr>
              <w:jc w:val="center"/>
            </w:pPr>
            <w:r>
              <w:rPr>
                <w:b/>
                <w:sz w:val="16"/>
              </w:rPr>
              <w:t>0.0612 ± 0.0001</w:t>
            </w:r>
          </w:p>
        </w:tc>
        <w:tc>
          <w:tcPr>
            <w:tcW w:type="dxa" w:w="1080"/>
            <w:shd w:fill="F1F5F9"/>
            <w:tcMar>
              <w:top w:w="60" w:type="dxa"/>
              <w:bottom w:w="60" w:type="dxa"/>
              <w:left w:w="80" w:type="dxa"/>
              <w:right w:w="80" w:type="dxa"/>
            </w:tcMar>
          </w:tcPr>
          <w:p>
            <w:pPr>
              <w:jc w:val="center"/>
            </w:pPr>
            <w:r>
              <w:rPr>
                <w:b/>
                <w:sz w:val="16"/>
              </w:rPr>
              <w:t>0.0243 ± 0.0014</w:t>
            </w:r>
          </w:p>
        </w:tc>
        <w:tc>
          <w:tcPr>
            <w:tcW w:type="dxa" w:w="1080"/>
            <w:shd w:fill="F1F5F9"/>
            <w:tcMar>
              <w:top w:w="60" w:type="dxa"/>
              <w:bottom w:w="60" w:type="dxa"/>
              <w:left w:w="80" w:type="dxa"/>
              <w:right w:w="80" w:type="dxa"/>
            </w:tcMar>
          </w:tcPr>
          <w:p>
            <w:pPr>
              <w:jc w:val="center"/>
            </w:pPr>
            <w:r>
              <w:rPr>
                <w:b/>
                <w:sz w:val="16"/>
              </w:rPr>
              <w:t>82.4 ± 0.4</w:t>
            </w:r>
          </w:p>
        </w:tc>
      </w:tr>
      <w:tr>
        <w:tc>
          <w:tcPr>
            <w:tcW w:type="dxa" w:w="1656"/>
            <w:shd w:fill="EFF6FF"/>
            <w:tcMar>
              <w:top w:w="60" w:type="dxa"/>
              <w:bottom w:w="60" w:type="dxa"/>
              <w:left w:w="80" w:type="dxa"/>
              <w:right w:w="80" w:type="dxa"/>
            </w:tcMar>
          </w:tcPr>
          <w:p>
            <w:pPr>
              <w:jc w:val="left"/>
            </w:pPr>
            <w:r>
              <w:rPr>
                <w:b/>
                <w:color w:val="1E3A8A"/>
                <w:sz w:val="16"/>
              </w:rPr>
              <w:t>Decomposition (R=8 Budget)</w:t>
            </w:r>
          </w:p>
        </w:tc>
        <w:tc>
          <w:tcPr>
            <w:tcW w:type="dxa" w:w="7740"/>
            <w:gridSpan w:val="6"/>
            <w:shd w:fill="EFF6FF"/>
            <w:tcMar>
              <w:top w:w="60" w:type="dxa"/>
              <w:bottom w:w="60" w:type="dxa"/>
              <w:left w:w="80" w:type="dxa"/>
              <w:right w:w="80" w:type="dxa"/>
            </w:tcMar>
          </w:tcPr>
          <w:p>
            <w:pPr>
              <w:jc w:val="left"/>
            </w:pPr>
            <w:r>
              <w:rPr>
                <w:b/>
                <w:color w:val="1E3A8A"/>
                <w:sz w:val="16"/>
              </w:rPr>
              <w:t>Heterogeneity Gap: 0.0257 (35.8%) | IID-to-Centralized Residual: 0.0461 (64.2%) | Total Gap: 0.0718</w:t>
            </w:r>
          </w:p>
        </w:tc>
      </w:tr>
      <w:tr>
        <w:tc>
          <w:tcPr>
            <w:tcW w:type="dxa" w:w="1656"/>
            <w:shd w:fill="F1F5F9"/>
            <w:tcMar>
              <w:top w:w="60" w:type="dxa"/>
              <w:bottom w:w="60" w:type="dxa"/>
              <w:left w:w="80" w:type="dxa"/>
              <w:right w:w="80" w:type="dxa"/>
            </w:tcMar>
          </w:tcPr>
          <w:p>
            <w:pPr>
              <w:jc w:val="left"/>
            </w:pPr>
            <w:r>
              <w:rPr>
                <w:sz w:val="16"/>
              </w:rPr>
              <w:t>Matched Compute Budget (R=15, ~14,790 steps)</w:t>
            </w:r>
          </w:p>
        </w:tc>
        <w:tc>
          <w:tcPr>
            <w:tcW w:type="dxa" w:w="2232"/>
            <w:shd w:fill="F1F5F9"/>
            <w:tcMar>
              <w:top w:w="60" w:type="dxa"/>
              <w:bottom w:w="60" w:type="dxa"/>
              <w:left w:w="80" w:type="dxa"/>
              <w:right w:w="80" w:type="dxa"/>
            </w:tcMar>
          </w:tcPr>
          <w:p>
            <w:pPr>
              <w:jc w:val="left"/>
            </w:pPr>
            <w:r>
              <w:rPr>
                <w:sz w:val="16"/>
              </w:rPr>
              <w:t>Compute-Matched Global FedAvg (R=15, Non-IID)</w:t>
            </w:r>
          </w:p>
        </w:tc>
        <w:tc>
          <w:tcPr>
            <w:tcW w:type="dxa" w:w="1152"/>
            <w:shd w:fill="F1F5F9"/>
            <w:tcMar>
              <w:top w:w="60" w:type="dxa"/>
              <w:bottom w:w="60" w:type="dxa"/>
              <w:left w:w="80" w:type="dxa"/>
              <w:right w:w="80" w:type="dxa"/>
            </w:tcMar>
          </w:tcPr>
          <w:p>
            <w:pPr>
              <w:jc w:val="center"/>
            </w:pPr>
            <w:r>
              <w:rPr>
                <w:sz w:val="16"/>
              </w:rPr>
              <w:t>0.0858 ± 0.0015</w:t>
            </w:r>
          </w:p>
        </w:tc>
        <w:tc>
          <w:tcPr>
            <w:tcW w:type="dxa" w:w="1080"/>
            <w:shd w:fill="F1F5F9"/>
            <w:tcMar>
              <w:top w:w="60" w:type="dxa"/>
              <w:bottom w:w="60" w:type="dxa"/>
              <w:left w:w="80" w:type="dxa"/>
              <w:right w:w="80" w:type="dxa"/>
            </w:tcMar>
          </w:tcPr>
          <w:p>
            <w:pPr>
              <w:jc w:val="center"/>
            </w:pPr>
            <w:r>
              <w:rPr>
                <w:sz w:val="16"/>
              </w:rPr>
              <w:t>0.1139 ± 0.0011</w:t>
            </w:r>
          </w:p>
        </w:tc>
        <w:tc>
          <w:tcPr>
            <w:tcW w:type="dxa" w:w="1080"/>
            <w:shd w:fill="F1F5F9"/>
            <w:tcMar>
              <w:top w:w="60" w:type="dxa"/>
              <w:bottom w:w="60" w:type="dxa"/>
              <w:left w:w="80" w:type="dxa"/>
              <w:right w:w="80" w:type="dxa"/>
            </w:tcMar>
          </w:tcPr>
          <w:p>
            <w:pPr>
              <w:jc w:val="center"/>
            </w:pPr>
            <w:r>
              <w:rPr>
                <w:sz w:val="16"/>
              </w:rPr>
              <w:t>0.0889 ± 0.0016</w:t>
            </w:r>
          </w:p>
        </w:tc>
        <w:tc>
          <w:tcPr>
            <w:tcW w:type="dxa" w:w="1080"/>
            <w:shd w:fill="F1F5F9"/>
            <w:tcMar>
              <w:top w:w="60" w:type="dxa"/>
              <w:bottom w:w="60" w:type="dxa"/>
              <w:left w:w="80" w:type="dxa"/>
              <w:right w:w="80" w:type="dxa"/>
            </w:tcMar>
          </w:tcPr>
          <w:p>
            <w:pPr>
              <w:jc w:val="center"/>
            </w:pPr>
            <w:r>
              <w:rPr>
                <w:sz w:val="16"/>
              </w:rPr>
              <w:t>0.0465 ± 0.0007</w:t>
            </w:r>
          </w:p>
        </w:tc>
        <w:tc>
          <w:tcPr>
            <w:tcW w:type="dxa" w:w="1080"/>
            <w:shd w:fill="F1F5F9"/>
            <w:tcMar>
              <w:top w:w="60" w:type="dxa"/>
              <w:bottom w:w="60" w:type="dxa"/>
              <w:left w:w="80" w:type="dxa"/>
              <w:right w:w="80" w:type="dxa"/>
            </w:tcMar>
          </w:tcPr>
          <w:p>
            <w:pPr>
              <w:jc w:val="center"/>
            </w:pPr>
            <w:r>
              <w:rPr>
                <w:sz w:val="16"/>
              </w:rPr>
              <w:t>109.5 ± 1.8</w:t>
            </w:r>
          </w:p>
        </w:tc>
      </w:tr>
      <w:tr>
        <w:tc>
          <w:tcPr>
            <w:tcW w:type="dxa" w:w="1656"/>
            <w:shd w:fill="F1F5F9"/>
            <w:tcMar>
              <w:top w:w="60" w:type="dxa"/>
              <w:bottom w:w="60" w:type="dxa"/>
              <w:left w:w="80" w:type="dxa"/>
              <w:right w:w="80" w:type="dxa"/>
            </w:tcMar>
          </w:tcPr>
          <w:p>
            <w:pPr>
              <w:jc w:val="left"/>
            </w:pPr>
            <w:r>
              <w:rPr>
                <w:sz w:val="16"/>
              </w:rPr>
              <w:t>Matched Compute Budget (R=15, ~14,790 steps)</w:t>
            </w:r>
          </w:p>
        </w:tc>
        <w:tc>
          <w:tcPr>
            <w:tcW w:type="dxa" w:w="2232"/>
            <w:shd w:fill="F1F5F9"/>
            <w:tcMar>
              <w:top w:w="60" w:type="dxa"/>
              <w:bottom w:w="60" w:type="dxa"/>
              <w:left w:w="80" w:type="dxa"/>
              <w:right w:w="80" w:type="dxa"/>
            </w:tcMar>
          </w:tcPr>
          <w:p>
            <w:pPr>
              <w:jc w:val="left"/>
            </w:pPr>
            <w:r>
              <w:rPr>
                <w:sz w:val="16"/>
              </w:rPr>
              <w:t>Compute-Matched IID-Shuffled FedAvg (R=15)</w:t>
            </w:r>
          </w:p>
        </w:tc>
        <w:tc>
          <w:tcPr>
            <w:tcW w:type="dxa" w:w="1152"/>
            <w:shd w:fill="F1F5F9"/>
            <w:tcMar>
              <w:top w:w="60" w:type="dxa"/>
              <w:bottom w:w="60" w:type="dxa"/>
              <w:left w:w="80" w:type="dxa"/>
              <w:right w:w="80" w:type="dxa"/>
            </w:tcMar>
          </w:tcPr>
          <w:p>
            <w:pPr>
              <w:jc w:val="center"/>
            </w:pPr>
            <w:r>
              <w:rPr>
                <w:sz w:val="16"/>
              </w:rPr>
              <w:t>0.0384 ± 0.0010</w:t>
            </w:r>
          </w:p>
        </w:tc>
        <w:tc>
          <w:tcPr>
            <w:tcW w:type="dxa" w:w="1080"/>
            <w:shd w:fill="F1F5F9"/>
            <w:tcMar>
              <w:top w:w="60" w:type="dxa"/>
              <w:bottom w:w="60" w:type="dxa"/>
              <w:left w:w="80" w:type="dxa"/>
              <w:right w:w="80" w:type="dxa"/>
            </w:tcMar>
          </w:tcPr>
          <w:p>
            <w:pPr>
              <w:jc w:val="center"/>
            </w:pPr>
            <w:r>
              <w:rPr>
                <w:sz w:val="16"/>
              </w:rPr>
              <w:t>0.0541 ± 0.0018</w:t>
            </w:r>
          </w:p>
        </w:tc>
        <w:tc>
          <w:tcPr>
            <w:tcW w:type="dxa" w:w="1080"/>
            <w:shd w:fill="F1F5F9"/>
            <w:tcMar>
              <w:top w:w="60" w:type="dxa"/>
              <w:bottom w:w="60" w:type="dxa"/>
              <w:left w:w="80" w:type="dxa"/>
              <w:right w:w="80" w:type="dxa"/>
            </w:tcMar>
          </w:tcPr>
          <w:p>
            <w:pPr>
              <w:jc w:val="center"/>
            </w:pPr>
            <w:r>
              <w:rPr>
                <w:sz w:val="16"/>
              </w:rPr>
              <w:t>0.0405 ± 0.0010</w:t>
            </w:r>
          </w:p>
        </w:tc>
        <w:tc>
          <w:tcPr>
            <w:tcW w:type="dxa" w:w="1080"/>
            <w:shd w:fill="F1F5F9"/>
            <w:tcMar>
              <w:top w:w="60" w:type="dxa"/>
              <w:bottom w:w="60" w:type="dxa"/>
              <w:left w:w="80" w:type="dxa"/>
              <w:right w:w="80" w:type="dxa"/>
            </w:tcMar>
          </w:tcPr>
          <w:p>
            <w:pPr>
              <w:jc w:val="center"/>
            </w:pPr>
            <w:r>
              <w:rPr>
                <w:sz w:val="16"/>
              </w:rPr>
              <w:t>0.0198 ± 0.0008</w:t>
            </w:r>
          </w:p>
        </w:tc>
        <w:tc>
          <w:tcPr>
            <w:tcW w:type="dxa" w:w="1080"/>
            <w:shd w:fill="F1F5F9"/>
            <w:tcMar>
              <w:top w:w="60" w:type="dxa"/>
              <w:bottom w:w="60" w:type="dxa"/>
              <w:left w:w="80" w:type="dxa"/>
              <w:right w:w="80" w:type="dxa"/>
            </w:tcMar>
          </w:tcPr>
          <w:p>
            <w:pPr>
              <w:jc w:val="center"/>
            </w:pPr>
            <w:r>
              <w:rPr>
                <w:sz w:val="16"/>
              </w:rPr>
              <w:t>47.5 ± 1.0</w:t>
            </w:r>
          </w:p>
        </w:tc>
      </w:tr>
      <w:tr>
        <w:tc>
          <w:tcPr>
            <w:tcW w:type="dxa" w:w="1656"/>
            <w:shd w:fill="F1F5F9"/>
            <w:tcMar>
              <w:top w:w="60" w:type="dxa"/>
              <w:bottom w:w="60" w:type="dxa"/>
              <w:left w:w="80" w:type="dxa"/>
              <w:right w:w="80" w:type="dxa"/>
            </w:tcMar>
          </w:tcPr>
          <w:p>
            <w:pPr>
              <w:jc w:val="left"/>
            </w:pPr>
            <w:r>
              <w:rPr>
                <w:b/>
                <w:sz w:val="16"/>
              </w:rPr>
              <w:t>Matched Compute Budget (R=15, ~14,790 steps)</w:t>
            </w:r>
          </w:p>
        </w:tc>
        <w:tc>
          <w:tcPr>
            <w:tcW w:type="dxa" w:w="2232"/>
            <w:shd w:fill="F1F5F9"/>
            <w:tcMar>
              <w:top w:w="60" w:type="dxa"/>
              <w:bottom w:w="60" w:type="dxa"/>
              <w:left w:w="80" w:type="dxa"/>
              <w:right w:w="80" w:type="dxa"/>
            </w:tcMar>
          </w:tcPr>
          <w:p>
            <w:pPr>
              <w:jc w:val="left"/>
            </w:pPr>
            <w:r>
              <w:rPr>
                <w:b/>
                <w:sz w:val="16"/>
              </w:rPr>
              <w:t>Compute-Matched Personalized FedAvg (R=15)</w:t>
            </w:r>
          </w:p>
        </w:tc>
        <w:tc>
          <w:tcPr>
            <w:tcW w:type="dxa" w:w="1152"/>
            <w:shd w:fill="F1F5F9"/>
            <w:tcMar>
              <w:top w:w="60" w:type="dxa"/>
              <w:bottom w:w="60" w:type="dxa"/>
              <w:left w:w="80" w:type="dxa"/>
              <w:right w:w="80" w:type="dxa"/>
            </w:tcMar>
          </w:tcPr>
          <w:p>
            <w:pPr>
              <w:jc w:val="center"/>
            </w:pPr>
            <w:r>
              <w:rPr>
                <w:b/>
                <w:sz w:val="16"/>
              </w:rPr>
              <w:t>0.0548 ± 0.0012</w:t>
            </w:r>
          </w:p>
        </w:tc>
        <w:tc>
          <w:tcPr>
            <w:tcW w:type="dxa" w:w="1080"/>
            <w:shd w:fill="F1F5F9"/>
            <w:tcMar>
              <w:top w:w="60" w:type="dxa"/>
              <w:bottom w:w="60" w:type="dxa"/>
              <w:left w:w="80" w:type="dxa"/>
              <w:right w:w="80" w:type="dxa"/>
            </w:tcMar>
          </w:tcPr>
          <w:p>
            <w:pPr>
              <w:jc w:val="center"/>
            </w:pPr>
            <w:r>
              <w:rPr>
                <w:b/>
                <w:sz w:val="16"/>
              </w:rPr>
              <w:t>0.0741 ± 0.0022</w:t>
            </w:r>
          </w:p>
        </w:tc>
        <w:tc>
          <w:tcPr>
            <w:tcW w:type="dxa" w:w="1080"/>
            <w:shd w:fill="F1F5F9"/>
            <w:tcMar>
              <w:top w:w="60" w:type="dxa"/>
              <w:bottom w:w="60" w:type="dxa"/>
              <w:left w:w="80" w:type="dxa"/>
              <w:right w:w="80" w:type="dxa"/>
            </w:tcMar>
          </w:tcPr>
          <w:p>
            <w:pPr>
              <w:jc w:val="center"/>
            </w:pPr>
            <w:r>
              <w:rPr>
                <w:b/>
                <w:sz w:val="16"/>
              </w:rPr>
              <w:t>0.0565 ± 0.0015</w:t>
            </w:r>
          </w:p>
        </w:tc>
        <w:tc>
          <w:tcPr>
            <w:tcW w:type="dxa" w:w="1080"/>
            <w:shd w:fill="F1F5F9"/>
            <w:tcMar>
              <w:top w:w="60" w:type="dxa"/>
              <w:bottom w:w="60" w:type="dxa"/>
              <w:left w:w="80" w:type="dxa"/>
              <w:right w:w="80" w:type="dxa"/>
            </w:tcMar>
          </w:tcPr>
          <w:p>
            <w:pPr>
              <w:jc w:val="center"/>
            </w:pPr>
            <w:r>
              <w:rPr>
                <w:b/>
                <w:sz w:val="16"/>
              </w:rPr>
              <w:t>0.0222 ± 0.0022</w:t>
            </w:r>
          </w:p>
        </w:tc>
        <w:tc>
          <w:tcPr>
            <w:tcW w:type="dxa" w:w="1080"/>
            <w:shd w:fill="F1F5F9"/>
            <w:tcMar>
              <w:top w:w="60" w:type="dxa"/>
              <w:bottom w:w="60" w:type="dxa"/>
              <w:left w:w="80" w:type="dxa"/>
              <w:right w:w="80" w:type="dxa"/>
            </w:tcMar>
          </w:tcPr>
          <w:p>
            <w:pPr>
              <w:jc w:val="center"/>
            </w:pPr>
            <w:r>
              <w:rPr>
                <w:b/>
                <w:sz w:val="16"/>
              </w:rPr>
              <w:t>67.5 ± 1.6</w:t>
            </w:r>
          </w:p>
        </w:tc>
      </w:tr>
      <w:tr>
        <w:tc>
          <w:tcPr>
            <w:tcW w:type="dxa" w:w="1656"/>
            <w:shd w:fill="EFF6FF"/>
            <w:tcMar>
              <w:top w:w="60" w:type="dxa"/>
              <w:bottom w:w="60" w:type="dxa"/>
              <w:left w:w="80" w:type="dxa"/>
              <w:right w:w="80" w:type="dxa"/>
            </w:tcMar>
          </w:tcPr>
          <w:p>
            <w:pPr>
              <w:jc w:val="left"/>
            </w:pPr>
            <w:r>
              <w:rPr>
                <w:b/>
                <w:color w:val="1E3A8A"/>
                <w:sz w:val="16"/>
              </w:rPr>
              <w:t>Decomposition (R=15 Budget)</w:t>
            </w:r>
          </w:p>
        </w:tc>
        <w:tc>
          <w:tcPr>
            <w:tcW w:type="dxa" w:w="7740"/>
            <w:gridSpan w:val="6"/>
            <w:shd w:fill="EFF6FF"/>
            <w:tcMar>
              <w:top w:w="60" w:type="dxa"/>
              <w:bottom w:w="60" w:type="dxa"/>
              <w:left w:w="80" w:type="dxa"/>
              <w:right w:w="80" w:type="dxa"/>
            </w:tcMar>
          </w:tcPr>
          <w:p>
            <w:pPr>
              <w:jc w:val="left"/>
            </w:pPr>
            <w:r>
              <w:rPr>
                <w:b/>
                <w:color w:val="1E3A8A"/>
                <w:sz w:val="16"/>
              </w:rPr>
              <w:t>Heterogeneity Gap: 0.0474 (73.9%) | Residual Optimization Gap: 0.0167 (26.1%) | Total Gap: 0.0641</w:t>
            </w:r>
          </w:p>
        </w:tc>
      </w:tr>
    </w:tbl>
    <w:p>
      <w:pPr>
        <w:spacing w:before="0" w:after="80" w:line="276" w:lineRule="auto"/>
        <w:jc w:val="both"/>
      </w:pPr>
      <w:r>
        <w:rPr>
          <w:i/>
          <w:color w:val="64748B"/>
          <w:sz w:val="16"/>
        </w:rPr>
        <w:t>Note: All metrics report multi-seed mean ± std across seeds {42, 101, 2024}. Cumulative optimizer updates across the 30 clients: Centralized model = 14,370 updates (30 epochs × 479 batches); Panel 1 (R=8): Global FedAvg, FedProx, and FedPer execute 7,888 client updates across the 30 facilities (493 batches/epoch × 16 epochs, averaging 262.9 updates/client, 54.9% of centralized compute); IID-Shuffled FedAvg executes 7,696 client updates (481 batches/epoch × 16 epochs across 29 clients of 509 samples and 1 of 538, averaging 256.5 updates/client, 53.6% of centralized compute); Personalized FedAvg includes 3 post-aggregation local fine-tuning epochs adding 1,479 updates (493 × 3), totaling 9,367 client updates across the federation (averaging 312.2 updates/client, 65.2% of centralized compute). Panel 2 (R=15 Matched Budget): Non-IID FedAvg executes 14,790 updates (493 × 30 epochs, averaging 493.0 updates/client, 102.9% of centralized compute); IID-Shuffled FedAvg executes 14,430 updates (481 × 30 epochs, averaging 481.0 updates/client, 100.4% of centralized compute); Personalized FedAvg executes 14,790 base + 1,479 fine-tuning = 16,269 updates (averaging 542.3 updates/client, 113.2% of centralized compute). Decomposition formula: Δ_total = MAE_Non-IID - MAE_Centralized (Centralized Attention-LSTM = 0.0217 ± 0.0004); Δ_heterogeneity = MAE_Non-IID - MAE_IID-Shuffled; Δ_optimization = MAE_IID-Shuffled - MAE_Centralized. Seed-level results: Panel 1 (R=8): Non-IID = [0.0970, 0.0925, 0.0908]; IID-Shuffled = [0.0659, 0.0677, 0.0698]; Personalized = [0.0596, 0.0593, 0.0587]. Panel 2 (R=15): Non-IID = [0.0857, 0.0874, 0.0844]; IID-Shuffled = [0.0372, 0.0389, 0.0390]; Personalized = [0.0535, 0.0558, 0.0551]. Under the 8-round protocol, the difference between non-IID FedAvg and the IID control corresponds to 35.8% of the gap to centralized accuracy, while the remaining 64.2% is the IID-to-centralized residual (consistent with under-training, but not uniquely attributable to under-training alone). Under the approximately matched 15-round budget, mitigating compute starvation allows IID FedAvg to converge to 0.0384 ± 0.0010, with the observed difference associated with non-IID versus IID-shuffled configurations accounting for 73.9% of the remaining deficit under this matched-budget protocol.</w:t>
      </w:r>
    </w:p>
    <w:p>
      <w:pPr>
        <w:spacing w:before="0" w:after="120" w:line="276" w:lineRule="auto"/>
        <w:jc w:val="both"/>
      </w:pPr>
    </w:p>
    <w:p>
      <w:pPr>
        <w:spacing w:before="0" w:after="100" w:line="276" w:lineRule="auto"/>
        <w:jc w:val="both"/>
      </w:pPr>
      <w:r>
        <w:rPr>
          <w:rFonts w:ascii="Times New Roman" w:hAnsi="Times New Roman"/>
          <w:sz w:val="22"/>
        </w:rPr>
        <w:t>Table 3 presents comparative empirical insights into the nature of federated learning on IoT streams across two distinct optimization regimes:</w:t>
      </w:r>
    </w:p>
    <w:p>
      <w:pPr>
        <w:pStyle w:val="ListParagraph"/>
        <w:spacing w:before="40" w:after="40"/>
      </w:pPr>
      <w:r>
        <w:rPr>
          <w:b/>
        </w:rPr>
        <w:t xml:space="preserve">1. Empirical Decomposition across Communication-Constrained and Approximately Matched Compute Regimes: </w:t>
      </w:r>
      <w:r>
        <w:t>Under communication constraints (R = 8 rounds, ~256 local steps/client), Global FedAvg achieves an MAE of 0.0935 ± 0.0032. Eliminating statistical heterogeneity via IID shuffling reduces error to 0.0678 ± 0.0019. Relative to the centralized Attention-LSTM benchmark (0.0217), the difference between non-IID FedAvg and the IID control accounts for 35.8% (0.0257) of the overall gap, while the remaining 64.2% (0.0461) represents the IID-to-centralized residual, which is consistent with optimization under-training but cannot be attributed to under-training alone. Crucially, when scaled to an approximately matched compute budget (R = 15 rounds, E = 2, totaling 14,790 cumulative client updates vs 14,370 centralized steps, 102.9%), IID-Shuffled FedAvg converges to 0.0384 ± 0.0010 (47.5 bays), cutting the optimization gap by 63.8% (from 0.0461 to 0.0167). In contrast, Non-IID FedAvg at R = 15 reaches 0.0858 ± 0.0015 (109.5 bays). Under this matched budget, the observed difference associated with non-IID versus IID-shuffled configurations accounts for 73.9% (0.0474) of the remaining deficit once compute starvation is mitigated, while the residual optimization gap shrinks to 26.1% (0.0167).</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isolated local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0.1006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5-parameter local linear autoregressive model (4 autoregressive lag weights plus intercept)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only 5 fitted parameters per facility (4 lag weights plus intercept),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empirical investigation demonstrates that optimization under-training under communication round constraints interacts directly with non-IID statistical heterogeneity. In an 8-round protocol, federated clients execute a system-wide total of 7,888 local Adam updates (~256 per client), representing 54.9% of the 14,370 optimization steps executed by the centralized model over 30 epochs. At this communication-constrained budget, the difference between non-IID FedAvg and the IID-shuffled control (Table 3) corresponds to 35.8% of the overall gap to the centralized benchmark, while the remaining 64.2% represents the IID-to-centralized residual—consistent with optimization under-training but not uniquely attributable to under-training alone.</w:t>
      </w:r>
    </w:p>
    <w:p>
      <w:pPr>
        <w:spacing w:before="0" w:after="100" w:line="276" w:lineRule="auto"/>
        <w:jc w:val="both"/>
      </w:pPr>
      <w:r>
        <w:rPr>
          <w:rFonts w:ascii="Times New Roman" w:hAnsi="Times New Roman"/>
          <w:sz w:val="22"/>
        </w:rPr>
        <w:t>To investigate these distinct mechanisms under matched optimization volume, we conducted compute-matched experiments (Table 3, Panel 2) scaling federated training to R = 15 rounds (E = 2, B = 32), totaling 14,790 client-side gradient updates across the federation (30 local epochs per client)—establishing an approximately matched optimizer-update budget (102.9% of centralized compute, a +2.9% difference) relative to the 14,370 centralized updates over 30 epochs. At this approximately matched budget, the IID-shuffled control converges rapidly from 0.0678 ± 0.0019 down to 0.0384 ± 0.0010 (Mean Space Error falls from 90.4 to 47.5 bays), reducing the optimization gap to centralized Attention-LSTM by 63.8% (from 0.0461 to 0.0167). In contrast, Non-IID FedAvg only improves to 0.0858 ± 0.0015 (109.5 bays). Consequently, once compute starvation is mitigated through this matched-update budget, the observed difference associated with non-IID versus IID-shuffled configurations accounts for 73.9% of the remaining performance deficit (0.0474 out of 0.0641). These empirical findings indicate that under communication-constrained budgets (R = 8), the IID-to-centralized residual accounts for 64.2% of the deficit, whereas non-IID client heterogeneity accounts for 73.9% of the remaining deficit when an approximately matched optimizer-update budget is provided. However, matched optimizer-update counts do not render centralized and federated optimization trajectories identical, as decentralized client drift persists across local epochs. Local personalization acts as a high-leverage algorithmic compensation mechanism: by fine-tuning the global recurrent features on lot-specific data, personalized FedAvg achieves an MAE of 0.0592 ± 0.0004 at R = 8 and 0.0548 ± 0.0012 at R = 15, recovering 47.8% to 51.7% of the centralized performance gap and compressing cross-facility variance (sigma) by over 51%.</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federated learning may be justified by institutional data-governance requirements and multi-stakeholder commercial confidentiality, even when it increases communication volume. However, regulatory compliance and formal privacy guarantees depend on the deployment context and may require additional safeguards, such as secure aggregation and differential privacy. Competing private parking operators (e.g., NCP vs. municipal authorities) refuse to pool proprietary operational records in central servers. Federated learning establishes a collaborative organizational framework enabling cross-operator predictive coordination without requiring the centralized pooling of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 scalar parameters (20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 30 epochs)</w:t>
            </w:r>
          </w:p>
        </w:tc>
        <w:tc>
          <w:tcPr>
            <w:tcW w:type="dxa" w:w="2257"/>
            <w:shd w:fill="FFFFFF"/>
            <w:tcMar>
              <w:top w:w="60" w:type="dxa"/>
              <w:bottom w:w="60" w:type="dxa"/>
              <w:left w:w="80" w:type="dxa"/>
              <w:right w:w="80" w:type="dxa"/>
            </w:tcMar>
          </w:tcPr>
          <w:p>
            <w:pPr>
              <w:jc w:val="center"/>
            </w:pPr>
            <w:r>
              <w:rPr>
                <w:sz w:val="17"/>
              </w:rPr>
              <w:t>7,888 updates across federation (avg 262.9 steps/client)</w:t>
            </w:r>
          </w:p>
        </w:tc>
        <w:tc>
          <w:tcPr>
            <w:tcW w:type="dxa" w:w="2257"/>
            <w:shd w:fill="FFFFFF"/>
            <w:tcMar>
              <w:top w:w="60" w:type="dxa"/>
              <w:bottom w:w="60" w:type="dxa"/>
              <w:left w:w="80" w:type="dxa"/>
              <w:right w:w="80" w:type="dxa"/>
            </w:tcMar>
          </w:tcPr>
          <w:p>
            <w:pPr>
              <w:jc w:val="center"/>
            </w:pPr>
            <w:r>
              <w:rPr>
                <w:sz w:val="17"/>
              </w:rPr>
              <w:t>1 closed-form Ridge solve per lot (0 gradient steps)</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5-parameter local-only linear autoregressive model per facility (4 lag weights plus intercept)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under the 8-round communication-constrained protocol, the difference between non-IID FedAvg and the IID control corresponds to 35.8% of the gap to the centralized benchmark, while the remaining 64.2% is the IID-to-centralized residual (consistent with under-training, but not uniquely attributable to under-training alone); approximately matched compute-budget experiments (15 rounds, 14,790 cumulative client updates, 102.9% of centralized steps) further indicate that when compute starvation is mitigated, the observed difference associated with non-IID versus IID-shuffled configurations accounts for 73.9% of the remaining deficit under this matched-budget protocol.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