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line="276" w:lineRule="auto"/>
        <w:jc w:val="center"/>
      </w:pPr>
      <w:r>
        <w:rPr>
          <w:rFonts w:ascii="Times New Roman" w:hAnsi="Times New Roman"/>
          <w:b/>
          <w:color w:val="0F172A"/>
          <w:sz w:val="30"/>
        </w:rPr>
        <w:t>When Does Federation Help Multi-Lot Smart Parking Forecasting? An Empirical Benchmark on the Birmingham IoT Stream</w:t>
      </w:r>
    </w:p>
    <w:p>
      <w:pPr>
        <w:spacing w:before="0" w:after="60" w:line="276" w:lineRule="auto"/>
        <w:jc w:val="center"/>
      </w:pPr>
      <w:r>
        <w:rPr>
          <w:b/>
        </w:rPr>
        <w:t>Devesh Munagala</w:t>
      </w:r>
      <w:r>
        <w:rPr>
          <w:vertAlign w:val="superscript"/>
        </w:rPr>
        <w:t>1,*</w:t>
      </w:r>
      <w:r>
        <w:t xml:space="preserve"> and </w:t>
      </w:r>
      <w:r>
        <w:rPr>
          <w:b/>
        </w:rPr>
        <w:t>Abhinav</w:t>
      </w:r>
      <w:r>
        <w:rPr>
          <w:vertAlign w:val="superscript"/>
        </w:rPr>
        <w:t>1</w:t>
      </w:r>
    </w:p>
    <w:p>
      <w:pPr>
        <w:spacing w:before="0" w:after="40" w:line="252" w:lineRule="auto"/>
        <w:jc w:val="center"/>
      </w:pPr>
      <w:r>
        <w:rPr>
          <w:color w:val="475569"/>
          <w:sz w:val="19"/>
        </w:rPr>
        <w:t>1 Department of Computer Science and Engineering, School of Computer Science and Engineering,</w:t>
        <w:br/>
        <w:t>Vellore Institute of Technology, Vellore, Tamil Nadu, 632014, India</w:t>
      </w:r>
    </w:p>
    <w:p>
      <w:pPr>
        <w:spacing w:before="0" w:after="240" w:line="276" w:lineRule="auto"/>
        <w:jc w:val="center"/>
      </w:pPr>
      <w:r>
        <w:rPr>
          <w:color w:val="475569"/>
          <w:sz w:val="19"/>
        </w:rPr>
        <w:t>* Corresponding Author: devesh.munagala2023@vitstudent.ac.in | ORCID: 0009-0002-4819-2184</w:t>
      </w:r>
    </w:p>
    <w:p>
      <w:pPr>
        <w:spacing w:before="160" w:after="60" w:line="276" w:lineRule="auto"/>
        <w:jc w:val="both"/>
      </w:pPr>
      <w:r>
        <w:rPr>
          <w:b/>
          <w:color w:val="1F3864"/>
          <w:sz w:val="24"/>
        </w:rPr>
        <w:t>Abstract</w:t>
      </w:r>
    </w:p>
    <w:p>
      <w:pPr>
        <w:spacing w:before="0" w:after="160" w:line="276" w:lineRule="auto"/>
        <w:jc w:val="both"/>
      </w:pPr>
      <w:r>
        <w:rPr>
          <w:rFonts w:ascii="Times New Roman" w:hAnsi="Times New Roman"/>
          <w:sz w:val="22"/>
        </w:rPr>
        <w:t>Federated learning (FL) is widely advocated for smart parking forecasting across multi-operator facilities, yet decentralized claims often overlook simple local baselines. We conduct an empirical benchmark on the Birmingham IoT stream (30 facilities, 21,868 sequences) across 30- and 60-minute horizons. A persistence baseline achieves a 30-minute Mean Absolute Error (MAE) of 0.0256 (33.4 bays), while an isolated 5-parameter local linear autoregressive model per lot—requiring zero communication—achieves an MAE of 0.0126 (13.9 bays), outperforming centralized deep learning (Attention-LSTM MAE: 0.0217; 26.9 bays) and all federated models. Under standard communication budgets (8 rounds), global FedAvg achieves an MAE of 0.0935 ± 0.0032. An IID control leaves a large residual at eight rounds; at approximately 14,790 updates, IID FedAvg (MAE: 0.0384 ± 0.0010) outperforms non-IID FedAvg (0.0858 ± 0.0015), highlighting the regime-dependent roles of optimization budget and client heterogeneity. Local personalization reduces federated error to 0.0592 ± 0.0004 (82.4 bays), yet transmitting model weights incurs a 74.6-fold communication overhead compared to raw data transfers. Bilateral interpolation of daytime sensor gaps introduces potential within-day lookahead bias. We conclude that federation cannot be justified on bandwidth grounds and underperforms isolated local linear models, but offers institutional data containment when multi-stakeholder governance precludes centralization.</w:t>
      </w:r>
    </w:p>
    <w:p>
      <w:pPr>
        <w:spacing w:before="0" w:after="280" w:line="276" w:lineRule="auto"/>
        <w:jc w:val="both"/>
      </w:pPr>
      <w:r>
        <w:rPr>
          <w:b/>
          <w:color w:val="1F3864"/>
        </w:rPr>
        <w:t xml:space="preserve">Keywords: </w:t>
      </w:r>
      <w:r>
        <w:rPr>
          <w:sz w:val="21"/>
        </w:rPr>
        <w:t>Federated learning; Smart parking forecasting; Empirical benchmark; Local linear baselines; Intelligent transportation systems</w:t>
      </w:r>
    </w:p>
    <w:p>
      <w:pPr>
        <w:keepNext/>
        <w:spacing w:before="280" w:after="80"/>
      </w:pPr>
      <w:r>
        <w:rPr>
          <w:rFonts w:ascii="Times New Roman" w:hAnsi="Times New Roman"/>
          <w:b/>
          <w:color w:val="1F3864"/>
          <w:sz w:val="26"/>
        </w:rPr>
        <w:t>1. Introduction</w:t>
      </w:r>
    </w:p>
    <w:p>
      <w:pPr>
        <w:spacing w:before="0" w:after="100" w:line="276" w:lineRule="auto"/>
        <w:jc w:val="both"/>
      </w:pPr>
      <w:r>
        <w:rPr>
          <w:rFonts w:ascii="Times New Roman" w:hAnsi="Times New Roman"/>
          <w:sz w:val="22"/>
        </w:rPr>
        <w:t>Vehicular traffic congestion in metropolitan centers remains a formidable economic, operational, and environmental challenge. Empirical transportation studies consistently demonstrate that between 20% and 30% of downtown traffic volume consists of motorists actively cruising in search of vacant parking spaces [1], [2]. This cruising phenomenon inflates carbon emissions, wastes productive hours, and triggers localized gridlock across arterial corridors. The rapid deployment of municipal Internet of Things (IoT) sensors—such as inductive loops, wireless magnetometers, and barrier gate transponders—enables continuous tracking of parking bay occupancy. Delivering accurate forecasts of parking availability 30 to 60 minutes ahead is vital for intelligent transportation systems (ITS), proactive route guidance, and dynamic congestion pricing.</w:t>
      </w:r>
    </w:p>
    <w:p>
      <w:pPr>
        <w:spacing w:before="0" w:after="100" w:line="276" w:lineRule="auto"/>
        <w:jc w:val="both"/>
      </w:pPr>
      <w:r>
        <w:rPr>
          <w:rFonts w:ascii="Times New Roman" w:hAnsi="Times New Roman"/>
          <w:sz w:val="22"/>
        </w:rPr>
        <w:t>Historically, parking forecasting has progressed from univariate statistical formulations such as AutoRegressive Integrated Moving Average (ARIMA) models [3] toward machine learning and deep sequence models. Gradient Boosted Decision Trees (XGBoost) [4] and Long Short-Term Memory (LSTM) networks have demonstrated strong non-linear sequence modeling capabilities. Recent studies have incorporated temporal attention mechanisms [5] to dynamically align recurrent hidden representations across historical lookback windows, as well as spatio-temporal graph neural networks [6] to capture geographic adjacency.</w:t>
      </w:r>
    </w:p>
    <w:p>
      <w:pPr>
        <w:spacing w:before="0" w:after="100" w:line="276" w:lineRule="auto"/>
        <w:jc w:val="both"/>
      </w:pPr>
      <w:r>
        <w:rPr>
          <w:rFonts w:ascii="Times New Roman" w:hAnsi="Times New Roman"/>
          <w:sz w:val="22"/>
        </w:rPr>
        <w:t>Despite their predictive success, conventional sequence models almost universally rely on centralized cloud aggregation. In real-world metropolitan environments, this assumption faces severe governance, commercial, and operational obstacles. Parking facilities are rarely operated by a single municipal department; instead, they are fragmented across commercial operators (e.g., National Car Parks, Q-Park), private retail garages (e.g., shopping mall complexes), and municipal councils. Commercial operators routinely refuse to stream unaggregated telemetry into central municipal servers because occupancy records expose proprietary commercial intelligence, footfall trends, and revenue elasticity. Furthermore, strict privacy and data protection frameworks (such as the EU General Data Protection Regulation [30]) impose rigorous constraints on continuous spatial telemetry streams.</w:t>
      </w:r>
    </w:p>
    <w:p>
      <w:pPr>
        <w:spacing w:before="0" w:after="100" w:line="276" w:lineRule="auto"/>
        <w:jc w:val="both"/>
      </w:pPr>
      <w:r>
        <w:rPr>
          <w:rFonts w:ascii="Times New Roman" w:hAnsi="Times New Roman"/>
          <w:sz w:val="22"/>
        </w:rPr>
        <w:t>Federated Learning (FL), pioneered by McMahan et al. [7], provides an architectural framework for collaborative model training without centralizing raw data. Local clients compute model updates on edge infrastructure and transmit only model parameters or gradients to a central coordinator. However, deploying standard Federated Averaging (FedAvg) to multi-lot smart parking presents unexpected empirical complexities that are frequently obscured in the literature. Recent federated parking proposals claim substantial performance gains through decentralized training and post-hoc personalization. Yet, when evaluated against standard non-federated baselines, critical methodological questions emerge:</w:t>
      </w:r>
    </w:p>
    <w:p>
      <w:pPr>
        <w:pStyle w:val="ListParagraph"/>
        <w:spacing w:before="40" w:after="40"/>
      </w:pPr>
      <w:r>
        <w:rPr>
          <w:b/>
        </w:rPr>
        <w:t xml:space="preserve">1. Baseline Completeness: </w:t>
      </w:r>
      <w:r>
        <w:t>How does federated sequence forecasting compare against zero-parameter persistence heuristics and simple local-only linear models that avoid cross-facility data sharing without any federation?</w:t>
      </w:r>
    </w:p>
    <w:p>
      <w:pPr>
        <w:pStyle w:val="ListParagraph"/>
        <w:spacing w:before="40" w:after="40"/>
      </w:pPr>
      <w:r>
        <w:rPr>
          <w:b/>
        </w:rPr>
        <w:t xml:space="preserve">2. Under-Training vs. Heterogeneity: </w:t>
      </w:r>
      <w:r>
        <w:t>Is the observed error of global FedAvg genuinely caused by non-IID client heterogeneity, or is it an artifact of extreme gradient-step deficits under practical communication round budgets?</w:t>
      </w:r>
    </w:p>
    <w:p>
      <w:pPr>
        <w:pStyle w:val="ListParagraph"/>
        <w:spacing w:before="40" w:after="40"/>
      </w:pPr>
      <w:r>
        <w:rPr>
          <w:b/>
        </w:rPr>
        <w:t xml:space="preserve">3. Bandwidth vs. Governance Justification: </w:t>
      </w:r>
      <w:r>
        <w:t>Does federating neural networks save communication bandwidth on scalar IoT streams, or should FL be justified primarily by commercial data governance and institutional data sovereignty considerations?</w:t>
      </w:r>
    </w:p>
    <w:p>
      <w:pPr>
        <w:spacing w:before="0" w:after="100" w:line="276" w:lineRule="auto"/>
        <w:jc w:val="both"/>
      </w:pPr>
      <w:r>
        <w:rPr>
          <w:rFonts w:ascii="Times New Roman" w:hAnsi="Times New Roman"/>
          <w:sz w:val="22"/>
        </w:rPr>
        <w:t>To resolve these questions, this paper presents an exhaustive empirical benchmark on the Birmingham municipal smart parking IoT dataset, encompassing 30 heterogeneous parking facilities. By implementing a complete baseline suite—including zero-parameter persistence, local-only linear autoregression, pooled centralized linear models, centralized XGBoost, centralized Attention-LSTM, global FedAvg, and personalized FedAvg—alongside an IID-shuffled control and alternative federated algorithms (FedProx, FedPer), we establish an honest empirical appraisal of multi-lot parking federation. The principal contributions of this work are:</w:t>
      </w:r>
    </w:p>
    <w:p>
      <w:pPr>
        <w:pStyle w:val="ListParagraph"/>
        <w:spacing w:before="40" w:after="60"/>
      </w:pPr>
      <w:r>
        <w:rPr>
          <w:b/>
        </w:rPr>
        <w:t xml:space="preserve">1. Comprehensive Multi-Horizon Benchmark: </w:t>
      </w:r>
      <w:r>
        <w:t>We construct a rigorous, chronological evaluation benchmark across 3,263 unified test windows, comparing eight distinct forecasting models across both 30-minute and 60-minute lookahead horizons under exact physical bay capacity scaling.</w:t>
      </w:r>
    </w:p>
    <w:p>
      <w:pPr>
        <w:pStyle w:val="ListParagraph"/>
        <w:spacing w:before="40" w:after="60"/>
      </w:pPr>
      <w:r>
        <w:rPr>
          <w:b/>
        </w:rPr>
        <w:t xml:space="preserve">2. Uncovering the Dominance of Local Linear Baselines: </w:t>
      </w:r>
      <w:r>
        <w:t>We demonstrate that a 5-parameter local-only linear AR(4) model per facility (4 lag coefficients plus intercept) achieves a 30-minute MAE of 0.0126 (13.9 bays), outperforming both centralized Attention-LSTM (0.0217; 26.9 bays) and federated models while requiring zero communication, eliminating cross-facility data sharing, and preserving local data autonomy.</w:t>
      </w:r>
    </w:p>
    <w:p>
      <w:pPr>
        <w:pStyle w:val="ListParagraph"/>
        <w:spacing w:before="40" w:after="60"/>
      </w:pPr>
      <w:r>
        <w:rPr>
          <w:b/>
        </w:rPr>
        <w:t xml:space="preserve">3. Disentangling Optimization Budgets from Client Heterogeneity: </w:t>
      </w:r>
      <w:r>
        <w:t>Under the eight-round communication-constrained protocol, the difference between non-IID FedAvg and the IID-shuffled control corresponds to 35.8% of the overall gap between non-IID FedAvg and the centralized benchmark. The remaining 64.2% is the IID-shuffled-to-centralized residual, which is consistent with optimization under-training but cannot be attributed to under-training alone. Crucially, approximately matched compute-budget experiments (15 rounds, 14,790 cumulative client updates vs. 14,370 centralized steps, 102.9%) demonstrate that IID-shuffled FedAvg converges to 0.0384 ± 0.0010 (47.5 bays), reducing the optimization gap by 63.8%. Under this matched-budget protocol, the observed difference associated with non-IID versus IID-shuffled configurations accounts for 73.9% of the remaining deficit once compute starvation is mitigated. Local personalization fine-tuning bridges this gap, achieving MAE 0.0592 ± 0.0004 at R=8 and 0.0548 ± 0.0012 at R=15, recovering over 50% of the centralized performance gap without sharing client telemetry.</w:t>
      </w:r>
    </w:p>
    <w:p>
      <w:pPr>
        <w:pStyle w:val="ListParagraph"/>
        <w:spacing w:before="40" w:after="80"/>
      </w:pPr>
      <w:r>
        <w:rPr>
          <w:b/>
        </w:rPr>
        <w:t xml:space="preserve">4. Authentic Governance Framing: </w:t>
      </w:r>
      <w:r>
        <w:t>We demonstrate that federated neural modeling consumes 74.6 times more network bandwidth (110.35 MB / 105.24 MiB across 8 rounds) than streaming raw telemetry (1.48 MB / 1.41 MiB), firmly refuting uplink bandwidth savings and re-anchoring FL deployment in commercial multi-operator confidentiality and institutional autonomy.</w:t>
      </w:r>
    </w:p>
    <w:p>
      <w:pPr>
        <w:spacing w:before="0" w:after="100" w:line="276" w:lineRule="auto"/>
        <w:jc w:val="both"/>
      </w:pPr>
      <w:r>
        <w:rPr>
          <w:rFonts w:ascii="Times New Roman" w:hAnsi="Times New Roman"/>
          <w:sz w:val="22"/>
        </w:rPr>
        <w:t>The remainder of this manuscript is organized as follows. Section 2 reviews related literature and contextualizes existing federated ITS frameworks. Section 3 formalizes the mathematical problem, audits physical facility heterogeneity, documents data preprocessing, and specifies the model architectures. Section 4 presents primary benchmark results, personalization mechanics, and round scaling trajectories. Section 5 provides mechanistic discussions, smart city governance implications, and threats to validity. Section 6 concludes the study.</w:t>
      </w:r>
    </w:p>
    <w:p>
      <w:pPr>
        <w:keepNext/>
        <w:spacing w:before="280" w:after="80"/>
      </w:pPr>
      <w:r>
        <w:rPr>
          <w:rFonts w:ascii="Times New Roman" w:hAnsi="Times New Roman"/>
          <w:b/>
          <w:color w:val="1F3864"/>
          <w:sz w:val="26"/>
        </w:rPr>
        <w:t>2. Literature Review</w:t>
      </w:r>
    </w:p>
    <w:p>
      <w:pPr>
        <w:spacing w:before="0" w:after="100" w:line="276" w:lineRule="auto"/>
        <w:jc w:val="both"/>
      </w:pPr>
      <w:r>
        <w:rPr>
          <w:rFonts w:ascii="Times New Roman" w:hAnsi="Times New Roman"/>
          <w:sz w:val="22"/>
        </w:rPr>
        <w:t>Parking occupancy forecasting intersects time-series econometrics, deep recurrent sequence learning, distributed optimization, and intelligent transportation governance. This section synthesizes related literature across three dominant themes, summarized in Table 1.</w:t>
      </w:r>
    </w:p>
    <w:p>
      <w:pPr>
        <w:keepNext/>
        <w:spacing w:before="200" w:after="60"/>
      </w:pPr>
      <w:r>
        <w:rPr>
          <w:rFonts w:ascii="Times New Roman" w:hAnsi="Times New Roman"/>
          <w:b/>
          <w:color w:val="2F4F7F"/>
          <w:sz w:val="23"/>
        </w:rPr>
        <w:t>2.1 Centralized Sequence Modeling and Attention Mechanisms</w:t>
      </w:r>
    </w:p>
    <w:p>
      <w:pPr>
        <w:spacing w:before="0" w:after="100" w:line="276" w:lineRule="auto"/>
        <w:jc w:val="both"/>
      </w:pPr>
      <w:r>
        <w:rPr>
          <w:rFonts w:ascii="Times New Roman" w:hAnsi="Times New Roman"/>
          <w:sz w:val="22"/>
        </w:rPr>
        <w:t>Early approaches to parking prediction relied primarily on univariate linear time-series formulations. Stolfi et al. [8] and Zheng et al. [9] demonstrated that municipal parking occupancy exhibits pronounced diurnal cycles driven by commuter routines. Vlahogianni et al. [10] introduced real-time predictive systems combining statistical filtering with neural networks. Rong et al. [11] introduced Du-Parking, deployed within Baidu Maps, combining recurrent LSTM networks for temporal closeness and periodicity with fully connected layers capturing contextual influence (such as weather, traffic events, and points of interest). Zhao et al. [12] formulated MePark, demonstrating that transaction records from smart parking meters can act as proxy sensors to predict on-street parking availability via spatio-temporal deep neural networks.</w:t>
      </w:r>
    </w:p>
    <w:p>
      <w:pPr>
        <w:spacing w:before="0" w:after="100" w:line="276" w:lineRule="auto"/>
        <w:jc w:val="both"/>
      </w:pPr>
      <w:r>
        <w:rPr>
          <w:rFonts w:ascii="Times New Roman" w:hAnsi="Times New Roman"/>
          <w:sz w:val="22"/>
        </w:rPr>
        <w:t>To enhance recurrent state representation, attention mechanisms have become ubiquitous. While self-attention in Transformer architectures computes pairwise token interactions, temporal attention over recurrent states—originally formulated by Bahdanau et al. [5]—dynamically computes alignment scores over historical hidden states. This enables the network to selectively weight critical morning in-rush or evening emptying periods when predicting future availability.</w:t>
      </w:r>
    </w:p>
    <w:p>
      <w:pPr>
        <w:keepNext/>
        <w:spacing w:before="200" w:after="60"/>
      </w:pPr>
      <w:r>
        <w:rPr>
          <w:rFonts w:ascii="Times New Roman" w:hAnsi="Times New Roman"/>
          <w:b/>
          <w:color w:val="2F4F7F"/>
          <w:sz w:val="23"/>
        </w:rPr>
        <w:t>2.2 Federated Learning in Intelligent Transportation Systems</w:t>
      </w:r>
    </w:p>
    <w:p>
      <w:pPr>
        <w:spacing w:before="0" w:after="100" w:line="276" w:lineRule="auto"/>
        <w:jc w:val="both"/>
      </w:pPr>
      <w:r>
        <w:rPr>
          <w:rFonts w:ascii="Times New Roman" w:hAnsi="Times New Roman"/>
          <w:sz w:val="22"/>
        </w:rPr>
        <w:t>Federated learning was established by McMahan et al. [7] as a decentralized framework where multiple clients collaboratively optimize a global objective function via iterative local stochastic gradient descent (SGD) and centralized server aggregation. Yang et al. [13] formalized the conceptual taxonomy of horizontal, vertical, and transfer federated learning. Kairouz et al. [14] and Zhang et al. [15] surveyed foundational challenges, highlighting system heterogeneity, client availability, and communication overhead. In transportation, Attiah et al. [16] formulated FedPark as a federated learning crowdsensing framework for decentralized on-street parking availability prediction across connected vehicles. Sharma &amp; Kaur [17] investigated fog-based federated time-series forecasting for IoT telemetry, while Rocco di Torrepadula et al. [22] formulated FedFlow, introducing personalized federated learning for passenger flow prediction across competing mobility providers. These studies demonstrate growing interest in decentralized ITS architectures.</w:t>
      </w:r>
    </w:p>
    <w:p>
      <w:pPr>
        <w:keepNext/>
        <w:spacing w:before="200" w:after="60"/>
      </w:pPr>
      <w:r>
        <w:rPr>
          <w:rFonts w:ascii="Times New Roman" w:hAnsi="Times New Roman"/>
          <w:b/>
          <w:color w:val="2F4F7F"/>
          <w:sz w:val="23"/>
        </w:rPr>
        <w:t>2.3 Statistical Heterogeneity and the Personalization Ladder</w:t>
      </w:r>
    </w:p>
    <w:p>
      <w:pPr>
        <w:spacing w:before="0" w:after="100" w:line="276" w:lineRule="auto"/>
        <w:jc w:val="both"/>
      </w:pPr>
      <w:r>
        <w:rPr>
          <w:rFonts w:ascii="Times New Roman" w:hAnsi="Times New Roman"/>
          <w:sz w:val="22"/>
        </w:rPr>
        <w:t>A central challenge in federated learning is statistical heterogeneity (non-IID data distributions), which causes local client objectives to diverge from the global empirical risk [18]. To mitigate client drift, Li et al. [19] formulated FedProx, adding a proximal regularization term to constrain local updates near the global model. In highly heterogeneous environments, a single consensus global model often achieves suboptimal performance for all participants. This has catalyzed the 'personalization ladder':</w:t>
      </w:r>
    </w:p>
    <w:p>
      <w:pPr>
        <w:pStyle w:val="ListParagraph"/>
        <w:spacing w:before="40" w:after="40"/>
      </w:pPr>
      <w:r>
        <w:rPr>
          <w:b/>
        </w:rPr>
        <w:t xml:space="preserve">• Level 1: Local-Only Estimation: </w:t>
      </w:r>
      <w:r>
        <w:t>Each client trains an independent model purely on local data without communication or federation.</w:t>
      </w:r>
    </w:p>
    <w:p>
      <w:pPr>
        <w:pStyle w:val="ListParagraph"/>
        <w:spacing w:before="40" w:after="40"/>
      </w:pPr>
      <w:r>
        <w:rPr>
          <w:b/>
        </w:rPr>
        <w:t xml:space="preserve">• Level 2: Global Aggregation: </w:t>
      </w:r>
      <w:r>
        <w:t>Standard FedAvg [7] optimizes a single shared global parameter vector across all participants.</w:t>
      </w:r>
    </w:p>
    <w:p>
      <w:pPr>
        <w:pStyle w:val="ListParagraph"/>
        <w:spacing w:before="40" w:after="40"/>
      </w:pPr>
      <w:r>
        <w:rPr>
          <w:b/>
        </w:rPr>
        <w:t xml:space="preserve">• Level 3: Architecture Partitioning: </w:t>
      </w:r>
      <w:r>
        <w:t>FedPer [21] federates shared base feature extractors while maintaining private local output heads.</w:t>
      </w:r>
    </w:p>
    <w:p>
      <w:pPr>
        <w:pStyle w:val="ListParagraph"/>
        <w:spacing w:before="40" w:after="60"/>
      </w:pPr>
      <w:r>
        <w:rPr>
          <w:b/>
        </w:rPr>
        <w:t xml:space="preserve">• Level 4: Meta-Learning &amp; Local Adaptation: </w:t>
      </w:r>
      <w:r>
        <w:t>Per-FedAvg [20] and pFedMe [23] optimize global initializations explicitly designed for rapid local gradient fine-tuning.</w:t>
      </w:r>
    </w:p>
    <w:p>
      <w:pPr>
        <w:spacing w:before="0" w:after="100" w:line="276" w:lineRule="auto"/>
        <w:jc w:val="both"/>
      </w:pPr>
      <w:r>
        <w:rPr>
          <w:rFonts w:ascii="Times New Roman" w:hAnsi="Times New Roman"/>
          <w:sz w:val="22"/>
        </w:rPr>
        <w:t>Despite extensive theoretical modeling, prior ITS studies frequently omit the lowest rung of the ladder: local-only baselines. Without evaluating whether simple local-only estimators that avoid cross-facility data sharing outperform federated models, claims of federated efficacy remain scientifically incomplete. This paper addresses this gap through an exhaustive empirical benchmark.</w:t>
      </w:r>
    </w:p>
    <w:p>
      <w:pPr>
        <w:spacing w:before="120" w:after="80"/>
        <w:jc w:val="center"/>
      </w:pPr>
      <w:r>
        <w:rPr>
          <w:rFonts w:ascii="Times New Roman" w:hAnsi="Times New Roman"/>
          <w:b/>
          <w:sz w:val="19"/>
        </w:rPr>
        <w:t xml:space="preserve">Table </w:t>
      </w:r>
      <w:r>
        <w:rPr>
          <w:rFonts w:ascii="Times New Roman" w:hAnsi="Times New Roman"/>
          <w:i w:val="0"/>
          <w:sz w:val="19"/>
        </w:rPr>
        <w:t>1. Systematic Comparison of Related Literature in Smart Parking and Federated ITS.</w:t>
      </w:r>
    </w:p>
    <w:tbl>
      <w:tblPr>
        <w:tblW w:type="auto" w:w="0"/>
        <w:jc w:val="center"/>
        <w:tblLook w:firstColumn="1" w:firstRow="1" w:lastColumn="0" w:lastRow="0" w:noHBand="0" w:noVBand="1" w:val="04A0"/>
        <w:tblBorders>
          <w:top w:val="single" w:sz="8" w:space="0" w:color="1F3864"/>
          <w:bottom w:val="single" w:sz="8" w:space="0" w:color="1F3864"/>
          <w:left w:val="none"/>
          <w:right w:val="none"/>
          <w:insideH w:val="single" w:sz="4" w:space="0" w:color="CBD5E1"/>
          <w:insideV w:val="none"/>
        </w:tblBorders>
      </w:tblPr>
      <w:tblGrid>
        <w:gridCol w:w="1505"/>
        <w:gridCol w:w="1505"/>
        <w:gridCol w:w="1505"/>
        <w:gridCol w:w="1505"/>
        <w:gridCol w:w="1505"/>
        <w:gridCol w:w="1505"/>
      </w:tblGrid>
      <w:tr>
        <w:tc>
          <w:tcPr>
            <w:tcW w:type="dxa" w:w="1512"/>
            <w:shd w:fill="1F3864"/>
            <w:tcMar>
              <w:top w:w="100" w:type="dxa"/>
              <w:bottom w:w="100" w:type="dxa"/>
              <w:left w:w="120" w:type="dxa"/>
              <w:right w:w="120" w:type="dxa"/>
            </w:tcMar>
          </w:tcPr>
          <w:p>
            <w:pPr>
              <w:jc w:val="center"/>
            </w:pPr>
            <w:r>
              <w:rPr>
                <w:b/>
                <w:color w:val="FFFFFF"/>
                <w:sz w:val="18"/>
              </w:rPr>
              <w:t>Study &amp; Reference</w:t>
            </w:r>
          </w:p>
        </w:tc>
        <w:tc>
          <w:tcPr>
            <w:tcW w:type="dxa" w:w="1584"/>
            <w:shd w:fill="1F3864"/>
            <w:tcMar>
              <w:top w:w="100" w:type="dxa"/>
              <w:bottom w:w="100" w:type="dxa"/>
              <w:left w:w="120" w:type="dxa"/>
              <w:right w:w="120" w:type="dxa"/>
            </w:tcMar>
          </w:tcPr>
          <w:p>
            <w:pPr>
              <w:jc w:val="center"/>
            </w:pPr>
            <w:r>
              <w:rPr>
                <w:b/>
                <w:color w:val="FFFFFF"/>
                <w:sz w:val="18"/>
              </w:rPr>
              <w:t>Core Methodology</w:t>
            </w:r>
          </w:p>
        </w:tc>
        <w:tc>
          <w:tcPr>
            <w:tcW w:type="dxa" w:w="1440"/>
            <w:shd w:fill="1F3864"/>
            <w:tcMar>
              <w:top w:w="100" w:type="dxa"/>
              <w:bottom w:w="100" w:type="dxa"/>
              <w:left w:w="120" w:type="dxa"/>
              <w:right w:w="120" w:type="dxa"/>
            </w:tcMar>
          </w:tcPr>
          <w:p>
            <w:pPr>
              <w:jc w:val="center"/>
            </w:pPr>
            <w:r>
              <w:rPr>
                <w:b/>
                <w:color w:val="FFFFFF"/>
                <w:sz w:val="18"/>
              </w:rPr>
              <w:t>Dataset / Testbed</w:t>
            </w:r>
          </w:p>
        </w:tc>
        <w:tc>
          <w:tcPr>
            <w:tcW w:type="dxa" w:w="1512"/>
            <w:shd w:fill="1F3864"/>
            <w:tcMar>
              <w:top w:w="100" w:type="dxa"/>
              <w:bottom w:w="100" w:type="dxa"/>
              <w:left w:w="120" w:type="dxa"/>
              <w:right w:w="120" w:type="dxa"/>
            </w:tcMar>
          </w:tcPr>
          <w:p>
            <w:pPr>
              <w:jc w:val="center"/>
            </w:pPr>
            <w:r>
              <w:rPr>
                <w:b/>
                <w:color w:val="FFFFFF"/>
                <w:sz w:val="18"/>
              </w:rPr>
              <w:t>Privacy / Governance</w:t>
            </w:r>
          </w:p>
        </w:tc>
        <w:tc>
          <w:tcPr>
            <w:tcW w:type="dxa" w:w="1152"/>
            <w:shd w:fill="1F3864"/>
            <w:tcMar>
              <w:top w:w="100" w:type="dxa"/>
              <w:bottom w:w="100" w:type="dxa"/>
              <w:left w:w="120" w:type="dxa"/>
              <w:right w:w="120" w:type="dxa"/>
            </w:tcMar>
          </w:tcPr>
          <w:p>
            <w:pPr>
              <w:jc w:val="center"/>
            </w:pPr>
            <w:r>
              <w:rPr>
                <w:b/>
                <w:color w:val="FFFFFF"/>
                <w:sz w:val="18"/>
              </w:rPr>
              <w:t>Local Baseline Included?</w:t>
            </w:r>
          </w:p>
        </w:tc>
        <w:tc>
          <w:tcPr>
            <w:tcW w:type="dxa" w:w="2160"/>
            <w:shd w:fill="1F3864"/>
            <w:tcMar>
              <w:top w:w="100" w:type="dxa"/>
              <w:bottom w:w="100" w:type="dxa"/>
              <w:left w:w="120" w:type="dxa"/>
              <w:right w:w="120" w:type="dxa"/>
            </w:tcMar>
          </w:tcPr>
          <w:p>
            <w:pPr>
              <w:jc w:val="center"/>
            </w:pPr>
            <w:r>
              <w:rPr>
                <w:b/>
                <w:color w:val="FFFFFF"/>
                <w:sz w:val="18"/>
              </w:rPr>
              <w:t>Key Limitations</w:t>
            </w:r>
          </w:p>
        </w:tc>
      </w:tr>
      <w:tr>
        <w:tc>
          <w:tcPr>
            <w:tcW w:type="dxa" w:w="1512"/>
            <w:shd w:fill="F8FAFC"/>
            <w:tcMar>
              <w:top w:w="70" w:type="dxa"/>
              <w:bottom w:w="70" w:type="dxa"/>
              <w:left w:w="100" w:type="dxa"/>
              <w:right w:w="100" w:type="dxa"/>
            </w:tcMar>
          </w:tcPr>
          <w:p>
            <w:pPr>
              <w:jc w:val="center"/>
            </w:pPr>
            <w:r>
              <w:rPr>
                <w:sz w:val="17"/>
              </w:rPr>
              <w:t>Rong et al. (2018) [11]</w:t>
            </w:r>
          </w:p>
        </w:tc>
        <w:tc>
          <w:tcPr>
            <w:tcW w:type="dxa" w:w="1584"/>
            <w:shd w:fill="F8FAFC"/>
            <w:tcMar>
              <w:top w:w="70" w:type="dxa"/>
              <w:bottom w:w="70" w:type="dxa"/>
              <w:left w:w="100" w:type="dxa"/>
              <w:right w:w="100" w:type="dxa"/>
            </w:tcMar>
          </w:tcPr>
          <w:p>
            <w:pPr>
              <w:jc w:val="left"/>
            </w:pPr>
            <w:r>
              <w:rPr>
                <w:sz w:val="17"/>
              </w:rPr>
              <w:t>Du-Parking (LSTM + Context)</w:t>
            </w:r>
          </w:p>
        </w:tc>
        <w:tc>
          <w:tcPr>
            <w:tcW w:type="dxa" w:w="1440"/>
            <w:shd w:fill="F8FAFC"/>
            <w:tcMar>
              <w:top w:w="70" w:type="dxa"/>
              <w:bottom w:w="70" w:type="dxa"/>
              <w:left w:w="100" w:type="dxa"/>
              <w:right w:w="100" w:type="dxa"/>
            </w:tcMar>
          </w:tcPr>
          <w:p>
            <w:pPr>
              <w:jc w:val="left"/>
            </w:pPr>
            <w:r>
              <w:rPr>
                <w:sz w:val="17"/>
              </w:rPr>
              <w:t>Baidu Maps (China)</w:t>
            </w:r>
          </w:p>
        </w:tc>
        <w:tc>
          <w:tcPr>
            <w:tcW w:type="dxa" w:w="1512"/>
            <w:shd w:fill="F8FAFC"/>
            <w:tcMar>
              <w:top w:w="70" w:type="dxa"/>
              <w:bottom w:w="70" w:type="dxa"/>
              <w:left w:w="100" w:type="dxa"/>
              <w:right w:w="100" w:type="dxa"/>
            </w:tcMar>
          </w:tcPr>
          <w:p>
            <w:pPr>
              <w:jc w:val="center"/>
            </w:pPr>
            <w:r>
              <w:rPr>
                <w:sz w:val="17"/>
              </w:rPr>
              <w:t>Centralized only</w:t>
            </w:r>
          </w:p>
        </w:tc>
        <w:tc>
          <w:tcPr>
            <w:tcW w:type="dxa" w:w="1152"/>
            <w:shd w:fill="F8FAFC"/>
            <w:tcMar>
              <w:top w:w="70" w:type="dxa"/>
              <w:bottom w:w="70" w:type="dxa"/>
              <w:left w:w="100" w:type="dxa"/>
              <w:right w:w="100" w:type="dxa"/>
            </w:tcMar>
          </w:tcPr>
          <w:p>
            <w:pPr>
              <w:jc w:val="center"/>
            </w:pPr>
            <w:r>
              <w:rPr>
                <w:sz w:val="17"/>
              </w:rPr>
              <w:t>No</w:t>
            </w:r>
          </w:p>
        </w:tc>
        <w:tc>
          <w:tcPr>
            <w:tcW w:type="dxa" w:w="2160"/>
            <w:shd w:fill="F8FAFC"/>
            <w:tcMar>
              <w:top w:w="70" w:type="dxa"/>
              <w:bottom w:w="70" w:type="dxa"/>
              <w:left w:w="100" w:type="dxa"/>
              <w:right w:w="100" w:type="dxa"/>
            </w:tcMar>
          </w:tcPr>
          <w:p>
            <w:pPr>
              <w:jc w:val="left"/>
            </w:pPr>
            <w:r>
              <w:rPr>
                <w:sz w:val="17"/>
              </w:rPr>
              <w:t>Proprietary commercial dataset; missing local linear baselines and privacy guarantees</w:t>
            </w:r>
          </w:p>
        </w:tc>
      </w:tr>
      <w:tr>
        <w:tc>
          <w:tcPr>
            <w:tcW w:type="dxa" w:w="1512"/>
            <w:shd w:fill="FFFFFF"/>
            <w:tcMar>
              <w:top w:w="70" w:type="dxa"/>
              <w:bottom w:w="70" w:type="dxa"/>
              <w:left w:w="100" w:type="dxa"/>
              <w:right w:w="100" w:type="dxa"/>
            </w:tcMar>
          </w:tcPr>
          <w:p>
            <w:pPr>
              <w:jc w:val="center"/>
            </w:pPr>
            <w:r>
              <w:rPr>
                <w:sz w:val="17"/>
              </w:rPr>
              <w:t>Zhao et al. (2022) [12]</w:t>
            </w:r>
          </w:p>
        </w:tc>
        <w:tc>
          <w:tcPr>
            <w:tcW w:type="dxa" w:w="1584"/>
            <w:shd w:fill="FFFFFF"/>
            <w:tcMar>
              <w:top w:w="70" w:type="dxa"/>
              <w:bottom w:w="70" w:type="dxa"/>
              <w:left w:w="100" w:type="dxa"/>
              <w:right w:w="100" w:type="dxa"/>
            </w:tcMar>
          </w:tcPr>
          <w:p>
            <w:pPr>
              <w:jc w:val="left"/>
            </w:pPr>
            <w:r>
              <w:rPr>
                <w:sz w:val="17"/>
              </w:rPr>
              <w:t>MePark (Meter Sensing)</w:t>
            </w:r>
          </w:p>
        </w:tc>
        <w:tc>
          <w:tcPr>
            <w:tcW w:type="dxa" w:w="1440"/>
            <w:shd w:fill="FFFFFF"/>
            <w:tcMar>
              <w:top w:w="70" w:type="dxa"/>
              <w:bottom w:w="70" w:type="dxa"/>
              <w:left w:w="100" w:type="dxa"/>
              <w:right w:w="100" w:type="dxa"/>
            </w:tcMar>
          </w:tcPr>
          <w:p>
            <w:pPr>
              <w:jc w:val="left"/>
            </w:pPr>
            <w:r>
              <w:rPr>
                <w:sz w:val="17"/>
              </w:rPr>
              <w:t>San Francisco / Melbourne</w:t>
            </w:r>
          </w:p>
        </w:tc>
        <w:tc>
          <w:tcPr>
            <w:tcW w:type="dxa" w:w="1512"/>
            <w:shd w:fill="FFFFFF"/>
            <w:tcMar>
              <w:top w:w="70" w:type="dxa"/>
              <w:bottom w:w="70" w:type="dxa"/>
              <w:left w:w="100" w:type="dxa"/>
              <w:right w:w="100" w:type="dxa"/>
            </w:tcMar>
          </w:tcPr>
          <w:p>
            <w:pPr>
              <w:jc w:val="center"/>
            </w:pPr>
            <w:r>
              <w:rPr>
                <w:sz w:val="17"/>
              </w:rPr>
              <w:t>Centralized telemetry</w:t>
            </w:r>
          </w:p>
        </w:tc>
        <w:tc>
          <w:tcPr>
            <w:tcW w:type="dxa" w:w="1152"/>
            <w:shd w:fill="FFFFFF"/>
            <w:tcMar>
              <w:top w:w="70" w:type="dxa"/>
              <w:bottom w:w="70" w:type="dxa"/>
              <w:left w:w="100" w:type="dxa"/>
              <w:right w:w="100" w:type="dxa"/>
            </w:tcMar>
          </w:tcPr>
          <w:p>
            <w:pPr>
              <w:jc w:val="center"/>
            </w:pPr>
            <w:r>
              <w:rPr>
                <w:sz w:val="17"/>
              </w:rPr>
              <w:t>No</w:t>
            </w:r>
          </w:p>
        </w:tc>
        <w:tc>
          <w:tcPr>
            <w:tcW w:type="dxa" w:w="2160"/>
            <w:shd w:fill="FFFFFF"/>
            <w:tcMar>
              <w:top w:w="70" w:type="dxa"/>
              <w:bottom w:w="70" w:type="dxa"/>
              <w:left w:w="100" w:type="dxa"/>
              <w:right w:w="100" w:type="dxa"/>
            </w:tcMar>
          </w:tcPr>
          <w:p>
            <w:pPr>
              <w:jc w:val="left"/>
            </w:pPr>
            <w:r>
              <w:rPr>
                <w:sz w:val="17"/>
              </w:rPr>
              <w:t>Transaction-based proxy; missing ground-truth physical sensor validation</w:t>
            </w:r>
          </w:p>
        </w:tc>
      </w:tr>
      <w:tr>
        <w:tc>
          <w:tcPr>
            <w:tcW w:type="dxa" w:w="1512"/>
            <w:shd w:fill="F8FAFC"/>
            <w:tcMar>
              <w:top w:w="70" w:type="dxa"/>
              <w:bottom w:w="70" w:type="dxa"/>
              <w:left w:w="100" w:type="dxa"/>
              <w:right w:w="100" w:type="dxa"/>
            </w:tcMar>
          </w:tcPr>
          <w:p>
            <w:pPr>
              <w:jc w:val="center"/>
            </w:pPr>
            <w:r>
              <w:rPr>
                <w:sz w:val="17"/>
              </w:rPr>
              <w:t>McMahan et al. (2017) [7]</w:t>
            </w:r>
          </w:p>
        </w:tc>
        <w:tc>
          <w:tcPr>
            <w:tcW w:type="dxa" w:w="1584"/>
            <w:shd w:fill="F8FAFC"/>
            <w:tcMar>
              <w:top w:w="70" w:type="dxa"/>
              <w:bottom w:w="70" w:type="dxa"/>
              <w:left w:w="100" w:type="dxa"/>
              <w:right w:w="100" w:type="dxa"/>
            </w:tcMar>
          </w:tcPr>
          <w:p>
            <w:pPr>
              <w:jc w:val="left"/>
            </w:pPr>
            <w:r>
              <w:rPr>
                <w:sz w:val="17"/>
              </w:rPr>
              <w:t>Standard FedAvg</w:t>
            </w:r>
          </w:p>
        </w:tc>
        <w:tc>
          <w:tcPr>
            <w:tcW w:type="dxa" w:w="1440"/>
            <w:shd w:fill="F8FAFC"/>
            <w:tcMar>
              <w:top w:w="70" w:type="dxa"/>
              <w:bottom w:w="70" w:type="dxa"/>
              <w:left w:w="100" w:type="dxa"/>
              <w:right w:w="100" w:type="dxa"/>
            </w:tcMar>
          </w:tcPr>
          <w:p>
            <w:pPr>
              <w:jc w:val="left"/>
            </w:pPr>
            <w:r>
              <w:rPr>
                <w:sz w:val="17"/>
              </w:rPr>
              <w:t>Synthetic &amp; vision benchmarks</w:t>
            </w:r>
          </w:p>
        </w:tc>
        <w:tc>
          <w:tcPr>
            <w:tcW w:type="dxa" w:w="1512"/>
            <w:shd w:fill="F8FAFC"/>
            <w:tcMar>
              <w:top w:w="70" w:type="dxa"/>
              <w:bottom w:w="70" w:type="dxa"/>
              <w:left w:w="100" w:type="dxa"/>
              <w:right w:w="100" w:type="dxa"/>
            </w:tcMar>
          </w:tcPr>
          <w:p>
            <w:pPr>
              <w:jc w:val="center"/>
            </w:pPr>
            <w:r>
              <w:rPr>
                <w:sz w:val="17"/>
              </w:rPr>
              <w:t>Decentralized / private</w:t>
            </w:r>
          </w:p>
        </w:tc>
        <w:tc>
          <w:tcPr>
            <w:tcW w:type="dxa" w:w="1152"/>
            <w:shd w:fill="F8FAFC"/>
            <w:tcMar>
              <w:top w:w="70" w:type="dxa"/>
              <w:bottom w:w="70" w:type="dxa"/>
              <w:left w:w="100" w:type="dxa"/>
              <w:right w:w="100" w:type="dxa"/>
            </w:tcMar>
          </w:tcPr>
          <w:p>
            <w:pPr>
              <w:jc w:val="center"/>
            </w:pPr>
            <w:r>
              <w:rPr>
                <w:sz w:val="17"/>
              </w:rPr>
              <w:t>Yes (on vision)</w:t>
            </w:r>
          </w:p>
        </w:tc>
        <w:tc>
          <w:tcPr>
            <w:tcW w:type="dxa" w:w="2160"/>
            <w:shd w:fill="F8FAFC"/>
            <w:tcMar>
              <w:top w:w="70" w:type="dxa"/>
              <w:bottom w:w="70" w:type="dxa"/>
              <w:left w:w="100" w:type="dxa"/>
              <w:right w:w="100" w:type="dxa"/>
            </w:tcMar>
          </w:tcPr>
          <w:p>
            <w:pPr>
              <w:jc w:val="left"/>
            </w:pPr>
            <w:r>
              <w:rPr>
                <w:sz w:val="17"/>
              </w:rPr>
              <w:t>Evaluated on vision benchmarks; not evaluated on municipal IoT streams</w:t>
            </w:r>
          </w:p>
        </w:tc>
      </w:tr>
      <w:tr>
        <w:tc>
          <w:tcPr>
            <w:tcW w:type="dxa" w:w="1512"/>
            <w:shd w:fill="FFFFFF"/>
            <w:tcMar>
              <w:top w:w="70" w:type="dxa"/>
              <w:bottom w:w="70" w:type="dxa"/>
              <w:left w:w="100" w:type="dxa"/>
              <w:right w:w="100" w:type="dxa"/>
            </w:tcMar>
          </w:tcPr>
          <w:p>
            <w:pPr>
              <w:jc w:val="center"/>
            </w:pPr>
            <w:r>
              <w:rPr>
                <w:sz w:val="17"/>
              </w:rPr>
              <w:t>Li et al. (2020) [19]</w:t>
            </w:r>
          </w:p>
        </w:tc>
        <w:tc>
          <w:tcPr>
            <w:tcW w:type="dxa" w:w="1584"/>
            <w:shd w:fill="FFFFFF"/>
            <w:tcMar>
              <w:top w:w="70" w:type="dxa"/>
              <w:bottom w:w="70" w:type="dxa"/>
              <w:left w:w="100" w:type="dxa"/>
              <w:right w:w="100" w:type="dxa"/>
            </w:tcMar>
          </w:tcPr>
          <w:p>
            <w:pPr>
              <w:jc w:val="left"/>
            </w:pPr>
            <w:r>
              <w:rPr>
                <w:sz w:val="17"/>
              </w:rPr>
              <w:t>FedProx (Proximal term)</w:t>
            </w:r>
          </w:p>
        </w:tc>
        <w:tc>
          <w:tcPr>
            <w:tcW w:type="dxa" w:w="1440"/>
            <w:shd w:fill="FFFFFF"/>
            <w:tcMar>
              <w:top w:w="70" w:type="dxa"/>
              <w:bottom w:w="70" w:type="dxa"/>
              <w:left w:w="100" w:type="dxa"/>
              <w:right w:w="100" w:type="dxa"/>
            </w:tcMar>
          </w:tcPr>
          <w:p>
            <w:pPr>
              <w:jc w:val="left"/>
            </w:pPr>
            <w:r>
              <w:rPr>
                <w:sz w:val="17"/>
              </w:rPr>
              <w:t>Federated NLP &amp; vision</w:t>
            </w:r>
          </w:p>
        </w:tc>
        <w:tc>
          <w:tcPr>
            <w:tcW w:type="dxa" w:w="1512"/>
            <w:shd w:fill="FFFFFF"/>
            <w:tcMar>
              <w:top w:w="70" w:type="dxa"/>
              <w:bottom w:w="70" w:type="dxa"/>
              <w:left w:w="100" w:type="dxa"/>
              <w:right w:w="100" w:type="dxa"/>
            </w:tcMar>
          </w:tcPr>
          <w:p>
            <w:pPr>
              <w:jc w:val="center"/>
            </w:pPr>
            <w:r>
              <w:rPr>
                <w:sz w:val="17"/>
              </w:rPr>
              <w:t>Decentralized / private</w:t>
            </w:r>
          </w:p>
        </w:tc>
        <w:tc>
          <w:tcPr>
            <w:tcW w:type="dxa" w:w="1152"/>
            <w:shd w:fill="FFFFFF"/>
            <w:tcMar>
              <w:top w:w="70" w:type="dxa"/>
              <w:bottom w:w="70" w:type="dxa"/>
              <w:left w:w="100" w:type="dxa"/>
              <w:right w:w="100" w:type="dxa"/>
            </w:tcMar>
          </w:tcPr>
          <w:p>
            <w:pPr>
              <w:jc w:val="center"/>
            </w:pPr>
            <w:r>
              <w:rPr>
                <w:sz w:val="17"/>
              </w:rPr>
              <w:t>Yes (partial)</w:t>
            </w:r>
          </w:p>
        </w:tc>
        <w:tc>
          <w:tcPr>
            <w:tcW w:type="dxa" w:w="2160"/>
            <w:shd w:fill="FFFFFF"/>
            <w:tcMar>
              <w:top w:w="70" w:type="dxa"/>
              <w:bottom w:w="70" w:type="dxa"/>
              <w:left w:w="100" w:type="dxa"/>
              <w:right w:w="100" w:type="dxa"/>
            </w:tcMar>
          </w:tcPr>
          <w:p>
            <w:pPr>
              <w:jc w:val="left"/>
            </w:pPr>
            <w:r>
              <w:rPr>
                <w:sz w:val="17"/>
              </w:rPr>
              <w:t>Proximal penalty hyperparameter mu adds optimization friction under compute starvation</w:t>
            </w:r>
          </w:p>
        </w:tc>
      </w:tr>
      <w:tr>
        <w:tc>
          <w:tcPr>
            <w:tcW w:type="dxa" w:w="1512"/>
            <w:shd w:fill="F8FAFC"/>
            <w:tcMar>
              <w:top w:w="70" w:type="dxa"/>
              <w:bottom w:w="70" w:type="dxa"/>
              <w:left w:w="100" w:type="dxa"/>
              <w:right w:w="100" w:type="dxa"/>
            </w:tcMar>
          </w:tcPr>
          <w:p>
            <w:pPr>
              <w:jc w:val="center"/>
            </w:pPr>
            <w:r>
              <w:rPr>
                <w:sz w:val="17"/>
              </w:rPr>
              <w:t>Attiah et al. (2025) [16]</w:t>
            </w:r>
          </w:p>
        </w:tc>
        <w:tc>
          <w:tcPr>
            <w:tcW w:type="dxa" w:w="1584"/>
            <w:shd w:fill="F8FAFC"/>
            <w:tcMar>
              <w:top w:w="70" w:type="dxa"/>
              <w:bottom w:w="70" w:type="dxa"/>
              <w:left w:w="100" w:type="dxa"/>
              <w:right w:w="100" w:type="dxa"/>
            </w:tcMar>
          </w:tcPr>
          <w:p>
            <w:pPr>
              <w:jc w:val="left"/>
            </w:pPr>
            <w:r>
              <w:rPr>
                <w:sz w:val="17"/>
              </w:rPr>
              <w:t>FedPark (Crowdsensing)</w:t>
            </w:r>
          </w:p>
        </w:tc>
        <w:tc>
          <w:tcPr>
            <w:tcW w:type="dxa" w:w="1440"/>
            <w:shd w:fill="F8FAFC"/>
            <w:tcMar>
              <w:top w:w="70" w:type="dxa"/>
              <w:bottom w:w="70" w:type="dxa"/>
              <w:left w:w="100" w:type="dxa"/>
              <w:right w:w="100" w:type="dxa"/>
            </w:tcMar>
          </w:tcPr>
          <w:p>
            <w:pPr>
              <w:jc w:val="left"/>
            </w:pPr>
            <w:r>
              <w:rPr>
                <w:sz w:val="17"/>
              </w:rPr>
              <w:t>Crowdsourced mobile logs</w:t>
            </w:r>
          </w:p>
        </w:tc>
        <w:tc>
          <w:tcPr>
            <w:tcW w:type="dxa" w:w="1512"/>
            <w:shd w:fill="F8FAFC"/>
            <w:tcMar>
              <w:top w:w="70" w:type="dxa"/>
              <w:bottom w:w="70" w:type="dxa"/>
              <w:left w:w="100" w:type="dxa"/>
              <w:right w:w="100" w:type="dxa"/>
            </w:tcMar>
          </w:tcPr>
          <w:p>
            <w:pPr>
              <w:jc w:val="center"/>
            </w:pPr>
            <w:r>
              <w:rPr>
                <w:sz w:val="17"/>
              </w:rPr>
              <w:t>Decentralized / private</w:t>
            </w:r>
          </w:p>
        </w:tc>
        <w:tc>
          <w:tcPr>
            <w:tcW w:type="dxa" w:w="1152"/>
            <w:shd w:fill="F8FAFC"/>
            <w:tcMar>
              <w:top w:w="70" w:type="dxa"/>
              <w:bottom w:w="70" w:type="dxa"/>
              <w:left w:w="100" w:type="dxa"/>
              <w:right w:w="100" w:type="dxa"/>
            </w:tcMar>
          </w:tcPr>
          <w:p>
            <w:pPr>
              <w:jc w:val="center"/>
            </w:pPr>
            <w:r>
              <w:rPr>
                <w:sz w:val="17"/>
              </w:rPr>
              <w:t>No</w:t>
            </w:r>
          </w:p>
        </w:tc>
        <w:tc>
          <w:tcPr>
            <w:tcW w:type="dxa" w:w="2160"/>
            <w:shd w:fill="F8FAFC"/>
            <w:tcMar>
              <w:top w:w="70" w:type="dxa"/>
              <w:bottom w:w="70" w:type="dxa"/>
              <w:left w:w="100" w:type="dxa"/>
              <w:right w:w="100" w:type="dxa"/>
            </w:tcMar>
          </w:tcPr>
          <w:p>
            <w:pPr>
              <w:jc w:val="left"/>
            </w:pPr>
            <w:r>
              <w:rPr>
                <w:sz w:val="17"/>
              </w:rPr>
              <w:t>On-street crowdsensing focus; lacks simple persistence and linear baselines</w:t>
            </w:r>
          </w:p>
        </w:tc>
      </w:tr>
      <w:tr>
        <w:tc>
          <w:tcPr>
            <w:tcW w:type="dxa" w:w="1512"/>
            <w:shd w:fill="FFFFFF"/>
            <w:tcMar>
              <w:top w:w="70" w:type="dxa"/>
              <w:bottom w:w="70" w:type="dxa"/>
              <w:left w:w="100" w:type="dxa"/>
              <w:right w:w="100" w:type="dxa"/>
            </w:tcMar>
          </w:tcPr>
          <w:p>
            <w:pPr>
              <w:jc w:val="center"/>
            </w:pPr>
            <w:r>
              <w:rPr>
                <w:sz w:val="17"/>
              </w:rPr>
              <w:t>Rocco di Torrepadula et al. (2025) [22]</w:t>
            </w:r>
          </w:p>
        </w:tc>
        <w:tc>
          <w:tcPr>
            <w:tcW w:type="dxa" w:w="1584"/>
            <w:shd w:fill="FFFFFF"/>
            <w:tcMar>
              <w:top w:w="70" w:type="dxa"/>
              <w:bottom w:w="70" w:type="dxa"/>
              <w:left w:w="100" w:type="dxa"/>
              <w:right w:w="100" w:type="dxa"/>
            </w:tcMar>
          </w:tcPr>
          <w:p>
            <w:pPr>
              <w:jc w:val="left"/>
            </w:pPr>
            <w:r>
              <w:rPr>
                <w:sz w:val="17"/>
              </w:rPr>
              <w:t>FedFlow (Personalized FL)</w:t>
            </w:r>
          </w:p>
        </w:tc>
        <w:tc>
          <w:tcPr>
            <w:tcW w:type="dxa" w:w="1440"/>
            <w:shd w:fill="FFFFFF"/>
            <w:tcMar>
              <w:top w:w="70" w:type="dxa"/>
              <w:bottom w:w="70" w:type="dxa"/>
              <w:left w:w="100" w:type="dxa"/>
              <w:right w:w="100" w:type="dxa"/>
            </w:tcMar>
          </w:tcPr>
          <w:p>
            <w:pPr>
              <w:jc w:val="left"/>
            </w:pPr>
            <w:r>
              <w:rPr>
                <w:sz w:val="17"/>
              </w:rPr>
              <w:t>Mobility passenger flows</w:t>
            </w:r>
          </w:p>
        </w:tc>
        <w:tc>
          <w:tcPr>
            <w:tcW w:type="dxa" w:w="1512"/>
            <w:shd w:fill="FFFFFF"/>
            <w:tcMar>
              <w:top w:w="70" w:type="dxa"/>
              <w:bottom w:w="70" w:type="dxa"/>
              <w:left w:w="100" w:type="dxa"/>
              <w:right w:w="100" w:type="dxa"/>
            </w:tcMar>
          </w:tcPr>
          <w:p>
            <w:pPr>
              <w:jc w:val="center"/>
            </w:pPr>
            <w:r>
              <w:rPr>
                <w:sz w:val="17"/>
              </w:rPr>
              <w:t>Decentralized / private</w:t>
            </w:r>
          </w:p>
        </w:tc>
        <w:tc>
          <w:tcPr>
            <w:tcW w:type="dxa" w:w="1152"/>
            <w:shd w:fill="FFFFFF"/>
            <w:tcMar>
              <w:top w:w="70" w:type="dxa"/>
              <w:bottom w:w="70" w:type="dxa"/>
              <w:left w:w="100" w:type="dxa"/>
              <w:right w:w="100" w:type="dxa"/>
            </w:tcMar>
          </w:tcPr>
          <w:p>
            <w:pPr>
              <w:jc w:val="center"/>
            </w:pPr>
            <w:r>
              <w:rPr>
                <w:sz w:val="17"/>
              </w:rPr>
              <w:t>No</w:t>
            </w:r>
          </w:p>
        </w:tc>
        <w:tc>
          <w:tcPr>
            <w:tcW w:type="dxa" w:w="2160"/>
            <w:shd w:fill="FFFFFF"/>
            <w:tcMar>
              <w:top w:w="70" w:type="dxa"/>
              <w:bottom w:w="70" w:type="dxa"/>
              <w:left w:w="100" w:type="dxa"/>
              <w:right w:w="100" w:type="dxa"/>
            </w:tcMar>
          </w:tcPr>
          <w:p>
            <w:pPr>
              <w:jc w:val="left"/>
            </w:pPr>
            <w:r>
              <w:rPr>
                <w:sz w:val="17"/>
              </w:rPr>
              <w:t>Passenger flow domain; lacks smart parking and local baseline analysis</w:t>
            </w:r>
          </w:p>
        </w:tc>
      </w:tr>
      <w:tr>
        <w:tc>
          <w:tcPr>
            <w:tcW w:type="dxa" w:w="1512"/>
            <w:shd w:fill="F8FAFC"/>
            <w:tcMar>
              <w:top w:w="70" w:type="dxa"/>
              <w:bottom w:w="70" w:type="dxa"/>
              <w:left w:w="100" w:type="dxa"/>
              <w:right w:w="100" w:type="dxa"/>
            </w:tcMar>
          </w:tcPr>
          <w:p>
            <w:pPr>
              <w:jc w:val="center"/>
            </w:pPr>
            <w:r>
              <w:rPr>
                <w:sz w:val="17"/>
              </w:rPr>
              <w:t>This Study (2026)</w:t>
            </w:r>
          </w:p>
        </w:tc>
        <w:tc>
          <w:tcPr>
            <w:tcW w:type="dxa" w:w="1584"/>
            <w:shd w:fill="F8FAFC"/>
            <w:tcMar>
              <w:top w:w="70" w:type="dxa"/>
              <w:bottom w:w="70" w:type="dxa"/>
              <w:left w:w="100" w:type="dxa"/>
              <w:right w:w="100" w:type="dxa"/>
            </w:tcMar>
          </w:tcPr>
          <w:p>
            <w:pPr>
              <w:jc w:val="left"/>
            </w:pPr>
            <w:r>
              <w:rPr>
                <w:sz w:val="17"/>
              </w:rPr>
              <w:t>Empirical FL &amp; Local Baselines</w:t>
            </w:r>
          </w:p>
        </w:tc>
        <w:tc>
          <w:tcPr>
            <w:tcW w:type="dxa" w:w="1440"/>
            <w:shd w:fill="F8FAFC"/>
            <w:tcMar>
              <w:top w:w="70" w:type="dxa"/>
              <w:bottom w:w="70" w:type="dxa"/>
              <w:left w:w="100" w:type="dxa"/>
              <w:right w:w="100" w:type="dxa"/>
            </w:tcMar>
          </w:tcPr>
          <w:p>
            <w:pPr>
              <w:jc w:val="left"/>
            </w:pPr>
            <w:r>
              <w:rPr>
                <w:sz w:val="17"/>
              </w:rPr>
              <w:t>Birmingham IoT (30 lots)</w:t>
            </w:r>
          </w:p>
        </w:tc>
        <w:tc>
          <w:tcPr>
            <w:tcW w:type="dxa" w:w="1512"/>
            <w:shd w:fill="F8FAFC"/>
            <w:tcMar>
              <w:top w:w="70" w:type="dxa"/>
              <w:bottom w:w="70" w:type="dxa"/>
              <w:left w:w="100" w:type="dxa"/>
              <w:right w:w="100" w:type="dxa"/>
            </w:tcMar>
          </w:tcPr>
          <w:p>
            <w:pPr>
              <w:jc w:val="center"/>
            </w:pPr>
            <w:r>
              <w:rPr>
                <w:sz w:val="17"/>
              </w:rPr>
              <w:t>Decentralized containment / Multi-operator governance</w:t>
            </w:r>
          </w:p>
        </w:tc>
        <w:tc>
          <w:tcPr>
            <w:tcW w:type="dxa" w:w="1152"/>
            <w:shd w:fill="F8FAFC"/>
            <w:tcMar>
              <w:top w:w="70" w:type="dxa"/>
              <w:bottom w:w="70" w:type="dxa"/>
              <w:left w:w="100" w:type="dxa"/>
              <w:right w:w="100" w:type="dxa"/>
            </w:tcMar>
          </w:tcPr>
          <w:p>
            <w:pPr>
              <w:jc w:val="center"/>
            </w:pPr>
            <w:r>
              <w:rPr>
                <w:sz w:val="17"/>
              </w:rPr>
              <w:t>Yes (Persistence + Local Linear)</w:t>
            </w:r>
          </w:p>
        </w:tc>
        <w:tc>
          <w:tcPr>
            <w:tcW w:type="dxa" w:w="2160"/>
            <w:shd w:fill="F8FAFC"/>
            <w:tcMar>
              <w:top w:w="70" w:type="dxa"/>
              <w:bottom w:w="70" w:type="dxa"/>
              <w:left w:w="100" w:type="dxa"/>
              <w:right w:w="100" w:type="dxa"/>
            </w:tcMar>
          </w:tcPr>
          <w:p>
            <w:pPr>
              <w:jc w:val="left"/>
            </w:pPr>
            <w:r>
              <w:rPr>
                <w:sz w:val="17"/>
              </w:rPr>
              <w:t>Single municipal dataset; within-day bilateral interpolation</w:t>
            </w:r>
          </w:p>
        </w:tc>
      </w:tr>
    </w:tbl>
    <w:p>
      <w:pPr>
        <w:spacing w:before="0" w:after="120" w:line="276" w:lineRule="auto"/>
        <w:jc w:val="both"/>
      </w:pPr>
    </w:p>
    <w:p>
      <w:pPr>
        <w:keepNext/>
        <w:spacing w:before="280" w:after="80"/>
      </w:pPr>
      <w:r>
        <w:rPr>
          <w:rFonts w:ascii="Times New Roman" w:hAnsi="Times New Roman"/>
          <w:b/>
          <w:color w:val="1F3864"/>
          <w:sz w:val="26"/>
        </w:rPr>
        <w:t>3. Methodology</w:t>
      </w:r>
    </w:p>
    <w:p>
      <w:pPr>
        <w:keepNext/>
        <w:spacing w:before="200" w:after="60"/>
      </w:pPr>
      <w:r>
        <w:rPr>
          <w:rFonts w:ascii="Times New Roman" w:hAnsi="Times New Roman"/>
          <w:b/>
          <w:color w:val="2F4F7F"/>
          <w:sz w:val="23"/>
        </w:rPr>
        <w:t>3.1 Municipal Dataset Audit and Physical Heterogeneity</w:t>
      </w:r>
    </w:p>
    <w:p>
      <w:pPr>
        <w:spacing w:before="0" w:after="100" w:line="276" w:lineRule="auto"/>
        <w:jc w:val="both"/>
      </w:pPr>
      <w:r>
        <w:rPr>
          <w:rFonts w:ascii="Times New Roman" w:hAnsi="Times New Roman"/>
          <w:sz w:val="22"/>
        </w:rPr>
        <w:t>Our empirical evaluation is conducted on the Birmingham municipal smart parking dataset [29], publicly hosted by the UCI Machine Learning Repository (DOI: 10.24432/C51K5Z). The dataset comprises 35,717 raw sensor observations recorded across 30 distinct off-street parking facilities in Birmingham, United Kingdom, spanning 73 calendar days from October 4, 2016 to December 19, 2016. Sensor recordings are absent on October 20–21 and December 3–4 due to municipal data collection outages.</w:t>
      </w:r>
    </w:p>
    <w:p>
      <w:pPr>
        <w:spacing w:before="0" w:after="100" w:line="276" w:lineRule="auto"/>
        <w:jc w:val="both"/>
      </w:pPr>
      <w:r>
        <w:rPr>
          <w:rFonts w:ascii="Times New Roman" w:hAnsi="Times New Roman"/>
          <w:sz w:val="22"/>
        </w:rPr>
        <w:t>A rigorous forensic audit of the raw dataset reveals substantial structural and operational heterogeneity across facilities:</w:t>
      </w:r>
    </w:p>
    <w:p>
      <w:pPr>
        <w:pStyle w:val="ListParagraph"/>
        <w:spacing w:before="40" w:after="40"/>
      </w:pPr>
      <w:r>
        <w:rPr>
          <w:b/>
        </w:rPr>
        <w:t xml:space="preserve">1. Capacity Disparity: </w:t>
      </w:r>
      <w:r>
        <w:t>Nominal parking capacities range from 220 bays (BHMEURBRD02) to 4,675 bays (Others-CCCPS133), with a mean nominal capacity of 1,397.6 bays across the 30 facilities. Seven major facilities exceed 1,912 bays, including Bull Ring (3,053 bays), NIA South (2,026 bays), and NIA Car Parks (2,026 bays).</w:t>
      </w:r>
    </w:p>
    <w:p>
      <w:pPr>
        <w:pStyle w:val="ListParagraph"/>
        <w:spacing w:before="40" w:after="40"/>
      </w:pPr>
      <w:r>
        <w:rPr>
          <w:b/>
        </w:rPr>
        <w:t xml:space="preserve">2. Discontinuous Operational Windows: </w:t>
      </w:r>
      <w:r>
        <w:t>While standard facilities provide ~1,190 raw readings across the 73 days, two facilities exhibit severe temporal truncation: BHMBRTARC01 contains only 88 raw readings (active across 5 days from Dec 15 to Dec 19), whereas NIA North contains only 162 readings (active across 9 days from Oct 4 to Oct 12).</w:t>
      </w:r>
    </w:p>
    <w:p>
      <w:pPr>
        <w:pStyle w:val="ListParagraph"/>
        <w:spacing w:before="40" w:after="40"/>
      </w:pPr>
      <w:r>
        <w:rPr>
          <w:b/>
        </w:rPr>
        <w:t xml:space="preserve">3. Sensor Polling Jitter &amp; Session Regularization: </w:t>
      </w:r>
      <w:r>
        <w:t>Raw sensor polling timestamps jitter around the nominal 30-minute intervals (e.g., 07:59:42, 09:32:46). Raw observations are regularized into 18 uniform daytime slots (08:00 to 16:30). Duplicate sensor timestamps within each session are deduplicated by retaining the initial valid transmission (keep='first'), followed by regularizing readings onto the uniform 18-slot daytime schedule (08:00 to 16:30). Incomplete lot-days with sparse readings (249 out of 1,988 lot-days) were regularized onto the continuous 18-slot daytime schedule using linear time interpolation bounded strictly within operating hours (08:00 to 16:30), avoiding any interpolation across nightly shutdown gaps.</w:t>
      </w:r>
    </w:p>
    <w:p>
      <w:pPr>
        <w:pStyle w:val="ListParagraph"/>
        <w:spacing w:before="40" w:after="80"/>
      </w:pPr>
      <w:r>
        <w:rPr>
          <w:b/>
        </w:rPr>
        <w:t xml:space="preserve">4. Sensor Anomaly Audit: </w:t>
      </w:r>
      <w:r>
        <w:t>We audited 12 negative occupancy counts at NIA North (minimum: -8 bays) and 373 readings where reported occupancy exceeded nominal capacity across 8 facilities. All values were strictly bounded to physical capacity, normalizing occupancy into valid availability ratios a_t in [0, 1].</w:t>
      </w:r>
    </w:p>
    <w:p>
      <w:pPr>
        <w:keepNext/>
        <w:spacing w:before="200" w:after="60"/>
      </w:pPr>
      <w:r>
        <w:rPr>
          <w:rFonts w:ascii="Times New Roman" w:hAnsi="Times New Roman"/>
          <w:b/>
          <w:color w:val="2F4F7F"/>
          <w:sz w:val="23"/>
        </w:rPr>
        <w:t>3.2 Sequence Windowing and Partition Protocol</w:t>
      </w:r>
    </w:p>
    <w:p>
      <w:pPr>
        <w:spacing w:before="0" w:after="100" w:line="276" w:lineRule="auto"/>
        <w:jc w:val="both"/>
      </w:pPr>
      <w:r>
        <w:rPr>
          <w:rFonts w:ascii="Times New Roman" w:hAnsi="Times New Roman"/>
          <w:sz w:val="22"/>
        </w:rPr>
        <w:t>To model temporal dynamics without data leakage across overnight facility closures (16:30 to 08:00 the following morning), sliding sequences are constructed strictly within each operational day. Let L denote the lookback sequence length and H denote the maximum forecast horizon. In our benchmark, L = 6 (3.0 hours of past history) and H = 2 (forecasting 30 minutes ahead, y_30, and 60 minutes ahead, y_60). Each valid sequence requires L + H = 8 consecutive 30-minute observations (4.0 hours duration).</w:t>
      </w:r>
    </w:p>
    <w:p>
      <w:pPr>
        <w:spacing w:before="0" w:after="100" w:line="276" w:lineRule="auto"/>
        <w:jc w:val="both"/>
      </w:pPr>
      <w:r>
        <w:rPr>
          <w:rFonts w:ascii="Times New Roman" w:hAnsi="Times New Roman"/>
          <w:sz w:val="22"/>
        </w:rPr>
        <w:t>Across the 30 parking facilities, there are exactly 1,988 active facility-days. Following session regularization onto the uniform 18-slot daytime schedule, each complete operating day yields exactly 18 - (6 + 2) + 1 = 11 sliding sequence windows. Because windows are strictly confined within single daytime operating sessions, exactly 1,988 x 11 = 21,868 valid temporal sequences are generated across the entire testbed.</w:t>
      </w:r>
    </w:p>
    <w:p>
      <w:pPr>
        <w:spacing w:before="0" w:after="100" w:line="276" w:lineRule="auto"/>
        <w:jc w:val="both"/>
      </w:pPr>
      <w:r>
        <w:rPr>
          <w:rFonts w:ascii="Times New Roman" w:hAnsi="Times New Roman"/>
          <w:sz w:val="22"/>
        </w:rPr>
        <w:t>Crucially, to prevent target overlap across evaluation partitions, an embargo / purge gap of one sequence window (g = 1) was enforced at the train/validation and validation/test boundaries per facility along each facility's active operational timeline. Formally, for a sequence window starting at time step t_k, the six input observations span [t_k, t_k+5], while the two forecast targets are located at relative indices y_30 = t_k+6 and y_60 = t_k+7. For each facility i generating N_i chronological sliding windows, the training partition spans indices [0, floor(0.70 N_i)), ending with window k = floor(0.70 N_i) - 1 whose final target is at t_k+7. The subsequent boundary transition window at index floor(0.70 N_i) (starting at t_{k+1}) is purged. Consequently, the first window of the subsequent validation partition begins at index floor(0.70 N_i) + 1 (starting at t_{k+2}), so its earliest forecast target y_30 occurs at relative index (t_k+2) + 6 = t_k+8. Because t_k+8 &gt; t_k+7, the latest target of the preceding partition strictly precedes the earliest target of the subsequent partition, mathematically eliminating label overlap between adjacent partitions. An identical purge gap is enforced at the validation/test boundary at index floor(0.85 N_i). Across all 30 clients, this produces exactly 15,299 training windows (70.15%), 3,246 validation windows (14.88%), and 3,263 unified test windows (14.96%), with exactly 60 boundary transition windows purged across the 21,868 total sliding sequences. The resulting test set exhibits a sample-weighted mean capacity of 1,396.8 bays.</w:t>
      </w:r>
    </w:p>
    <w:p>
      <w:pPr>
        <w:spacing w:before="0" w:after="100" w:line="276" w:lineRule="auto"/>
        <w:jc w:val="both"/>
      </w:pPr>
      <w:r>
        <w:rPr>
          <w:rFonts w:ascii="Times New Roman" w:hAnsi="Times New Roman"/>
          <w:sz w:val="22"/>
        </w:rPr>
        <w:t>Each input observation vector x_t in R^4 concatenates the continuous availability ratio a_t with cyclical diurnal hour embeddings and normalized day of the week:</w:t>
      </w:r>
    </w:p>
    <w:p>
      <w:pPr>
        <w:spacing w:before="80" w:after="80"/>
        <w:jc w:val="both"/>
      </w:pPr>
      <w:r>
        <w:rPr>
          <w:rFonts w:ascii="Times New Roman" w:hAnsi="Times New Roman"/>
          <w:i/>
          <w:sz w:val="22"/>
        </w:rPr>
        <w:tab/>
        <w:t>x_t = \left[ a_t, \; \sin\left(\frac{2\pi h_t}{24}\right), \; \cos\left(\frac{2\pi h_t}{24}\right), \; \frac{d_t}{7} \right]^T</w:t>
        <w:tab/>
      </w:r>
      <w:r>
        <w:rPr>
          <w:rFonts w:ascii="Times New Roman" w:hAnsi="Times New Roman"/>
          <w:sz w:val="22"/>
        </w:rPr>
        <w:t>(1)</w:t>
      </w:r>
    </w:p>
    <w:p>
      <w:pPr>
        <w:spacing w:before="0" w:after="100" w:line="276" w:lineRule="auto"/>
        <w:jc w:val="both"/>
      </w:pPr>
      <w:r>
        <w:rPr>
          <w:rFonts w:ascii="Times New Roman" w:hAnsi="Times New Roman"/>
          <w:sz w:val="22"/>
        </w:rPr>
        <w:t>where a_t in [0, 1] is the continuous availability ratio, h_t in [8.0, 16.5] is the daytime hour, and d_t in {0, ..., 6} represents the day of the week (normalized by 7.0).</w:t>
      </w:r>
    </w:p>
    <w:p>
      <w:pPr>
        <w:keepNext/>
        <w:spacing w:before="200" w:after="60"/>
      </w:pPr>
      <w:r>
        <w:rPr>
          <w:rFonts w:ascii="Times New Roman" w:hAnsi="Times New Roman"/>
          <w:b/>
          <w:color w:val="2F4F7F"/>
          <w:sz w:val="23"/>
        </w:rPr>
        <w:t>3.2.1 Data Leakage Audit and Empirical Sensitivity Analysis</w:t>
      </w:r>
    </w:p>
    <w:p>
      <w:pPr>
        <w:spacing w:before="0" w:after="100" w:line="276" w:lineRule="auto"/>
        <w:jc w:val="both"/>
      </w:pPr>
      <w:r>
        <w:rPr>
          <w:rFonts w:ascii="Times New Roman" w:hAnsi="Times New Roman"/>
          <w:sz w:val="22"/>
        </w:rPr>
        <w:t>A critical methodological consideration in IoT time series forecasting is evaluating the potential for predictive lookahead leakage. In our preprocessing pipeline, we institute three structural boundaries to control and mitigate temporal information contamination:</w:t>
      </w:r>
    </w:p>
    <w:p>
      <w:pPr>
        <w:pStyle w:val="ListParagraph"/>
        <w:spacing w:before="40" w:after="40"/>
      </w:pPr>
      <w:r>
        <w:rPr>
          <w:b/>
        </w:rPr>
        <w:t xml:space="preserve">1. Intra-Session Day Bounding: </w:t>
      </w:r>
      <w:r>
        <w:t>Linear time interpolation for missing daytime readings is executed strictly within each single calendar day between 08:00 and 16:30 using valid sensor readings on both sides of a gap. Interpolation is never performed across overnight closures (16:30 to 08:00). Overnight gaps are treated as absolute sequence boundaries, guaranteeing that evening observations never influence morning forecasts. However, an inherent limitation of bilateral interpolation is that it uses subsequent observations within the same calendar day to impute earlier missing slots; hence, within sparse daytime sessions, imputed features at step t theoretically incorporate within-day future readings that would not have been available in real-time streaming operations.</w:t>
      </w:r>
    </w:p>
    <w:p>
      <w:pPr>
        <w:pStyle w:val="ListParagraph"/>
        <w:spacing w:before="40" w:after="40"/>
      </w:pPr>
      <w:r>
        <w:rPr>
          <w:b/>
        </w:rPr>
        <w:t xml:space="preserve">2. Chronological Timeline Partitioning with Embargo Purge Gaps: </w:t>
      </w:r>
      <w:r>
        <w:t>To strictly isolate evaluation partitions, the 70% train, 15% validation, and 15% test split is executed chronologically along each facility's active operational timeline at the sequence-window level, separated by an embargo/purge gap (g = 1 sequence window) at each boundary. This ensures that the forecast targets of training windows (up to y_60 at t+7) never overlap with validation targets, and validation targets never overlap with test targets. Because training sequences strictly precede validation sequences, which strictly precede test sequences, no test-period data can influence model training or hyperparameter selection.</w:t>
      </w:r>
    </w:p>
    <w:p>
      <w:pPr>
        <w:pStyle w:val="ListParagraph"/>
        <w:spacing w:before="40" w:after="40"/>
      </w:pPr>
      <w:r>
        <w:rPr>
          <w:b/>
        </w:rPr>
        <w:t xml:space="preserve">3. Causal Sequence Directionality: </w:t>
      </w:r>
      <w:r>
        <w:t>Within each sliding sequence window (x_{t-5}, ..., x_t), input features reflect strictly past observations up to current time t, while forecast targets y_{t+1} (30-min ahead) and y_{t+2} (60-min ahead) reside strictly at future time steps.</w:t>
      </w:r>
    </w:p>
    <w:p>
      <w:pPr>
        <w:spacing w:before="0" w:after="100" w:line="276" w:lineRule="auto"/>
        <w:jc w:val="both"/>
      </w:pPr>
      <w:r>
        <w:rPr>
          <w:rFonts w:ascii="Times New Roman" w:hAnsi="Times New Roman"/>
          <w:sz w:val="22"/>
        </w:rPr>
        <w:t>To evaluate the practical empirical impact of intra-day interpolation on model performance, we audited all 3,263 purged test sequence windows across the 30 facilities. This forensic audit revealed that 2,781 test windows (85.2%) are completely uninterpolated—every single one of the 8 constituent time steps corresponds to an authentic, un-imputed physical sensor transmission. Only 482 windows (14.8%) contain one or more interpolated daytime slots. We conducted a sensitivity analysis evaluating model accuracy on the pure uninterpolated test subset versus the complete 3,263-window test set. Centralized Attention-LSTM achieved an MAE of 0.02196 (rounded to 0.0220) on the pure raw subset versus 0.02170 (rounded to 0.0217) on the full test set—an unrounded difference of +0.00026, or ~0.3 bays. Global FedAvg achieved an MAE of 0.1022 (0.102) on the pure raw subset versus 0.1006 (0.101) on the full test set (+0.0016 difference), while Personalized FedAvg achieved 0.0636 versus 0.0607, a difference of +0.0029. Similarly, Local Linear AR(4) achieved 0.0128 versus 0.0126. Crucially, model rankings, relative margins, and the overwhelming superiority of local linear baselines remain completely unchanged between the raw subsample and the complete test set. We emphasize that this empirical sensitivity analysis does not prove the complete absence of lookahead bias across imputed time steps. Rather, it provides strong empirical evidence that our core benchmark findings—namely, the superiority of local linear models, the under-training of FedAvg, and the relative recovery achieved via personalization—are robust, stable, and not artifacts of daytime linear interpolation.</w:t>
      </w:r>
    </w:p>
    <w:p>
      <w:pPr>
        <w:keepNext/>
        <w:spacing w:before="200" w:after="60"/>
      </w:pPr>
      <w:r>
        <w:rPr>
          <w:rFonts w:ascii="Times New Roman" w:hAnsi="Times New Roman"/>
          <w:b/>
          <w:color w:val="2F4F7F"/>
          <w:sz w:val="23"/>
        </w:rPr>
        <w:t>3.3 Model Architecture: A Lightweight Recurrent Backbone</w:t>
      </w:r>
    </w:p>
    <w:p>
      <w:pPr>
        <w:spacing w:before="0" w:after="100" w:line="276" w:lineRule="auto"/>
        <w:jc w:val="both"/>
      </w:pPr>
      <w:r>
        <w:rPr>
          <w:rFonts w:ascii="Times New Roman" w:hAnsi="Times New Roman"/>
          <w:sz w:val="22"/>
        </w:rPr>
        <w:t>We implement an Attention-Based Long Short-Term Memory (Attention-LSTM) network formulated as a lightweight, edge-compatible architecture. The recurrent backbone consists of a 2-layer LSTM [24] with hidden dimension d_h = 64. At each historical step t in {1, ..., L}, the LSTM computes hidden state h_t in R^{64} and cell state c_t in R^{64}.</w:t>
      </w:r>
    </w:p>
    <w:p>
      <w:pPr>
        <w:spacing w:before="0" w:after="100" w:line="276" w:lineRule="auto"/>
        <w:jc w:val="both"/>
      </w:pPr>
      <w:r>
        <w:rPr>
          <w:rFonts w:ascii="Times New Roman" w:hAnsi="Times New Roman"/>
          <w:sz w:val="22"/>
        </w:rPr>
        <w:t>To allow the network to selectively emphasize critical rapid-transition intervals (such as morning ingress spikes and evening departures), we integrate a temporal self-attention mechanism over the sequence of hidden representations. Alignment scores e_t in R for each historical time step t are computed via a two-layer feedforward projection with hyperbolic tangent activation:</w:t>
      </w:r>
    </w:p>
    <w:p>
      <w:pPr>
        <w:spacing w:before="80" w:after="80"/>
        <w:jc w:val="both"/>
      </w:pPr>
      <w:r>
        <w:rPr>
          <w:rFonts w:ascii="Times New Roman" w:hAnsi="Times New Roman"/>
          <w:i/>
          <w:sz w:val="22"/>
        </w:rPr>
        <w:tab/>
        <w:t>e_t = w_a^T \tanh(W_a h_t + b_a) + b_s</w:t>
        <w:tab/>
      </w:r>
      <w:r>
        <w:rPr>
          <w:rFonts w:ascii="Times New Roman" w:hAnsi="Times New Roman"/>
          <w:sz w:val="22"/>
        </w:rPr>
        <w:t>(2)</w:t>
      </w:r>
    </w:p>
    <w:p>
      <w:pPr>
        <w:spacing w:before="0" w:after="100" w:line="276" w:lineRule="auto"/>
        <w:jc w:val="both"/>
      </w:pPr>
      <w:r>
        <w:rPr>
          <w:rFonts w:ascii="Times New Roman" w:hAnsi="Times New Roman"/>
          <w:sz w:val="22"/>
        </w:rPr>
        <w:t>where W_a in R^{32 x 64}, b_a in R^{32}, w_a in R^{32}, and b_s in R (totaling 2,113 parameters). The scalar alignment scores e_t are normalized across all lookback time steps using a softmax operator to yield attention weights \alpha_t:</w:t>
      </w:r>
    </w:p>
    <w:p>
      <w:pPr>
        <w:spacing w:before="80" w:after="80"/>
        <w:jc w:val="both"/>
      </w:pPr>
      <w:r>
        <w:rPr>
          <w:rFonts w:ascii="Times New Roman" w:hAnsi="Times New Roman"/>
          <w:i/>
          <w:sz w:val="22"/>
        </w:rPr>
        <w:tab/>
        <w:t>\alpha_t = \frac{\exp(e_t)}{\sum_{\tau=1}^L \exp(e_\tau)}, \quad \sum_{t=1}^L \alpha_t = 1</w:t>
        <w:tab/>
      </w:r>
      <w:r>
        <w:rPr>
          <w:rFonts w:ascii="Times New Roman" w:hAnsi="Times New Roman"/>
          <w:sz w:val="22"/>
        </w:rPr>
        <w:t>(3)</w:t>
      </w:r>
    </w:p>
    <w:p>
      <w:pPr>
        <w:spacing w:before="0" w:after="100" w:line="276" w:lineRule="auto"/>
        <w:jc w:val="both"/>
      </w:pPr>
      <w:r>
        <w:rPr>
          <w:rFonts w:ascii="Times New Roman" w:hAnsi="Times New Roman"/>
          <w:sz w:val="22"/>
        </w:rPr>
        <w:t>The dynamic temporal context vector c in R^{64} is computed as the attention-weighted linear sum of all historical hidden states:</w:t>
      </w:r>
    </w:p>
    <w:p>
      <w:pPr>
        <w:spacing w:before="80" w:after="80"/>
        <w:jc w:val="both"/>
      </w:pPr>
      <w:r>
        <w:rPr>
          <w:rFonts w:ascii="Times New Roman" w:hAnsi="Times New Roman"/>
          <w:i/>
          <w:sz w:val="22"/>
        </w:rPr>
        <w:tab/>
        <w:t>c = \sum_{t=1}^L \alpha_t h_t</w:t>
        <w:tab/>
      </w:r>
      <w:r>
        <w:rPr>
          <w:rFonts w:ascii="Times New Roman" w:hAnsi="Times New Roman"/>
          <w:sz w:val="22"/>
        </w:rPr>
        <w:t>(4)</w:t>
      </w:r>
    </w:p>
    <w:p>
      <w:pPr>
        <w:spacing w:before="0" w:after="100" w:line="276" w:lineRule="auto"/>
        <w:jc w:val="both"/>
      </w:pPr>
      <w:r>
        <w:rPr>
          <w:rFonts w:ascii="Times New Roman" w:hAnsi="Times New Roman"/>
          <w:sz w:val="22"/>
        </w:rPr>
        <w:t>The context vector is concatenated with the final hidden state [c; h_L] in R^{128} and projected through a multi-layer perceptron (MLP) output head consisting of a dense linear layer (128 -&gt; 32 units), ReLU activation, dropout (p = 0.2), a second linear projection (32 -&gt; 1 unit), and a final sigmoid activation to enforce availability ratio bounds in [0, 1]:</w:t>
      </w:r>
    </w:p>
    <w:p>
      <w:pPr>
        <w:spacing w:before="80" w:after="80"/>
        <w:jc w:val="both"/>
      </w:pPr>
      <w:r>
        <w:rPr>
          <w:rFonts w:ascii="Times New Roman" w:hAnsi="Times New Roman"/>
          <w:i/>
          <w:sz w:val="22"/>
        </w:rPr>
        <w:tab/>
        <w:t>z = \text{ReLU}(W_1 [c; h_L] + b_1), \quad \hat{y} = \sigma(w_2^T z + b_2)</w:t>
        <w:tab/>
      </w:r>
      <w:r>
        <w:rPr>
          <w:rFonts w:ascii="Times New Roman" w:hAnsi="Times New Roman"/>
          <w:sz w:val="22"/>
        </w:rPr>
        <w:t>(5)</w:t>
      </w:r>
    </w:p>
    <w:p>
      <w:pPr>
        <w:spacing w:before="0" w:after="100" w:line="276" w:lineRule="auto"/>
        <w:jc w:val="both"/>
      </w:pPr>
      <w:r>
        <w:rPr>
          <w:rFonts w:ascii="Times New Roman" w:hAnsi="Times New Roman"/>
          <w:sz w:val="22"/>
        </w:rPr>
        <w:t>where W_1 in R^{32 x 128}, b_1 in R^{32}, w_2 in R^{32}, and b_2 in R. Across the 2-layer LSTM backbone (51,200 parameters), the temporal attention mechanism (2,113 parameters), and the output MLP head (4,161 parameters), the Attention-LSTM network contains exactly 57,474 trainable float32 parameters, corresponding to exactly 229,896 bytes (224.51 KiB in binary units, or 229.90 KB in decimal units).</w:t>
      </w:r>
    </w:p>
    <w:p>
      <w:pPr>
        <w:jc w:val="center"/>
      </w:pPr>
      <w:r>
        <w:drawing>
          <wp:inline xmlns:a="http://schemas.openxmlformats.org/drawingml/2006/main" xmlns:pic="http://schemas.openxmlformats.org/drawingml/2006/picture">
            <wp:extent cx="5669280" cy="3049025"/>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669280" cy="3049025"/>
                    </a:xfrm>
                    <a:prstGeom prst="rect"/>
                  </pic:spPr>
                </pic:pic>
              </a:graphicData>
            </a:graphic>
          </wp:inline>
        </w:drawing>
      </w:r>
    </w:p>
    <w:p>
      <w:pPr>
        <w:spacing w:before="120" w:after="80"/>
        <w:jc w:val="center"/>
      </w:pPr>
      <w:r>
        <w:rPr>
          <w:rFonts w:ascii="Times New Roman" w:hAnsi="Times New Roman"/>
          <w:b/>
          <w:sz w:val="19"/>
        </w:rPr>
        <w:t xml:space="preserve">Figure </w:t>
      </w:r>
      <w:r>
        <w:rPr>
          <w:rFonts w:ascii="Times New Roman" w:hAnsi="Times New Roman"/>
          <w:i w:val="0"/>
          <w:sz w:val="19"/>
        </w:rPr>
        <w:t>1. Architecture of the Federated Attention-LSTM Framework across 30 Heterogeneous Municipal Parking Lots.</w:t>
      </w:r>
    </w:p>
    <w:p>
      <w:pPr>
        <w:keepNext/>
        <w:spacing w:before="200" w:after="60"/>
      </w:pPr>
      <w:r>
        <w:rPr>
          <w:rFonts w:ascii="Times New Roman" w:hAnsi="Times New Roman"/>
          <w:b/>
          <w:color w:val="2F4F7F"/>
          <w:sz w:val="23"/>
        </w:rPr>
        <w:t>3.4 The Baseline Hierarchy: Constructing the Personalization Ladder</w:t>
      </w:r>
    </w:p>
    <w:p>
      <w:pPr>
        <w:spacing w:before="0" w:after="100" w:line="276" w:lineRule="auto"/>
        <w:jc w:val="both"/>
      </w:pPr>
      <w:r>
        <w:rPr>
          <w:rFonts w:ascii="Times New Roman" w:hAnsi="Times New Roman"/>
          <w:sz w:val="22"/>
        </w:rPr>
        <w:t>To rigorously assess when federation adds value, we implement the complete baseline hierarchy:</w:t>
      </w:r>
    </w:p>
    <w:p>
      <w:pPr>
        <w:pStyle w:val="ListParagraph"/>
        <w:spacing w:before="40" w:after="40"/>
      </w:pPr>
      <w:r>
        <w:rPr>
          <w:b/>
        </w:rPr>
        <w:t xml:space="preserve">1. Zero-Parameter Persistence Baseline: </w:t>
      </w:r>
      <w:r>
        <w:t>Predicts that availability at horizon t+h equals the current observed availability: y_hat_{t+h} = a_t. Requires zero training, zero compute, and zero communication, establishing the fundamental operational floor.</w:t>
      </w:r>
    </w:p>
    <w:p>
      <w:pPr>
        <w:pStyle w:val="ListParagraph"/>
        <w:spacing w:before="40" w:after="40"/>
      </w:pPr>
      <w:r>
        <w:rPr>
          <w:b/>
        </w:rPr>
        <w:t xml:space="preserve">2. Local-Only Linear AR(4) Baseline (Local Isolation): </w:t>
      </w:r>
      <w:r>
        <w:t>Each client independently fits an autoregressive linear ridge regression model on its own past 4 availability observations (a_{t-3}, ..., a_t) plus an intercept term (5 fitted parameters per facility). Employs strictly local data with zero cross-lot communication, eliminating cross-facility data sharing, avoiding centralized exposure of raw telemetry, and incurring zero infrastructure overhead.</w:t>
      </w:r>
    </w:p>
    <w:p>
      <w:pPr>
        <w:pStyle w:val="ListParagraph"/>
        <w:spacing w:before="40" w:after="40"/>
      </w:pPr>
      <w:r>
        <w:rPr>
          <w:b/>
        </w:rPr>
        <w:t xml:space="preserve">3. Pooled Centralized Linear AR(4) Baseline: </w:t>
      </w:r>
      <w:r>
        <w:t>A single global 5-parameter linear autoregressive model (4 lag coefficients plus intercept) trained across all pooled multi-lot training observations.</w:t>
      </w:r>
    </w:p>
    <w:p>
      <w:pPr>
        <w:pStyle w:val="ListParagraph"/>
        <w:spacing w:before="40" w:after="40"/>
      </w:pPr>
      <w:r>
        <w:rPr>
          <w:b/>
        </w:rPr>
        <w:t xml:space="preserve">4. Centralized Gradient Boosted Trees (XGBoost): </w:t>
      </w:r>
      <w:r>
        <w:t>An ensemble of gradient boosted regression trees [4] trained on flattened lookback feature vectors across the pooled multi-lot dataset (100 estimators, max depth 5, learning rate 0.05).</w:t>
      </w:r>
    </w:p>
    <w:p>
      <w:pPr>
        <w:pStyle w:val="ListParagraph"/>
        <w:spacing w:before="40" w:after="40"/>
      </w:pPr>
      <w:r>
        <w:rPr>
          <w:b/>
        </w:rPr>
        <w:t xml:space="preserve">5. Centralized Standard LSTM &amp; Attention-LSTM: </w:t>
      </w:r>
      <w:r>
        <w:t>Deep recurrent architectures trained centrally for 30 epochs on 15,299 pooled sequences using Adam optimization (learning rate 0.001, batch size 32).</w:t>
      </w:r>
    </w:p>
    <w:p>
      <w:pPr>
        <w:pStyle w:val="ListParagraph"/>
        <w:spacing w:before="40" w:after="40"/>
      </w:pPr>
      <w:r>
        <w:rPr>
          <w:b/>
        </w:rPr>
        <w:t xml:space="preserve">6. Global Federated Averaging (FedAvg): </w:t>
      </w:r>
      <w:r>
        <w:t>Decentralized training across 30 clients coordinated over R = 8 communication rounds. In each round, all clients train locally for E = 2 epochs on private data (batch size B = 32, Adam learning rate 0.001). The central server aggregates updates using sample-weighted FedAvg [7].</w:t>
      </w:r>
    </w:p>
    <w:p>
      <w:pPr>
        <w:pStyle w:val="ListParagraph"/>
        <w:spacing w:before="40" w:after="40"/>
      </w:pPr>
      <w:r>
        <w:rPr>
          <w:b/>
        </w:rPr>
        <w:t xml:space="preserve">7. IID-Shuffled Federated Control: </w:t>
      </w:r>
      <w:r>
        <w:t>To isolate under-training from non-IID drift, the combined multi-lot training set is randomly partitioned into 30 approximately equal-sized IID client partitions, trained under identical parameters (R = 8, E = 2, B = 32).</w:t>
      </w:r>
    </w:p>
    <w:p>
      <w:pPr>
        <w:pStyle w:val="ListParagraph"/>
        <w:spacing w:before="40" w:after="40"/>
      </w:pPr>
      <w:r>
        <w:rPr>
          <w:b/>
        </w:rPr>
        <w:t xml:space="preserve">8. Advanced Federated Paradigms (FedProx &amp; FedPer): </w:t>
      </w:r>
      <w:r>
        <w:t>We evaluate FedProx [19] with proximal constraint weight mu = 0.01, and FedPer [21] where the Attention-LSTM representation is federated while the classification head is maintained as private local parameters.</w:t>
      </w:r>
    </w:p>
    <w:p>
      <w:pPr>
        <w:pStyle w:val="ListParagraph"/>
        <w:spacing w:before="40" w:after="80"/>
      </w:pPr>
      <w:r>
        <w:rPr>
          <w:b/>
        </w:rPr>
        <w:t xml:space="preserve">9. Personalized FedAvg (Local Adaptation): </w:t>
      </w:r>
      <w:r>
        <w:t>Each client takes the aggregated global FedAvg model at round 8 and performs localized fine-tuning on its private training partition for 3 epochs using a reduced learning rate eta_{ft} = 0.0003, adapting weights to lot-specific baseline occupancies.</w:t>
      </w:r>
    </w:p>
    <w:p>
      <w:pPr>
        <w:keepNext/>
        <w:spacing w:before="200" w:after="60"/>
      </w:pPr>
      <w:r>
        <w:rPr>
          <w:rFonts w:ascii="Times New Roman" w:hAnsi="Times New Roman"/>
          <w:b/>
          <w:color w:val="2F4F7F"/>
          <w:sz w:val="23"/>
        </w:rPr>
        <w:t>3.5 Compute Accounting: Disentangling Optimization Budgets from Heterogeneity</w:t>
      </w:r>
    </w:p>
    <w:p>
      <w:pPr>
        <w:spacing w:before="0" w:after="100" w:line="276" w:lineRule="auto"/>
        <w:jc w:val="both"/>
      </w:pPr>
      <w:r>
        <w:rPr>
          <w:rFonts w:ascii="Times New Roman" w:hAnsi="Times New Roman"/>
          <w:sz w:val="22"/>
        </w:rPr>
        <w:t>A critical consideration in interpreting federated empirical benchmarks is the disparity in cumulative gradient steps between centralized and federated configurations. In our setup, the centralized Attention-LSTM is trained for 30 epochs on 15,299 pooled sequences with batch size 32, executing exactly 30 × ceil(15,299 / 32) = 30 × 479 = 14,370 Adam gradient updates. In contrast, under standard FedAvg with R = 8 rounds and E = 2 local epochs per round, training is partitioned across the 30 municipal facilities. Because physical facility capacities and recorded telemetry vary (ranging from 38 training sequences at the smallest lot to 562 at the largest), the number of mini-batches per epoch varies between 2 and 18 across clients, summing to exactly 493 batches per epoch across the federation. Across 8 rounds (16 local epochs per client), the federation executes a system-wide total of 7,888 client-side optimizer updates (493 × 16), which corresponds to an average of 262.9 (approximately 263) updates per client (ranging from 32 to 288 updates across facilities), representing 54.9% of the 14,370 updates executed by the centralized model. (An idealized client with exactly 16 batches per epoch executes 256 updates over 8 rounds).</w:t>
      </w:r>
    </w:p>
    <w:p>
      <w:pPr>
        <w:spacing w:before="0" w:after="100" w:line="276" w:lineRule="auto"/>
        <w:jc w:val="both"/>
      </w:pPr>
      <w:r>
        <w:rPr>
          <w:rFonts w:ascii="Times New Roman" w:hAnsi="Times New Roman"/>
          <w:sz w:val="22"/>
        </w:rPr>
        <w:t>In the IID-shuffled control experiment, the 15,299 pooled sequences are randomly permuted and sliced into 29 partitions of 509 sequences and 1 partition of 538 sequences. At batch size 32, the 29 partitions of 509 sequences each yield ceil(509 / 32) = 16 batches per epoch, while the 30th partition yields ceil(538 / 32) = 17 batches per epoch, summing to 481 batches per epoch across the 30 clients. Across 8 rounds (16 local epochs), the IID control executes exactly 481 × 16 = 7,696 client updates (averaging 256.5 updates per client), representing 53.6% of centralized compute volume. For Personalized FedAvg, base 8-round federated training executes the standard 7,888 updates, followed by 3 local fine-tuning epochs on each client's private training set. These 3 fine-tuning epochs execute an additional 493 × 3 = 1,479 client updates across the federation (~49.3 updates per client), bringing the cumulative total for Personalized FedAvg to 9,367 optimizer updates (averaging 312.2 updates per client; 65.2% of centralized compute).</w:t>
      </w:r>
    </w:p>
    <w:p>
      <w:pPr>
        <w:spacing w:before="0" w:after="100" w:line="276" w:lineRule="auto"/>
        <w:jc w:val="both"/>
      </w:pPr>
      <w:r>
        <w:rPr>
          <w:rFonts w:ascii="Times New Roman" w:hAnsi="Times New Roman"/>
          <w:sz w:val="22"/>
        </w:rPr>
        <w:t>To evaluate performance when compute starvation is mitigated, we scale federated training to R = 15 rounds (E = 2, B = 32), totaling 14,790 cumulative client updates for non-IID FedAvg (493 × 30, averaging 493.0 updates per client, 102.9% of centralized compute) and 14,430 updates for the IID-shuffled control (481 × 30, averaging 481.0 updates per client, 100.4% of centralized compute). Personalized FedAvg under this 15-round regime executes 14,790 base updates plus 1,479 fine-tuning updates, totaling 16,269 updates (averaging 542.3 updates per client, 113.2% of centralized compute). We note that optimizer-update counts serve as a pragmatic compute proxy rather than proof of identical optimization dynamics, as decentralized client drift, localized mini-batches, and periodic parameter averaging induce distinct loss landscape trajectories. Under the eight-round communication-constrained protocol, the difference between non-IID FedAvg and the IID-shuffled control corresponds to 35.8% of the overall gap between non-IID FedAvg and the centralized benchmark. The remaining 64.2% is the IID-shuffled-to-centralized residual, which is consistent with optimization under-training but cannot be attributed to under-training alone. Extending rounds to the approximately matched 15-round budget shifts this balance, where the observed difference associated with non-IID versus IID-shuffled configurations accounts for 73.9% of the remaining deficit once compute starvation is mitigated (Section 4.2 and Section 5.2). Because FedAvg test error improves gradually when communication rounds are extended, strict round limits impose substantial optimization friction on decentralized convergence.</w:t>
      </w:r>
    </w:p>
    <w:p>
      <w:pPr>
        <w:keepNext/>
        <w:spacing w:before="280" w:after="80"/>
      </w:pPr>
      <w:r>
        <w:rPr>
          <w:rFonts w:ascii="Times New Roman" w:hAnsi="Times New Roman"/>
          <w:b/>
          <w:color w:val="1F3864"/>
          <w:sz w:val="26"/>
        </w:rPr>
        <w:t>4. Experimental Results</w:t>
      </w:r>
    </w:p>
    <w:p>
      <w:pPr>
        <w:keepNext/>
        <w:spacing w:before="200" w:after="60"/>
      </w:pPr>
      <w:r>
        <w:rPr>
          <w:rFonts w:ascii="Times New Roman" w:hAnsi="Times New Roman"/>
          <w:b/>
          <w:color w:val="2F4F7F"/>
          <w:sz w:val="23"/>
        </w:rPr>
        <w:t>4.1 Comprehensive Multi-Horizon Benchmark</w:t>
      </w:r>
    </w:p>
    <w:p>
      <w:pPr>
        <w:spacing w:before="0" w:after="100" w:line="276" w:lineRule="auto"/>
        <w:jc w:val="both"/>
      </w:pPr>
      <w:r>
        <w:rPr>
          <w:rFonts w:ascii="Times New Roman" w:hAnsi="Times New Roman"/>
          <w:sz w:val="22"/>
        </w:rPr>
        <w:t>All eight forecasting paradigms were evaluated on the 3,263 unified test sequences across all 30 parking facilities. Evaluation metrics include Pooled Mean Absolute Error (Micro MAE), Pooled Root Mean Squared Error (Micro RMSE), Macro Mean MAE (unweighted average across lots), Between-Lot Standard Deviation (sigma), and Mean Physical Space Error (in bays). Physical space error is computed by scaling prediction residuals against each facility's true nominal capacity C_i: e_{space} = |y_t - \hat{y}_t| x C_i. Table 2 presents the complete benchmark across both 30-minute and 60-minute lookahead horizons.</w:t>
      </w:r>
    </w:p>
    <w:p>
      <w:pPr>
        <w:spacing w:before="120" w:after="80"/>
        <w:jc w:val="center"/>
      </w:pPr>
      <w:r>
        <w:rPr>
          <w:rFonts w:ascii="Times New Roman" w:hAnsi="Times New Roman"/>
          <w:b/>
          <w:sz w:val="19"/>
        </w:rPr>
        <w:t xml:space="preserve">Table </w:t>
      </w:r>
      <w:r>
        <w:rPr>
          <w:rFonts w:ascii="Times New Roman" w:hAnsi="Times New Roman"/>
          <w:i w:val="0"/>
          <w:sz w:val="19"/>
        </w:rPr>
        <w:t>2. Comprehensive Multi-Horizon Smart Parking Benchmark across 30 Heterogeneous Facilities (3,263 Unified Test Windows with Embargo Purge Gaps; Multi-Seed Mean ± Std across Seeds {42, 101, 2024}, B = 32).</w:t>
      </w:r>
    </w:p>
    <w:tbl>
      <w:tblPr>
        <w:tblW w:type="auto" w:w="0"/>
        <w:jc w:val="center"/>
        <w:tblLook w:firstColumn="1" w:firstRow="1" w:lastColumn="0" w:lastRow="0" w:noHBand="0" w:noVBand="1" w:val="04A0"/>
        <w:tblBorders>
          <w:top w:val="single" w:sz="8" w:space="0" w:color="1F3864"/>
          <w:bottom w:val="single" w:sz="8" w:space="0" w:color="1F3864"/>
          <w:left w:val="none"/>
          <w:right w:val="none"/>
          <w:insideH w:val="single" w:sz="4" w:space="0" w:color="CBD5E1"/>
          <w:insideV w:val="none"/>
        </w:tblBorders>
      </w:tblPr>
      <w:tblGrid>
        <w:gridCol w:w="1290"/>
        <w:gridCol w:w="1290"/>
        <w:gridCol w:w="1290"/>
        <w:gridCol w:w="1290"/>
        <w:gridCol w:w="1290"/>
        <w:gridCol w:w="1290"/>
        <w:gridCol w:w="1290"/>
      </w:tblGrid>
      <w:tr>
        <w:tc>
          <w:tcPr>
            <w:tcW w:type="dxa" w:w="1290"/>
            <w:shd w:fill="1F3864"/>
            <w:tcMar>
              <w:top w:w="100" w:type="dxa"/>
              <w:bottom w:w="100" w:type="dxa"/>
              <w:left w:w="100" w:type="dxa"/>
              <w:right w:w="100" w:type="dxa"/>
            </w:tcMar>
          </w:tcPr>
          <w:p>
            <w:pPr>
              <w:jc w:val="center"/>
            </w:pPr>
            <w:r>
              <w:rPr>
                <w:b/>
                <w:color w:val="FFFFFF"/>
                <w:sz w:val="17"/>
              </w:rPr>
              <w:t>Horizon</w:t>
            </w:r>
          </w:p>
        </w:tc>
        <w:tc>
          <w:tcPr>
            <w:tcW w:type="dxa" w:w="1290"/>
            <w:shd w:fill="1F3864"/>
            <w:tcMar>
              <w:top w:w="100" w:type="dxa"/>
              <w:bottom w:w="100" w:type="dxa"/>
              <w:left w:w="100" w:type="dxa"/>
              <w:right w:w="100" w:type="dxa"/>
            </w:tcMar>
          </w:tcPr>
          <w:p>
            <w:pPr>
              <w:jc w:val="center"/>
            </w:pPr>
            <w:r>
              <w:rPr>
                <w:b/>
                <w:color w:val="FFFFFF"/>
                <w:sz w:val="17"/>
              </w:rPr>
              <w:t>Forecasting Model</w:t>
            </w:r>
          </w:p>
        </w:tc>
        <w:tc>
          <w:tcPr>
            <w:tcW w:type="dxa" w:w="1290"/>
            <w:shd w:fill="1F3864"/>
            <w:tcMar>
              <w:top w:w="100" w:type="dxa"/>
              <w:bottom w:w="100" w:type="dxa"/>
              <w:left w:w="100" w:type="dxa"/>
              <w:right w:w="100" w:type="dxa"/>
            </w:tcMar>
          </w:tcPr>
          <w:p>
            <w:pPr>
              <w:jc w:val="center"/>
            </w:pPr>
            <w:r>
              <w:rPr>
                <w:b/>
                <w:color w:val="FFFFFF"/>
                <w:sz w:val="17"/>
              </w:rPr>
              <w:t>Pooled MAE (Micro)</w:t>
            </w:r>
          </w:p>
        </w:tc>
        <w:tc>
          <w:tcPr>
            <w:tcW w:type="dxa" w:w="1290"/>
            <w:shd w:fill="1F3864"/>
            <w:tcMar>
              <w:top w:w="100" w:type="dxa"/>
              <w:bottom w:w="100" w:type="dxa"/>
              <w:left w:w="100" w:type="dxa"/>
              <w:right w:w="100" w:type="dxa"/>
            </w:tcMar>
          </w:tcPr>
          <w:p>
            <w:pPr>
              <w:jc w:val="center"/>
            </w:pPr>
            <w:r>
              <w:rPr>
                <w:b/>
                <w:color w:val="FFFFFF"/>
                <w:sz w:val="17"/>
              </w:rPr>
              <w:t>Pooled RMSE</w:t>
            </w:r>
          </w:p>
        </w:tc>
        <w:tc>
          <w:tcPr>
            <w:tcW w:type="dxa" w:w="1290"/>
            <w:shd w:fill="1F3864"/>
            <w:tcMar>
              <w:top w:w="100" w:type="dxa"/>
              <w:bottom w:w="100" w:type="dxa"/>
              <w:left w:w="100" w:type="dxa"/>
              <w:right w:w="100" w:type="dxa"/>
            </w:tcMar>
          </w:tcPr>
          <w:p>
            <w:pPr>
              <w:jc w:val="center"/>
            </w:pPr>
            <w:r>
              <w:rPr>
                <w:b/>
                <w:color w:val="FFFFFF"/>
                <w:sz w:val="17"/>
              </w:rPr>
              <w:t>Macro MAE</w:t>
            </w:r>
          </w:p>
        </w:tc>
        <w:tc>
          <w:tcPr>
            <w:tcW w:type="dxa" w:w="1290"/>
            <w:shd w:fill="1F3864"/>
            <w:tcMar>
              <w:top w:w="100" w:type="dxa"/>
              <w:bottom w:w="100" w:type="dxa"/>
              <w:left w:w="100" w:type="dxa"/>
              <w:right w:w="100" w:type="dxa"/>
            </w:tcMar>
          </w:tcPr>
          <w:p>
            <w:pPr>
              <w:jc w:val="center"/>
            </w:pPr>
            <w:r>
              <w:rPr>
                <w:b/>
                <w:color w:val="FFFFFF"/>
                <w:sz w:val="17"/>
              </w:rPr>
              <w:t>Between-Lot Std (sigma)</w:t>
            </w:r>
          </w:p>
        </w:tc>
        <w:tc>
          <w:tcPr>
            <w:tcW w:type="dxa" w:w="1290"/>
            <w:shd w:fill="1F3864"/>
            <w:tcMar>
              <w:top w:w="100" w:type="dxa"/>
              <w:bottom w:w="100" w:type="dxa"/>
              <w:left w:w="100" w:type="dxa"/>
              <w:right w:w="100" w:type="dxa"/>
            </w:tcMar>
          </w:tcPr>
          <w:p>
            <w:pPr>
              <w:jc w:val="center"/>
            </w:pPr>
            <w:r>
              <w:rPr>
                <w:b/>
                <w:color w:val="FFFFFF"/>
                <w:sz w:val="17"/>
              </w:rPr>
              <w:t>Mean Space Error (bays)</w:t>
            </w:r>
          </w:p>
        </w:tc>
      </w:tr>
      <w:tr>
        <w:tc>
          <w:tcPr>
            <w:tcW w:type="dxa" w:w="1290"/>
            <w:shd w:fill="FFFFFF"/>
            <w:tcMar>
              <w:top w:w="60" w:type="dxa"/>
              <w:bottom w:w="60" w:type="dxa"/>
              <w:left w:w="80" w:type="dxa"/>
              <w:right w:w="80" w:type="dxa"/>
            </w:tcMar>
          </w:tcPr>
          <w:p>
            <w:pPr>
              <w:jc w:val="center"/>
            </w:pPr>
            <w:r>
              <w:rPr>
                <w:b/>
                <w:sz w:val="16"/>
              </w:rPr>
              <w:t>30-Min (y_30)</w:t>
            </w:r>
          </w:p>
        </w:tc>
        <w:tc>
          <w:tcPr>
            <w:tcW w:type="dxa" w:w="1290"/>
            <w:shd w:fill="FFFFFF"/>
            <w:tcMar>
              <w:top w:w="60" w:type="dxa"/>
              <w:bottom w:w="60" w:type="dxa"/>
              <w:left w:w="80" w:type="dxa"/>
              <w:right w:w="80" w:type="dxa"/>
            </w:tcMar>
          </w:tcPr>
          <w:p>
            <w:pPr>
              <w:jc w:val="left"/>
            </w:pPr>
            <w:r>
              <w:rPr>
                <w:b/>
                <w:sz w:val="16"/>
              </w:rPr>
              <w:t>Persistence Baseline (y_hat = a_t)</w:t>
            </w:r>
          </w:p>
        </w:tc>
        <w:tc>
          <w:tcPr>
            <w:tcW w:type="dxa" w:w="1290"/>
            <w:shd w:fill="FFFFFF"/>
            <w:tcMar>
              <w:top w:w="60" w:type="dxa"/>
              <w:bottom w:w="60" w:type="dxa"/>
              <w:left w:w="80" w:type="dxa"/>
              <w:right w:w="80" w:type="dxa"/>
            </w:tcMar>
          </w:tcPr>
          <w:p>
            <w:pPr>
              <w:jc w:val="center"/>
            </w:pPr>
            <w:r>
              <w:rPr>
                <w:b/>
                <w:sz w:val="16"/>
              </w:rPr>
              <w:t>0.0256 ± 0.0000</w:t>
            </w:r>
          </w:p>
        </w:tc>
        <w:tc>
          <w:tcPr>
            <w:tcW w:type="dxa" w:w="1290"/>
            <w:shd w:fill="FFFFFF"/>
            <w:tcMar>
              <w:top w:w="60" w:type="dxa"/>
              <w:bottom w:w="60" w:type="dxa"/>
              <w:left w:w="80" w:type="dxa"/>
              <w:right w:w="80" w:type="dxa"/>
            </w:tcMar>
          </w:tcPr>
          <w:p>
            <w:pPr>
              <w:jc w:val="center"/>
            </w:pPr>
            <w:r>
              <w:rPr>
                <w:b/>
                <w:sz w:val="16"/>
              </w:rPr>
              <w:t>0.0387 ± 0.0000</w:t>
            </w:r>
          </w:p>
        </w:tc>
        <w:tc>
          <w:tcPr>
            <w:tcW w:type="dxa" w:w="1290"/>
            <w:shd w:fill="FFFFFF"/>
            <w:tcMar>
              <w:top w:w="60" w:type="dxa"/>
              <w:bottom w:w="60" w:type="dxa"/>
              <w:left w:w="80" w:type="dxa"/>
              <w:right w:w="80" w:type="dxa"/>
            </w:tcMar>
          </w:tcPr>
          <w:p>
            <w:pPr>
              <w:jc w:val="center"/>
            </w:pPr>
            <w:r>
              <w:rPr>
                <w:b/>
                <w:sz w:val="16"/>
              </w:rPr>
              <w:t>0.0247 ± 0.0000</w:t>
            </w:r>
          </w:p>
        </w:tc>
        <w:tc>
          <w:tcPr>
            <w:tcW w:type="dxa" w:w="1290"/>
            <w:shd w:fill="FFFFFF"/>
            <w:tcMar>
              <w:top w:w="60" w:type="dxa"/>
              <w:bottom w:w="60" w:type="dxa"/>
              <w:left w:w="80" w:type="dxa"/>
              <w:right w:w="80" w:type="dxa"/>
            </w:tcMar>
          </w:tcPr>
          <w:p>
            <w:pPr>
              <w:jc w:val="center"/>
            </w:pPr>
            <w:r>
              <w:rPr>
                <w:b/>
                <w:sz w:val="16"/>
              </w:rPr>
              <w:t>0.0135 ± 0.0000</w:t>
            </w:r>
          </w:p>
        </w:tc>
        <w:tc>
          <w:tcPr>
            <w:tcW w:type="dxa" w:w="1290"/>
            <w:shd w:fill="FFFFFF"/>
            <w:tcMar>
              <w:top w:w="60" w:type="dxa"/>
              <w:bottom w:w="60" w:type="dxa"/>
              <w:left w:w="80" w:type="dxa"/>
              <w:right w:w="80" w:type="dxa"/>
            </w:tcMar>
          </w:tcPr>
          <w:p>
            <w:pPr>
              <w:jc w:val="center"/>
            </w:pPr>
            <w:r>
              <w:rPr>
                <w:b/>
                <w:sz w:val="16"/>
              </w:rPr>
              <w:t>33.4 ± 0.0</w:t>
            </w:r>
          </w:p>
        </w:tc>
      </w:tr>
      <w:tr>
        <w:tc>
          <w:tcPr>
            <w:tcW w:type="dxa" w:w="1290"/>
            <w:shd w:fill="F1F5F9"/>
            <w:tcMar>
              <w:top w:w="60" w:type="dxa"/>
              <w:bottom w:w="60" w:type="dxa"/>
              <w:left w:w="80" w:type="dxa"/>
              <w:right w:w="80" w:type="dxa"/>
            </w:tcMar>
          </w:tcPr>
          <w:p>
            <w:pPr>
              <w:jc w:val="center"/>
            </w:pPr>
            <w:r>
              <w:rPr>
                <w:b/>
                <w:sz w:val="16"/>
              </w:rPr>
            </w:r>
          </w:p>
        </w:tc>
        <w:tc>
          <w:tcPr>
            <w:tcW w:type="dxa" w:w="1290"/>
            <w:shd w:fill="F1F5F9"/>
            <w:tcMar>
              <w:top w:w="60" w:type="dxa"/>
              <w:bottom w:w="60" w:type="dxa"/>
              <w:left w:w="80" w:type="dxa"/>
              <w:right w:w="80" w:type="dxa"/>
            </w:tcMar>
          </w:tcPr>
          <w:p>
            <w:pPr>
              <w:jc w:val="left"/>
            </w:pPr>
            <w:r>
              <w:rPr>
                <w:b/>
                <w:sz w:val="16"/>
              </w:rPr>
              <w:t>Local-Only Linear AR(4) (Local isolation)</w:t>
            </w:r>
          </w:p>
        </w:tc>
        <w:tc>
          <w:tcPr>
            <w:tcW w:type="dxa" w:w="1290"/>
            <w:shd w:fill="F1F5F9"/>
            <w:tcMar>
              <w:top w:w="60" w:type="dxa"/>
              <w:bottom w:w="60" w:type="dxa"/>
              <w:left w:w="80" w:type="dxa"/>
              <w:right w:w="80" w:type="dxa"/>
            </w:tcMar>
          </w:tcPr>
          <w:p>
            <w:pPr>
              <w:jc w:val="center"/>
            </w:pPr>
            <w:r>
              <w:rPr>
                <w:b/>
                <w:sz w:val="16"/>
              </w:rPr>
              <w:t>0.0126 ± 0.0000</w:t>
            </w:r>
          </w:p>
        </w:tc>
        <w:tc>
          <w:tcPr>
            <w:tcW w:type="dxa" w:w="1290"/>
            <w:shd w:fill="F1F5F9"/>
            <w:tcMar>
              <w:top w:w="60" w:type="dxa"/>
              <w:bottom w:w="60" w:type="dxa"/>
              <w:left w:w="80" w:type="dxa"/>
              <w:right w:w="80" w:type="dxa"/>
            </w:tcMar>
          </w:tcPr>
          <w:p>
            <w:pPr>
              <w:jc w:val="center"/>
            </w:pPr>
            <w:r>
              <w:rPr>
                <w:b/>
                <w:sz w:val="16"/>
              </w:rPr>
              <w:t>0.0179 ± 0.0000</w:t>
            </w:r>
          </w:p>
        </w:tc>
        <w:tc>
          <w:tcPr>
            <w:tcW w:type="dxa" w:w="1290"/>
            <w:shd w:fill="F1F5F9"/>
            <w:tcMar>
              <w:top w:w="60" w:type="dxa"/>
              <w:bottom w:w="60" w:type="dxa"/>
              <w:left w:w="80" w:type="dxa"/>
              <w:right w:w="80" w:type="dxa"/>
            </w:tcMar>
          </w:tcPr>
          <w:p>
            <w:pPr>
              <w:jc w:val="center"/>
            </w:pPr>
            <w:r>
              <w:rPr>
                <w:b/>
                <w:sz w:val="16"/>
              </w:rPr>
              <w:t>0.0124 ± 0.0000</w:t>
            </w:r>
          </w:p>
        </w:tc>
        <w:tc>
          <w:tcPr>
            <w:tcW w:type="dxa" w:w="1290"/>
            <w:shd w:fill="F1F5F9"/>
            <w:tcMar>
              <w:top w:w="60" w:type="dxa"/>
              <w:bottom w:w="60" w:type="dxa"/>
              <w:left w:w="80" w:type="dxa"/>
              <w:right w:w="80" w:type="dxa"/>
            </w:tcMar>
          </w:tcPr>
          <w:p>
            <w:pPr>
              <w:jc w:val="center"/>
            </w:pPr>
            <w:r>
              <w:rPr>
                <w:b/>
                <w:sz w:val="16"/>
              </w:rPr>
              <w:t>0.0049 ± 0.0000</w:t>
            </w:r>
          </w:p>
        </w:tc>
        <w:tc>
          <w:tcPr>
            <w:tcW w:type="dxa" w:w="1290"/>
            <w:shd w:fill="F1F5F9"/>
            <w:tcMar>
              <w:top w:w="60" w:type="dxa"/>
              <w:bottom w:w="60" w:type="dxa"/>
              <w:left w:w="80" w:type="dxa"/>
              <w:right w:w="80" w:type="dxa"/>
            </w:tcMar>
          </w:tcPr>
          <w:p>
            <w:pPr>
              <w:jc w:val="center"/>
            </w:pPr>
            <w:r>
              <w:rPr>
                <w:b/>
                <w:sz w:val="16"/>
              </w:rPr>
              <w:t>13.9 ± 0.0</w:t>
            </w:r>
          </w:p>
        </w:tc>
      </w:tr>
      <w:tr>
        <w:tc>
          <w:tcPr>
            <w:tcW w:type="dxa" w:w="1290"/>
            <w:shd w:fill="FFFFFF"/>
            <w:tcMar>
              <w:top w:w="60" w:type="dxa"/>
              <w:bottom w:w="60" w:type="dxa"/>
              <w:left w:w="80" w:type="dxa"/>
              <w:right w:w="80" w:type="dxa"/>
            </w:tcMar>
          </w:tcPr>
          <w:p>
            <w:pPr>
              <w:jc w:val="center"/>
            </w:pPr>
            <w:r>
              <w:rPr>
                <w:sz w:val="16"/>
              </w:rPr>
            </w:r>
          </w:p>
        </w:tc>
        <w:tc>
          <w:tcPr>
            <w:tcW w:type="dxa" w:w="1290"/>
            <w:shd w:fill="FFFFFF"/>
            <w:tcMar>
              <w:top w:w="60" w:type="dxa"/>
              <w:bottom w:w="60" w:type="dxa"/>
              <w:left w:w="80" w:type="dxa"/>
              <w:right w:w="80" w:type="dxa"/>
            </w:tcMar>
          </w:tcPr>
          <w:p>
            <w:pPr>
              <w:jc w:val="left"/>
            </w:pPr>
            <w:r>
              <w:rPr>
                <w:sz w:val="16"/>
              </w:rPr>
              <w:t>Pooled Linear AR(4) (Centralized)</w:t>
            </w:r>
          </w:p>
        </w:tc>
        <w:tc>
          <w:tcPr>
            <w:tcW w:type="dxa" w:w="1290"/>
            <w:shd w:fill="FFFFFF"/>
            <w:tcMar>
              <w:top w:w="60" w:type="dxa"/>
              <w:bottom w:w="60" w:type="dxa"/>
              <w:left w:w="80" w:type="dxa"/>
              <w:right w:w="80" w:type="dxa"/>
            </w:tcMar>
          </w:tcPr>
          <w:p>
            <w:pPr>
              <w:jc w:val="center"/>
            </w:pPr>
            <w:r>
              <w:rPr>
                <w:sz w:val="16"/>
              </w:rPr>
              <w:t>0.0129 ± 0.0000</w:t>
            </w:r>
          </w:p>
        </w:tc>
        <w:tc>
          <w:tcPr>
            <w:tcW w:type="dxa" w:w="1290"/>
            <w:shd w:fill="FFFFFF"/>
            <w:tcMar>
              <w:top w:w="60" w:type="dxa"/>
              <w:bottom w:w="60" w:type="dxa"/>
              <w:left w:w="80" w:type="dxa"/>
              <w:right w:w="80" w:type="dxa"/>
            </w:tcMar>
          </w:tcPr>
          <w:p>
            <w:pPr>
              <w:jc w:val="center"/>
            </w:pPr>
            <w:r>
              <w:rPr>
                <w:sz w:val="16"/>
              </w:rPr>
              <w:t>0.0190 ± 0.0000</w:t>
            </w:r>
          </w:p>
        </w:tc>
        <w:tc>
          <w:tcPr>
            <w:tcW w:type="dxa" w:w="1290"/>
            <w:shd w:fill="FFFFFF"/>
            <w:tcMar>
              <w:top w:w="60" w:type="dxa"/>
              <w:bottom w:w="60" w:type="dxa"/>
              <w:left w:w="80" w:type="dxa"/>
              <w:right w:w="80" w:type="dxa"/>
            </w:tcMar>
          </w:tcPr>
          <w:p>
            <w:pPr>
              <w:jc w:val="center"/>
            </w:pPr>
            <w:r>
              <w:rPr>
                <w:sz w:val="16"/>
              </w:rPr>
              <w:t>0.0132 ± 0.0000</w:t>
            </w:r>
          </w:p>
        </w:tc>
        <w:tc>
          <w:tcPr>
            <w:tcW w:type="dxa" w:w="1290"/>
            <w:shd w:fill="FFFFFF"/>
            <w:tcMar>
              <w:top w:w="60" w:type="dxa"/>
              <w:bottom w:w="60" w:type="dxa"/>
              <w:left w:w="80" w:type="dxa"/>
              <w:right w:w="80" w:type="dxa"/>
            </w:tcMar>
          </w:tcPr>
          <w:p>
            <w:pPr>
              <w:jc w:val="center"/>
            </w:pPr>
            <w:r>
              <w:rPr>
                <w:sz w:val="16"/>
              </w:rPr>
              <w:t>0.0050 ± 0.0000</w:t>
            </w:r>
          </w:p>
        </w:tc>
        <w:tc>
          <w:tcPr>
            <w:tcW w:type="dxa" w:w="1290"/>
            <w:shd w:fill="FFFFFF"/>
            <w:tcMar>
              <w:top w:w="60" w:type="dxa"/>
              <w:bottom w:w="60" w:type="dxa"/>
              <w:left w:w="80" w:type="dxa"/>
              <w:right w:w="80" w:type="dxa"/>
            </w:tcMar>
          </w:tcPr>
          <w:p>
            <w:pPr>
              <w:jc w:val="center"/>
            </w:pPr>
            <w:r>
              <w:rPr>
                <w:sz w:val="16"/>
              </w:rPr>
              <w:t>14.8 ± 0.0</w:t>
            </w:r>
          </w:p>
        </w:tc>
      </w:tr>
      <w:tr>
        <w:tc>
          <w:tcPr>
            <w:tcW w:type="dxa" w:w="1290"/>
            <w:shd w:fill="F8FAFC"/>
            <w:tcMar>
              <w:top w:w="60" w:type="dxa"/>
              <w:bottom w:w="60" w:type="dxa"/>
              <w:left w:w="80" w:type="dxa"/>
              <w:right w:w="80" w:type="dxa"/>
            </w:tcMar>
          </w:tcPr>
          <w:p>
            <w:pPr>
              <w:jc w:val="center"/>
            </w:pPr>
            <w:r>
              <w:rPr>
                <w:sz w:val="16"/>
              </w:rPr>
            </w:r>
          </w:p>
        </w:tc>
        <w:tc>
          <w:tcPr>
            <w:tcW w:type="dxa" w:w="1290"/>
            <w:shd w:fill="F8FAFC"/>
            <w:tcMar>
              <w:top w:w="60" w:type="dxa"/>
              <w:bottom w:w="60" w:type="dxa"/>
              <w:left w:w="80" w:type="dxa"/>
              <w:right w:w="80" w:type="dxa"/>
            </w:tcMar>
          </w:tcPr>
          <w:p>
            <w:pPr>
              <w:jc w:val="left"/>
            </w:pPr>
            <w:r>
              <w:rPr>
                <w:sz w:val="16"/>
              </w:rPr>
              <w:t>Centralized XGBoost [4]</w:t>
            </w:r>
          </w:p>
        </w:tc>
        <w:tc>
          <w:tcPr>
            <w:tcW w:type="dxa" w:w="1290"/>
            <w:shd w:fill="F8FAFC"/>
            <w:tcMar>
              <w:top w:w="60" w:type="dxa"/>
              <w:bottom w:w="60" w:type="dxa"/>
              <w:left w:w="80" w:type="dxa"/>
              <w:right w:w="80" w:type="dxa"/>
            </w:tcMar>
          </w:tcPr>
          <w:p>
            <w:pPr>
              <w:jc w:val="center"/>
            </w:pPr>
            <w:r>
              <w:rPr>
                <w:sz w:val="16"/>
              </w:rPr>
              <w:t>0.0133 ± 0.0000</w:t>
            </w:r>
          </w:p>
        </w:tc>
        <w:tc>
          <w:tcPr>
            <w:tcW w:type="dxa" w:w="1290"/>
            <w:shd w:fill="F8FAFC"/>
            <w:tcMar>
              <w:top w:w="60" w:type="dxa"/>
              <w:bottom w:w="60" w:type="dxa"/>
              <w:left w:w="80" w:type="dxa"/>
              <w:right w:w="80" w:type="dxa"/>
            </w:tcMar>
          </w:tcPr>
          <w:p>
            <w:pPr>
              <w:jc w:val="center"/>
            </w:pPr>
            <w:r>
              <w:rPr>
                <w:sz w:val="16"/>
              </w:rPr>
              <w:t>0.0187 ± 0.0000</w:t>
            </w:r>
          </w:p>
        </w:tc>
        <w:tc>
          <w:tcPr>
            <w:tcW w:type="dxa" w:w="1290"/>
            <w:shd w:fill="F8FAFC"/>
            <w:tcMar>
              <w:top w:w="60" w:type="dxa"/>
              <w:bottom w:w="60" w:type="dxa"/>
              <w:left w:w="80" w:type="dxa"/>
              <w:right w:w="80" w:type="dxa"/>
            </w:tcMar>
          </w:tcPr>
          <w:p>
            <w:pPr>
              <w:jc w:val="center"/>
            </w:pPr>
            <w:r>
              <w:rPr>
                <w:sz w:val="16"/>
              </w:rPr>
              <w:t>0.0141 ± 0.0000</w:t>
            </w:r>
          </w:p>
        </w:tc>
        <w:tc>
          <w:tcPr>
            <w:tcW w:type="dxa" w:w="1290"/>
            <w:shd w:fill="F8FAFC"/>
            <w:tcMar>
              <w:top w:w="60" w:type="dxa"/>
              <w:bottom w:w="60" w:type="dxa"/>
              <w:left w:w="80" w:type="dxa"/>
              <w:right w:w="80" w:type="dxa"/>
            </w:tcMar>
          </w:tcPr>
          <w:p>
            <w:pPr>
              <w:jc w:val="center"/>
            </w:pPr>
            <w:r>
              <w:rPr>
                <w:sz w:val="16"/>
              </w:rPr>
              <w:t>0.0056 ± 0.0000</w:t>
            </w:r>
          </w:p>
        </w:tc>
        <w:tc>
          <w:tcPr>
            <w:tcW w:type="dxa" w:w="1290"/>
            <w:shd w:fill="F8FAFC"/>
            <w:tcMar>
              <w:top w:w="60" w:type="dxa"/>
              <w:bottom w:w="60" w:type="dxa"/>
              <w:left w:w="80" w:type="dxa"/>
              <w:right w:w="80" w:type="dxa"/>
            </w:tcMar>
          </w:tcPr>
          <w:p>
            <w:pPr>
              <w:jc w:val="center"/>
            </w:pPr>
            <w:r>
              <w:rPr>
                <w:sz w:val="16"/>
              </w:rPr>
              <w:t>15.8 ± 0.0</w:t>
            </w:r>
          </w:p>
        </w:tc>
      </w:tr>
      <w:tr>
        <w:tc>
          <w:tcPr>
            <w:tcW w:type="dxa" w:w="1290"/>
            <w:shd w:fill="FFFFFF"/>
            <w:tcMar>
              <w:top w:w="60" w:type="dxa"/>
              <w:bottom w:w="60" w:type="dxa"/>
              <w:left w:w="80" w:type="dxa"/>
              <w:right w:w="80" w:type="dxa"/>
            </w:tcMar>
          </w:tcPr>
          <w:p>
            <w:pPr>
              <w:jc w:val="center"/>
            </w:pPr>
            <w:r>
              <w:rPr>
                <w:sz w:val="16"/>
              </w:rPr>
            </w:r>
          </w:p>
        </w:tc>
        <w:tc>
          <w:tcPr>
            <w:tcW w:type="dxa" w:w="1290"/>
            <w:shd w:fill="FFFFFF"/>
            <w:tcMar>
              <w:top w:w="60" w:type="dxa"/>
              <w:bottom w:w="60" w:type="dxa"/>
              <w:left w:w="80" w:type="dxa"/>
              <w:right w:w="80" w:type="dxa"/>
            </w:tcMar>
          </w:tcPr>
          <w:p>
            <w:pPr>
              <w:jc w:val="left"/>
            </w:pPr>
            <w:r>
              <w:rPr>
                <w:sz w:val="16"/>
              </w:rPr>
              <w:t>Centralized Standard LSTM [24]</w:t>
            </w:r>
          </w:p>
        </w:tc>
        <w:tc>
          <w:tcPr>
            <w:tcW w:type="dxa" w:w="1290"/>
            <w:shd w:fill="FFFFFF"/>
            <w:tcMar>
              <w:top w:w="60" w:type="dxa"/>
              <w:bottom w:w="60" w:type="dxa"/>
              <w:left w:w="80" w:type="dxa"/>
              <w:right w:w="80" w:type="dxa"/>
            </w:tcMar>
          </w:tcPr>
          <w:p>
            <w:pPr>
              <w:jc w:val="center"/>
            </w:pPr>
            <w:r>
              <w:rPr>
                <w:sz w:val="16"/>
              </w:rPr>
              <w:t>0.0218 ± 0.0005</w:t>
            </w:r>
          </w:p>
        </w:tc>
        <w:tc>
          <w:tcPr>
            <w:tcW w:type="dxa" w:w="1290"/>
            <w:shd w:fill="FFFFFF"/>
            <w:tcMar>
              <w:top w:w="60" w:type="dxa"/>
              <w:bottom w:w="60" w:type="dxa"/>
              <w:left w:w="80" w:type="dxa"/>
              <w:right w:w="80" w:type="dxa"/>
            </w:tcMar>
          </w:tcPr>
          <w:p>
            <w:pPr>
              <w:jc w:val="center"/>
            </w:pPr>
            <w:r>
              <w:rPr>
                <w:sz w:val="16"/>
              </w:rPr>
              <w:t>0.0300 ± 0.0004</w:t>
            </w:r>
          </w:p>
        </w:tc>
        <w:tc>
          <w:tcPr>
            <w:tcW w:type="dxa" w:w="1290"/>
            <w:shd w:fill="FFFFFF"/>
            <w:tcMar>
              <w:top w:w="60" w:type="dxa"/>
              <w:bottom w:w="60" w:type="dxa"/>
              <w:left w:w="80" w:type="dxa"/>
              <w:right w:w="80" w:type="dxa"/>
            </w:tcMar>
          </w:tcPr>
          <w:p>
            <w:pPr>
              <w:jc w:val="center"/>
            </w:pPr>
            <w:r>
              <w:rPr>
                <w:sz w:val="16"/>
              </w:rPr>
              <w:t>0.0233 ± 0.0004</w:t>
            </w:r>
          </w:p>
        </w:tc>
        <w:tc>
          <w:tcPr>
            <w:tcW w:type="dxa" w:w="1290"/>
            <w:shd w:fill="FFFFFF"/>
            <w:tcMar>
              <w:top w:w="60" w:type="dxa"/>
              <w:bottom w:w="60" w:type="dxa"/>
              <w:left w:w="80" w:type="dxa"/>
              <w:right w:w="80" w:type="dxa"/>
            </w:tcMar>
          </w:tcPr>
          <w:p>
            <w:pPr>
              <w:jc w:val="center"/>
            </w:pPr>
            <w:r>
              <w:rPr>
                <w:sz w:val="16"/>
              </w:rPr>
              <w:t>0.0131 ± 0.0003</w:t>
            </w:r>
          </w:p>
        </w:tc>
        <w:tc>
          <w:tcPr>
            <w:tcW w:type="dxa" w:w="1290"/>
            <w:shd w:fill="FFFFFF"/>
            <w:tcMar>
              <w:top w:w="60" w:type="dxa"/>
              <w:bottom w:w="60" w:type="dxa"/>
              <w:left w:w="80" w:type="dxa"/>
              <w:right w:w="80" w:type="dxa"/>
            </w:tcMar>
          </w:tcPr>
          <w:p>
            <w:pPr>
              <w:jc w:val="center"/>
            </w:pPr>
            <w:r>
              <w:rPr>
                <w:sz w:val="16"/>
              </w:rPr>
              <w:t>25.2 ± 0.4</w:t>
            </w:r>
          </w:p>
        </w:tc>
      </w:tr>
      <w:tr>
        <w:tc>
          <w:tcPr>
            <w:tcW w:type="dxa" w:w="1290"/>
            <w:shd w:fill="F8FAFC"/>
            <w:tcMar>
              <w:top w:w="60" w:type="dxa"/>
              <w:bottom w:w="60" w:type="dxa"/>
              <w:left w:w="80" w:type="dxa"/>
              <w:right w:w="80" w:type="dxa"/>
            </w:tcMar>
          </w:tcPr>
          <w:p>
            <w:pPr>
              <w:jc w:val="center"/>
            </w:pPr>
            <w:r>
              <w:rPr>
                <w:sz w:val="16"/>
              </w:rPr>
            </w:r>
          </w:p>
        </w:tc>
        <w:tc>
          <w:tcPr>
            <w:tcW w:type="dxa" w:w="1290"/>
            <w:shd w:fill="F8FAFC"/>
            <w:tcMar>
              <w:top w:w="60" w:type="dxa"/>
              <w:bottom w:w="60" w:type="dxa"/>
              <w:left w:w="80" w:type="dxa"/>
              <w:right w:w="80" w:type="dxa"/>
            </w:tcMar>
          </w:tcPr>
          <w:p>
            <w:pPr>
              <w:jc w:val="left"/>
            </w:pPr>
            <w:r>
              <w:rPr>
                <w:sz w:val="16"/>
              </w:rPr>
              <w:t>Centralized Attention-LSTM [5]</w:t>
            </w:r>
          </w:p>
        </w:tc>
        <w:tc>
          <w:tcPr>
            <w:tcW w:type="dxa" w:w="1290"/>
            <w:shd w:fill="F8FAFC"/>
            <w:tcMar>
              <w:top w:w="60" w:type="dxa"/>
              <w:bottom w:w="60" w:type="dxa"/>
              <w:left w:w="80" w:type="dxa"/>
              <w:right w:w="80" w:type="dxa"/>
            </w:tcMar>
          </w:tcPr>
          <w:p>
            <w:pPr>
              <w:jc w:val="center"/>
            </w:pPr>
            <w:r>
              <w:rPr>
                <w:sz w:val="16"/>
              </w:rPr>
              <w:t>0.0217 ± 0.0004</w:t>
            </w:r>
          </w:p>
        </w:tc>
        <w:tc>
          <w:tcPr>
            <w:tcW w:type="dxa" w:w="1290"/>
            <w:shd w:fill="F8FAFC"/>
            <w:tcMar>
              <w:top w:w="60" w:type="dxa"/>
              <w:bottom w:w="60" w:type="dxa"/>
              <w:left w:w="80" w:type="dxa"/>
              <w:right w:w="80" w:type="dxa"/>
            </w:tcMar>
          </w:tcPr>
          <w:p>
            <w:pPr>
              <w:jc w:val="center"/>
            </w:pPr>
            <w:r>
              <w:rPr>
                <w:sz w:val="16"/>
              </w:rPr>
              <w:t>0.0285 ± 0.0003</w:t>
            </w:r>
          </w:p>
        </w:tc>
        <w:tc>
          <w:tcPr>
            <w:tcW w:type="dxa" w:w="1290"/>
            <w:shd w:fill="F8FAFC"/>
            <w:tcMar>
              <w:top w:w="60" w:type="dxa"/>
              <w:bottom w:w="60" w:type="dxa"/>
              <w:left w:w="80" w:type="dxa"/>
              <w:right w:w="80" w:type="dxa"/>
            </w:tcMar>
          </w:tcPr>
          <w:p>
            <w:pPr>
              <w:jc w:val="center"/>
            </w:pPr>
            <w:r>
              <w:rPr>
                <w:sz w:val="16"/>
              </w:rPr>
              <w:t>0.0230 ± 0.0003</w:t>
            </w:r>
          </w:p>
        </w:tc>
        <w:tc>
          <w:tcPr>
            <w:tcW w:type="dxa" w:w="1290"/>
            <w:shd w:fill="F8FAFC"/>
            <w:tcMar>
              <w:top w:w="60" w:type="dxa"/>
              <w:bottom w:w="60" w:type="dxa"/>
              <w:left w:w="80" w:type="dxa"/>
              <w:right w:w="80" w:type="dxa"/>
            </w:tcMar>
          </w:tcPr>
          <w:p>
            <w:pPr>
              <w:jc w:val="center"/>
            </w:pPr>
            <w:r>
              <w:rPr>
                <w:sz w:val="16"/>
              </w:rPr>
              <w:t>0.0113 ± 0.0002</w:t>
            </w:r>
          </w:p>
        </w:tc>
        <w:tc>
          <w:tcPr>
            <w:tcW w:type="dxa" w:w="1290"/>
            <w:shd w:fill="F8FAFC"/>
            <w:tcMar>
              <w:top w:w="60" w:type="dxa"/>
              <w:bottom w:w="60" w:type="dxa"/>
              <w:left w:w="80" w:type="dxa"/>
              <w:right w:w="80" w:type="dxa"/>
            </w:tcMar>
          </w:tcPr>
          <w:p>
            <w:pPr>
              <w:jc w:val="center"/>
            </w:pPr>
            <w:r>
              <w:rPr>
                <w:sz w:val="16"/>
              </w:rPr>
              <w:t>26.9 ± 0.3</w:t>
            </w:r>
          </w:p>
        </w:tc>
      </w:tr>
      <w:tr>
        <w:tc>
          <w:tcPr>
            <w:tcW w:type="dxa" w:w="1290"/>
            <w:shd w:fill="FFFFFF"/>
            <w:tcMar>
              <w:top w:w="60" w:type="dxa"/>
              <w:bottom w:w="60" w:type="dxa"/>
              <w:left w:w="80" w:type="dxa"/>
              <w:right w:w="80" w:type="dxa"/>
            </w:tcMar>
          </w:tcPr>
          <w:p>
            <w:pPr>
              <w:jc w:val="center"/>
            </w:pPr>
            <w:r>
              <w:rPr>
                <w:sz w:val="16"/>
              </w:rPr>
            </w:r>
          </w:p>
        </w:tc>
        <w:tc>
          <w:tcPr>
            <w:tcW w:type="dxa" w:w="1290"/>
            <w:shd w:fill="FFFFFF"/>
            <w:tcMar>
              <w:top w:w="60" w:type="dxa"/>
              <w:bottom w:w="60" w:type="dxa"/>
              <w:left w:w="80" w:type="dxa"/>
              <w:right w:w="80" w:type="dxa"/>
            </w:tcMar>
          </w:tcPr>
          <w:p>
            <w:pPr>
              <w:jc w:val="left"/>
            </w:pPr>
            <w:r>
              <w:rPr>
                <w:sz w:val="16"/>
              </w:rPr>
              <w:t>Global FedAvg (R=8, B=32) [7]</w:t>
            </w:r>
          </w:p>
        </w:tc>
        <w:tc>
          <w:tcPr>
            <w:tcW w:type="dxa" w:w="1290"/>
            <w:shd w:fill="FFFFFF"/>
            <w:tcMar>
              <w:top w:w="60" w:type="dxa"/>
              <w:bottom w:w="60" w:type="dxa"/>
              <w:left w:w="80" w:type="dxa"/>
              <w:right w:w="80" w:type="dxa"/>
            </w:tcMar>
          </w:tcPr>
          <w:p>
            <w:pPr>
              <w:jc w:val="center"/>
            </w:pPr>
            <w:r>
              <w:rPr>
                <w:sz w:val="16"/>
              </w:rPr>
              <w:t>0.0935 ± 0.0032</w:t>
            </w:r>
          </w:p>
        </w:tc>
        <w:tc>
          <w:tcPr>
            <w:tcW w:type="dxa" w:w="1290"/>
            <w:shd w:fill="FFFFFF"/>
            <w:tcMar>
              <w:top w:w="60" w:type="dxa"/>
              <w:bottom w:w="60" w:type="dxa"/>
              <w:left w:w="80" w:type="dxa"/>
              <w:right w:w="80" w:type="dxa"/>
            </w:tcMar>
          </w:tcPr>
          <w:p>
            <w:pPr>
              <w:jc w:val="center"/>
            </w:pPr>
            <w:r>
              <w:rPr>
                <w:sz w:val="16"/>
              </w:rPr>
              <w:t>0.1230 ± 0.0030</w:t>
            </w:r>
          </w:p>
        </w:tc>
        <w:tc>
          <w:tcPr>
            <w:tcW w:type="dxa" w:w="1290"/>
            <w:shd w:fill="FFFFFF"/>
            <w:tcMar>
              <w:top w:w="60" w:type="dxa"/>
              <w:bottom w:w="60" w:type="dxa"/>
              <w:left w:w="80" w:type="dxa"/>
              <w:right w:w="80" w:type="dxa"/>
            </w:tcMar>
          </w:tcPr>
          <w:p>
            <w:pPr>
              <w:jc w:val="center"/>
            </w:pPr>
            <w:r>
              <w:rPr>
                <w:sz w:val="16"/>
              </w:rPr>
              <w:t>0.0963 ± 0.0029</w:t>
            </w:r>
          </w:p>
        </w:tc>
        <w:tc>
          <w:tcPr>
            <w:tcW w:type="dxa" w:w="1290"/>
            <w:shd w:fill="FFFFFF"/>
            <w:tcMar>
              <w:top w:w="60" w:type="dxa"/>
              <w:bottom w:w="60" w:type="dxa"/>
              <w:left w:w="80" w:type="dxa"/>
              <w:right w:w="80" w:type="dxa"/>
            </w:tcMar>
          </w:tcPr>
          <w:p>
            <w:pPr>
              <w:jc w:val="center"/>
            </w:pPr>
            <w:r>
              <w:rPr>
                <w:sz w:val="16"/>
              </w:rPr>
              <w:t>0.0498 ± 0.0013</w:t>
            </w:r>
          </w:p>
        </w:tc>
        <w:tc>
          <w:tcPr>
            <w:tcW w:type="dxa" w:w="1290"/>
            <w:shd w:fill="FFFFFF"/>
            <w:tcMar>
              <w:top w:w="60" w:type="dxa"/>
              <w:bottom w:w="60" w:type="dxa"/>
              <w:left w:w="80" w:type="dxa"/>
              <w:right w:w="80" w:type="dxa"/>
            </w:tcMar>
          </w:tcPr>
          <w:p>
            <w:pPr>
              <w:jc w:val="center"/>
            </w:pPr>
            <w:r>
              <w:rPr>
                <w:sz w:val="16"/>
              </w:rPr>
              <w:t>118.5 ± 2.6</w:t>
            </w:r>
          </w:p>
        </w:tc>
      </w:tr>
      <w:tr>
        <w:tc>
          <w:tcPr>
            <w:tcW w:type="dxa" w:w="1290"/>
            <w:shd w:fill="F1F5F9"/>
            <w:tcMar>
              <w:top w:w="60" w:type="dxa"/>
              <w:bottom w:w="60" w:type="dxa"/>
              <w:left w:w="80" w:type="dxa"/>
              <w:right w:w="80" w:type="dxa"/>
            </w:tcMar>
          </w:tcPr>
          <w:p>
            <w:pPr>
              <w:jc w:val="center"/>
            </w:pPr>
            <w:r>
              <w:rPr>
                <w:b/>
                <w:sz w:val="16"/>
              </w:rPr>
            </w:r>
          </w:p>
        </w:tc>
        <w:tc>
          <w:tcPr>
            <w:tcW w:type="dxa" w:w="1290"/>
            <w:shd w:fill="F1F5F9"/>
            <w:tcMar>
              <w:top w:w="60" w:type="dxa"/>
              <w:bottom w:w="60" w:type="dxa"/>
              <w:left w:w="80" w:type="dxa"/>
              <w:right w:w="80" w:type="dxa"/>
            </w:tcMar>
          </w:tcPr>
          <w:p>
            <w:pPr>
              <w:jc w:val="left"/>
            </w:pPr>
            <w:r>
              <w:rPr>
                <w:b/>
                <w:sz w:val="16"/>
              </w:rPr>
              <w:t>Personalized FedAvg (Local Adaptation)</w:t>
            </w:r>
          </w:p>
        </w:tc>
        <w:tc>
          <w:tcPr>
            <w:tcW w:type="dxa" w:w="1290"/>
            <w:shd w:fill="F1F5F9"/>
            <w:tcMar>
              <w:top w:w="60" w:type="dxa"/>
              <w:bottom w:w="60" w:type="dxa"/>
              <w:left w:w="80" w:type="dxa"/>
              <w:right w:w="80" w:type="dxa"/>
            </w:tcMar>
          </w:tcPr>
          <w:p>
            <w:pPr>
              <w:jc w:val="center"/>
            </w:pPr>
            <w:r>
              <w:rPr>
                <w:b/>
                <w:sz w:val="16"/>
              </w:rPr>
              <w:t>0.0592 ± 0.0004</w:t>
            </w:r>
          </w:p>
        </w:tc>
        <w:tc>
          <w:tcPr>
            <w:tcW w:type="dxa" w:w="1290"/>
            <w:shd w:fill="F1F5F9"/>
            <w:tcMar>
              <w:top w:w="60" w:type="dxa"/>
              <w:bottom w:w="60" w:type="dxa"/>
              <w:left w:w="80" w:type="dxa"/>
              <w:right w:w="80" w:type="dxa"/>
            </w:tcMar>
          </w:tcPr>
          <w:p>
            <w:pPr>
              <w:jc w:val="center"/>
            </w:pPr>
            <w:r>
              <w:rPr>
                <w:b/>
                <w:sz w:val="16"/>
              </w:rPr>
              <w:t>0.0786 ± 0.0001</w:t>
            </w:r>
          </w:p>
        </w:tc>
        <w:tc>
          <w:tcPr>
            <w:tcW w:type="dxa" w:w="1290"/>
            <w:shd w:fill="F1F5F9"/>
            <w:tcMar>
              <w:top w:w="60" w:type="dxa"/>
              <w:bottom w:w="60" w:type="dxa"/>
              <w:left w:w="80" w:type="dxa"/>
              <w:right w:w="80" w:type="dxa"/>
            </w:tcMar>
          </w:tcPr>
          <w:p>
            <w:pPr>
              <w:jc w:val="center"/>
            </w:pPr>
            <w:r>
              <w:rPr>
                <w:b/>
                <w:sz w:val="16"/>
              </w:rPr>
              <w:t>0.0612 ± 0.0001</w:t>
            </w:r>
          </w:p>
        </w:tc>
        <w:tc>
          <w:tcPr>
            <w:tcW w:type="dxa" w:w="1290"/>
            <w:shd w:fill="F1F5F9"/>
            <w:tcMar>
              <w:top w:w="60" w:type="dxa"/>
              <w:bottom w:w="60" w:type="dxa"/>
              <w:left w:w="80" w:type="dxa"/>
              <w:right w:w="80" w:type="dxa"/>
            </w:tcMar>
          </w:tcPr>
          <w:p>
            <w:pPr>
              <w:jc w:val="center"/>
            </w:pPr>
            <w:r>
              <w:rPr>
                <w:b/>
                <w:sz w:val="16"/>
              </w:rPr>
              <w:t>0.0243 ± 0.0014</w:t>
            </w:r>
          </w:p>
        </w:tc>
        <w:tc>
          <w:tcPr>
            <w:tcW w:type="dxa" w:w="1290"/>
            <w:shd w:fill="F1F5F9"/>
            <w:tcMar>
              <w:top w:w="60" w:type="dxa"/>
              <w:bottom w:w="60" w:type="dxa"/>
              <w:left w:w="80" w:type="dxa"/>
              <w:right w:w="80" w:type="dxa"/>
            </w:tcMar>
          </w:tcPr>
          <w:p>
            <w:pPr>
              <w:jc w:val="center"/>
            </w:pPr>
            <w:r>
              <w:rPr>
                <w:b/>
                <w:sz w:val="16"/>
              </w:rPr>
              <w:t>82.4 ± 0.4</w:t>
            </w:r>
          </w:p>
        </w:tc>
      </w:tr>
      <w:tr>
        <w:tc>
          <w:tcPr>
            <w:tcW w:type="dxa" w:w="1290"/>
            <w:shd w:fill="FFFFFF"/>
            <w:tcMar>
              <w:top w:w="60" w:type="dxa"/>
              <w:bottom w:w="60" w:type="dxa"/>
              <w:left w:w="80" w:type="dxa"/>
              <w:right w:w="80" w:type="dxa"/>
            </w:tcMar>
          </w:tcPr>
          <w:p>
            <w:pPr>
              <w:jc w:val="center"/>
            </w:pPr>
            <w:r>
              <w:rPr>
                <w:b/>
                <w:sz w:val="16"/>
              </w:rPr>
              <w:t>60-Min (y_60)</w:t>
            </w:r>
          </w:p>
        </w:tc>
        <w:tc>
          <w:tcPr>
            <w:tcW w:type="dxa" w:w="1290"/>
            <w:shd w:fill="FFFFFF"/>
            <w:tcMar>
              <w:top w:w="60" w:type="dxa"/>
              <w:bottom w:w="60" w:type="dxa"/>
              <w:left w:w="80" w:type="dxa"/>
              <w:right w:w="80" w:type="dxa"/>
            </w:tcMar>
          </w:tcPr>
          <w:p>
            <w:pPr>
              <w:jc w:val="left"/>
            </w:pPr>
            <w:r>
              <w:rPr>
                <w:b/>
                <w:sz w:val="16"/>
              </w:rPr>
              <w:t>Persistence Baseline (y_hat = a_t)</w:t>
            </w:r>
          </w:p>
        </w:tc>
        <w:tc>
          <w:tcPr>
            <w:tcW w:type="dxa" w:w="1290"/>
            <w:shd w:fill="FFFFFF"/>
            <w:tcMar>
              <w:top w:w="60" w:type="dxa"/>
              <w:bottom w:w="60" w:type="dxa"/>
              <w:left w:w="80" w:type="dxa"/>
              <w:right w:w="80" w:type="dxa"/>
            </w:tcMar>
          </w:tcPr>
          <w:p>
            <w:pPr>
              <w:jc w:val="center"/>
            </w:pPr>
            <w:r>
              <w:rPr>
                <w:b/>
                <w:sz w:val="16"/>
              </w:rPr>
              <w:t>0.0493 ± 0.0000</w:t>
            </w:r>
          </w:p>
        </w:tc>
        <w:tc>
          <w:tcPr>
            <w:tcW w:type="dxa" w:w="1290"/>
            <w:shd w:fill="FFFFFF"/>
            <w:tcMar>
              <w:top w:w="60" w:type="dxa"/>
              <w:bottom w:w="60" w:type="dxa"/>
              <w:left w:w="80" w:type="dxa"/>
              <w:right w:w="80" w:type="dxa"/>
            </w:tcMar>
          </w:tcPr>
          <w:p>
            <w:pPr>
              <w:jc w:val="center"/>
            </w:pPr>
            <w:r>
              <w:rPr>
                <w:b/>
                <w:sz w:val="16"/>
              </w:rPr>
              <w:t>0.0716 ± 0.0000</w:t>
            </w:r>
          </w:p>
        </w:tc>
        <w:tc>
          <w:tcPr>
            <w:tcW w:type="dxa" w:w="1290"/>
            <w:shd w:fill="FFFFFF"/>
            <w:tcMar>
              <w:top w:w="60" w:type="dxa"/>
              <w:bottom w:w="60" w:type="dxa"/>
              <w:left w:w="80" w:type="dxa"/>
              <w:right w:w="80" w:type="dxa"/>
            </w:tcMar>
          </w:tcPr>
          <w:p>
            <w:pPr>
              <w:jc w:val="center"/>
            </w:pPr>
            <w:r>
              <w:rPr>
                <w:b/>
                <w:sz w:val="16"/>
              </w:rPr>
              <w:t>0.0476 ± 0.0000</w:t>
            </w:r>
          </w:p>
        </w:tc>
        <w:tc>
          <w:tcPr>
            <w:tcW w:type="dxa" w:w="1290"/>
            <w:shd w:fill="FFFFFF"/>
            <w:tcMar>
              <w:top w:w="60" w:type="dxa"/>
              <w:bottom w:w="60" w:type="dxa"/>
              <w:left w:w="80" w:type="dxa"/>
              <w:right w:w="80" w:type="dxa"/>
            </w:tcMar>
          </w:tcPr>
          <w:p>
            <w:pPr>
              <w:jc w:val="center"/>
            </w:pPr>
            <w:r>
              <w:rPr>
                <w:b/>
                <w:sz w:val="16"/>
              </w:rPr>
              <w:t>0.0252 ± 0.0000</w:t>
            </w:r>
          </w:p>
        </w:tc>
        <w:tc>
          <w:tcPr>
            <w:tcW w:type="dxa" w:w="1290"/>
            <w:shd w:fill="FFFFFF"/>
            <w:tcMar>
              <w:top w:w="60" w:type="dxa"/>
              <w:bottom w:w="60" w:type="dxa"/>
              <w:left w:w="80" w:type="dxa"/>
              <w:right w:w="80" w:type="dxa"/>
            </w:tcMar>
          </w:tcPr>
          <w:p>
            <w:pPr>
              <w:jc w:val="center"/>
            </w:pPr>
            <w:r>
              <w:rPr>
                <w:b/>
                <w:sz w:val="16"/>
              </w:rPr>
              <w:t>64.2 ± 0.0</w:t>
            </w:r>
          </w:p>
        </w:tc>
      </w:tr>
      <w:tr>
        <w:tc>
          <w:tcPr>
            <w:tcW w:type="dxa" w:w="1290"/>
            <w:shd w:fill="F1F5F9"/>
            <w:tcMar>
              <w:top w:w="60" w:type="dxa"/>
              <w:bottom w:w="60" w:type="dxa"/>
              <w:left w:w="80" w:type="dxa"/>
              <w:right w:w="80" w:type="dxa"/>
            </w:tcMar>
          </w:tcPr>
          <w:p>
            <w:pPr>
              <w:jc w:val="center"/>
            </w:pPr>
            <w:r>
              <w:rPr>
                <w:b/>
                <w:sz w:val="16"/>
              </w:rPr>
            </w:r>
          </w:p>
        </w:tc>
        <w:tc>
          <w:tcPr>
            <w:tcW w:type="dxa" w:w="1290"/>
            <w:shd w:fill="F1F5F9"/>
            <w:tcMar>
              <w:top w:w="60" w:type="dxa"/>
              <w:bottom w:w="60" w:type="dxa"/>
              <w:left w:w="80" w:type="dxa"/>
              <w:right w:w="80" w:type="dxa"/>
            </w:tcMar>
          </w:tcPr>
          <w:p>
            <w:pPr>
              <w:jc w:val="left"/>
            </w:pPr>
            <w:r>
              <w:rPr>
                <w:b/>
                <w:sz w:val="16"/>
              </w:rPr>
              <w:t>Local-Only Linear AR(4) (Local isolation)</w:t>
            </w:r>
          </w:p>
        </w:tc>
        <w:tc>
          <w:tcPr>
            <w:tcW w:type="dxa" w:w="1290"/>
            <w:shd w:fill="F1F5F9"/>
            <w:tcMar>
              <w:top w:w="60" w:type="dxa"/>
              <w:bottom w:w="60" w:type="dxa"/>
              <w:left w:w="80" w:type="dxa"/>
              <w:right w:w="80" w:type="dxa"/>
            </w:tcMar>
          </w:tcPr>
          <w:p>
            <w:pPr>
              <w:jc w:val="center"/>
            </w:pPr>
            <w:r>
              <w:rPr>
                <w:b/>
                <w:sz w:val="16"/>
              </w:rPr>
              <w:t>0.0248 ± 0.0000</w:t>
            </w:r>
          </w:p>
        </w:tc>
        <w:tc>
          <w:tcPr>
            <w:tcW w:type="dxa" w:w="1290"/>
            <w:shd w:fill="F1F5F9"/>
            <w:tcMar>
              <w:top w:w="60" w:type="dxa"/>
              <w:bottom w:w="60" w:type="dxa"/>
              <w:left w:w="80" w:type="dxa"/>
              <w:right w:w="80" w:type="dxa"/>
            </w:tcMar>
          </w:tcPr>
          <w:p>
            <w:pPr>
              <w:jc w:val="center"/>
            </w:pPr>
            <w:r>
              <w:rPr>
                <w:b/>
                <w:sz w:val="16"/>
              </w:rPr>
              <w:t>0.0350 ± 0.0000</w:t>
            </w:r>
          </w:p>
        </w:tc>
        <w:tc>
          <w:tcPr>
            <w:tcW w:type="dxa" w:w="1290"/>
            <w:shd w:fill="F1F5F9"/>
            <w:tcMar>
              <w:top w:w="60" w:type="dxa"/>
              <w:bottom w:w="60" w:type="dxa"/>
              <w:left w:w="80" w:type="dxa"/>
              <w:right w:w="80" w:type="dxa"/>
            </w:tcMar>
          </w:tcPr>
          <w:p>
            <w:pPr>
              <w:jc w:val="center"/>
            </w:pPr>
            <w:r>
              <w:rPr>
                <w:b/>
                <w:sz w:val="16"/>
              </w:rPr>
              <w:t>0.0242 ± 0.0000</w:t>
            </w:r>
          </w:p>
        </w:tc>
        <w:tc>
          <w:tcPr>
            <w:tcW w:type="dxa" w:w="1290"/>
            <w:shd w:fill="F1F5F9"/>
            <w:tcMar>
              <w:top w:w="60" w:type="dxa"/>
              <w:bottom w:w="60" w:type="dxa"/>
              <w:left w:w="80" w:type="dxa"/>
              <w:right w:w="80" w:type="dxa"/>
            </w:tcMar>
          </w:tcPr>
          <w:p>
            <w:pPr>
              <w:jc w:val="center"/>
            </w:pPr>
            <w:r>
              <w:rPr>
                <w:b/>
                <w:sz w:val="16"/>
              </w:rPr>
              <w:t>0.0096 ± 0.0000</w:t>
            </w:r>
          </w:p>
        </w:tc>
        <w:tc>
          <w:tcPr>
            <w:tcW w:type="dxa" w:w="1290"/>
            <w:shd w:fill="F1F5F9"/>
            <w:tcMar>
              <w:top w:w="60" w:type="dxa"/>
              <w:bottom w:w="60" w:type="dxa"/>
              <w:left w:w="80" w:type="dxa"/>
              <w:right w:w="80" w:type="dxa"/>
            </w:tcMar>
          </w:tcPr>
          <w:p>
            <w:pPr>
              <w:jc w:val="center"/>
            </w:pPr>
            <w:r>
              <w:rPr>
                <w:b/>
                <w:sz w:val="16"/>
              </w:rPr>
              <w:t>28.4 ± 0.0</w:t>
            </w:r>
          </w:p>
        </w:tc>
      </w:tr>
      <w:tr>
        <w:tc>
          <w:tcPr>
            <w:tcW w:type="dxa" w:w="1290"/>
            <w:shd w:fill="FFFFFF"/>
            <w:tcMar>
              <w:top w:w="60" w:type="dxa"/>
              <w:bottom w:w="60" w:type="dxa"/>
              <w:left w:w="80" w:type="dxa"/>
              <w:right w:w="80" w:type="dxa"/>
            </w:tcMar>
          </w:tcPr>
          <w:p>
            <w:pPr>
              <w:jc w:val="center"/>
            </w:pPr>
            <w:r>
              <w:rPr>
                <w:sz w:val="16"/>
              </w:rPr>
            </w:r>
          </w:p>
        </w:tc>
        <w:tc>
          <w:tcPr>
            <w:tcW w:type="dxa" w:w="1290"/>
            <w:shd w:fill="FFFFFF"/>
            <w:tcMar>
              <w:top w:w="60" w:type="dxa"/>
              <w:bottom w:w="60" w:type="dxa"/>
              <w:left w:w="80" w:type="dxa"/>
              <w:right w:w="80" w:type="dxa"/>
            </w:tcMar>
          </w:tcPr>
          <w:p>
            <w:pPr>
              <w:jc w:val="left"/>
            </w:pPr>
            <w:r>
              <w:rPr>
                <w:sz w:val="16"/>
              </w:rPr>
              <w:t>Pooled Linear AR(4) (Centralized)</w:t>
            </w:r>
          </w:p>
        </w:tc>
        <w:tc>
          <w:tcPr>
            <w:tcW w:type="dxa" w:w="1290"/>
            <w:shd w:fill="FFFFFF"/>
            <w:tcMar>
              <w:top w:w="60" w:type="dxa"/>
              <w:bottom w:w="60" w:type="dxa"/>
              <w:left w:w="80" w:type="dxa"/>
              <w:right w:w="80" w:type="dxa"/>
            </w:tcMar>
          </w:tcPr>
          <w:p>
            <w:pPr>
              <w:jc w:val="center"/>
            </w:pPr>
            <w:r>
              <w:rPr>
                <w:sz w:val="16"/>
              </w:rPr>
              <w:t>0.0260 ± 0.0000</w:t>
            </w:r>
          </w:p>
        </w:tc>
        <w:tc>
          <w:tcPr>
            <w:tcW w:type="dxa" w:w="1290"/>
            <w:shd w:fill="FFFFFF"/>
            <w:tcMar>
              <w:top w:w="60" w:type="dxa"/>
              <w:bottom w:w="60" w:type="dxa"/>
              <w:left w:w="80" w:type="dxa"/>
              <w:right w:w="80" w:type="dxa"/>
            </w:tcMar>
          </w:tcPr>
          <w:p>
            <w:pPr>
              <w:jc w:val="center"/>
            </w:pPr>
            <w:r>
              <w:rPr>
                <w:sz w:val="16"/>
              </w:rPr>
              <w:t>0.0376 ± 0.0000</w:t>
            </w:r>
          </w:p>
        </w:tc>
        <w:tc>
          <w:tcPr>
            <w:tcW w:type="dxa" w:w="1290"/>
            <w:shd w:fill="FFFFFF"/>
            <w:tcMar>
              <w:top w:w="60" w:type="dxa"/>
              <w:bottom w:w="60" w:type="dxa"/>
              <w:left w:w="80" w:type="dxa"/>
              <w:right w:w="80" w:type="dxa"/>
            </w:tcMar>
          </w:tcPr>
          <w:p>
            <w:pPr>
              <w:jc w:val="center"/>
            </w:pPr>
            <w:r>
              <w:rPr>
                <w:sz w:val="16"/>
              </w:rPr>
              <w:t>0.0267 ± 0.0000</w:t>
            </w:r>
          </w:p>
        </w:tc>
        <w:tc>
          <w:tcPr>
            <w:tcW w:type="dxa" w:w="1290"/>
            <w:shd w:fill="FFFFFF"/>
            <w:tcMar>
              <w:top w:w="60" w:type="dxa"/>
              <w:bottom w:w="60" w:type="dxa"/>
              <w:left w:w="80" w:type="dxa"/>
              <w:right w:w="80" w:type="dxa"/>
            </w:tcMar>
          </w:tcPr>
          <w:p>
            <w:pPr>
              <w:jc w:val="center"/>
            </w:pPr>
            <w:r>
              <w:rPr>
                <w:sz w:val="16"/>
              </w:rPr>
              <w:t>0.0096 ± 0.0000</w:t>
            </w:r>
          </w:p>
        </w:tc>
        <w:tc>
          <w:tcPr>
            <w:tcW w:type="dxa" w:w="1290"/>
            <w:shd w:fill="FFFFFF"/>
            <w:tcMar>
              <w:top w:w="60" w:type="dxa"/>
              <w:bottom w:w="60" w:type="dxa"/>
              <w:left w:w="80" w:type="dxa"/>
              <w:right w:w="80" w:type="dxa"/>
            </w:tcMar>
          </w:tcPr>
          <w:p>
            <w:pPr>
              <w:jc w:val="center"/>
            </w:pPr>
            <w:r>
              <w:rPr>
                <w:sz w:val="16"/>
              </w:rPr>
              <w:t>30.6 ± 0.0</w:t>
            </w:r>
          </w:p>
        </w:tc>
      </w:tr>
      <w:tr>
        <w:tc>
          <w:tcPr>
            <w:tcW w:type="dxa" w:w="1290"/>
            <w:shd w:fill="F8FAFC"/>
            <w:tcMar>
              <w:top w:w="60" w:type="dxa"/>
              <w:bottom w:w="60" w:type="dxa"/>
              <w:left w:w="80" w:type="dxa"/>
              <w:right w:w="80" w:type="dxa"/>
            </w:tcMar>
          </w:tcPr>
          <w:p>
            <w:pPr>
              <w:jc w:val="center"/>
            </w:pPr>
            <w:r>
              <w:rPr>
                <w:sz w:val="16"/>
              </w:rPr>
            </w:r>
          </w:p>
        </w:tc>
        <w:tc>
          <w:tcPr>
            <w:tcW w:type="dxa" w:w="1290"/>
            <w:shd w:fill="F8FAFC"/>
            <w:tcMar>
              <w:top w:w="60" w:type="dxa"/>
              <w:bottom w:w="60" w:type="dxa"/>
              <w:left w:w="80" w:type="dxa"/>
              <w:right w:w="80" w:type="dxa"/>
            </w:tcMar>
          </w:tcPr>
          <w:p>
            <w:pPr>
              <w:jc w:val="left"/>
            </w:pPr>
            <w:r>
              <w:rPr>
                <w:sz w:val="16"/>
              </w:rPr>
              <w:t>Centralized XGBoost [4]</w:t>
            </w:r>
          </w:p>
        </w:tc>
        <w:tc>
          <w:tcPr>
            <w:tcW w:type="dxa" w:w="1290"/>
            <w:shd w:fill="F8FAFC"/>
            <w:tcMar>
              <w:top w:w="60" w:type="dxa"/>
              <w:bottom w:w="60" w:type="dxa"/>
              <w:left w:w="80" w:type="dxa"/>
              <w:right w:w="80" w:type="dxa"/>
            </w:tcMar>
          </w:tcPr>
          <w:p>
            <w:pPr>
              <w:jc w:val="center"/>
            </w:pPr>
            <w:r>
              <w:rPr>
                <w:sz w:val="16"/>
              </w:rPr>
              <w:t>0.0233 ± 0.0000</w:t>
            </w:r>
          </w:p>
        </w:tc>
        <w:tc>
          <w:tcPr>
            <w:tcW w:type="dxa" w:w="1290"/>
            <w:shd w:fill="F8FAFC"/>
            <w:tcMar>
              <w:top w:w="60" w:type="dxa"/>
              <w:bottom w:w="60" w:type="dxa"/>
              <w:left w:w="80" w:type="dxa"/>
              <w:right w:w="80" w:type="dxa"/>
            </w:tcMar>
          </w:tcPr>
          <w:p>
            <w:pPr>
              <w:jc w:val="center"/>
            </w:pPr>
            <w:r>
              <w:rPr>
                <w:sz w:val="16"/>
              </w:rPr>
              <w:t>0.0325 ± 0.0000</w:t>
            </w:r>
          </w:p>
        </w:tc>
        <w:tc>
          <w:tcPr>
            <w:tcW w:type="dxa" w:w="1290"/>
            <w:shd w:fill="F8FAFC"/>
            <w:tcMar>
              <w:top w:w="60" w:type="dxa"/>
              <w:bottom w:w="60" w:type="dxa"/>
              <w:left w:w="80" w:type="dxa"/>
              <w:right w:w="80" w:type="dxa"/>
            </w:tcMar>
          </w:tcPr>
          <w:p>
            <w:pPr>
              <w:jc w:val="center"/>
            </w:pPr>
            <w:r>
              <w:rPr>
                <w:sz w:val="16"/>
              </w:rPr>
              <w:t>0.0254 ± 0.0000</w:t>
            </w:r>
          </w:p>
        </w:tc>
        <w:tc>
          <w:tcPr>
            <w:tcW w:type="dxa" w:w="1290"/>
            <w:shd w:fill="F8FAFC"/>
            <w:tcMar>
              <w:top w:w="60" w:type="dxa"/>
              <w:bottom w:w="60" w:type="dxa"/>
              <w:left w:w="80" w:type="dxa"/>
              <w:right w:w="80" w:type="dxa"/>
            </w:tcMar>
          </w:tcPr>
          <w:p>
            <w:pPr>
              <w:jc w:val="center"/>
            </w:pPr>
            <w:r>
              <w:rPr>
                <w:sz w:val="16"/>
              </w:rPr>
              <w:t>0.0116 ± 0.0000</w:t>
            </w:r>
          </w:p>
        </w:tc>
        <w:tc>
          <w:tcPr>
            <w:tcW w:type="dxa" w:w="1290"/>
            <w:shd w:fill="F8FAFC"/>
            <w:tcMar>
              <w:top w:w="60" w:type="dxa"/>
              <w:bottom w:w="60" w:type="dxa"/>
              <w:left w:w="80" w:type="dxa"/>
              <w:right w:w="80" w:type="dxa"/>
            </w:tcMar>
          </w:tcPr>
          <w:p>
            <w:pPr>
              <w:jc w:val="center"/>
            </w:pPr>
            <w:r>
              <w:rPr>
                <w:sz w:val="16"/>
              </w:rPr>
              <w:t>28.4 ± 0.0</w:t>
            </w:r>
          </w:p>
        </w:tc>
      </w:tr>
      <w:tr>
        <w:tc>
          <w:tcPr>
            <w:tcW w:type="dxa" w:w="1290"/>
            <w:shd w:fill="FFFFFF"/>
            <w:tcMar>
              <w:top w:w="60" w:type="dxa"/>
              <w:bottom w:w="60" w:type="dxa"/>
              <w:left w:w="80" w:type="dxa"/>
              <w:right w:w="80" w:type="dxa"/>
            </w:tcMar>
          </w:tcPr>
          <w:p>
            <w:pPr>
              <w:jc w:val="center"/>
            </w:pPr>
            <w:r>
              <w:rPr>
                <w:sz w:val="16"/>
              </w:rPr>
            </w:r>
          </w:p>
        </w:tc>
        <w:tc>
          <w:tcPr>
            <w:tcW w:type="dxa" w:w="1290"/>
            <w:shd w:fill="FFFFFF"/>
            <w:tcMar>
              <w:top w:w="60" w:type="dxa"/>
              <w:bottom w:w="60" w:type="dxa"/>
              <w:left w:w="80" w:type="dxa"/>
              <w:right w:w="80" w:type="dxa"/>
            </w:tcMar>
          </w:tcPr>
          <w:p>
            <w:pPr>
              <w:jc w:val="left"/>
            </w:pPr>
            <w:r>
              <w:rPr>
                <w:sz w:val="16"/>
              </w:rPr>
              <w:t>Centralized Standard LSTM [24]</w:t>
            </w:r>
          </w:p>
        </w:tc>
        <w:tc>
          <w:tcPr>
            <w:tcW w:type="dxa" w:w="1290"/>
            <w:shd w:fill="FFFFFF"/>
            <w:tcMar>
              <w:top w:w="60" w:type="dxa"/>
              <w:bottom w:w="60" w:type="dxa"/>
              <w:left w:w="80" w:type="dxa"/>
              <w:right w:w="80" w:type="dxa"/>
            </w:tcMar>
          </w:tcPr>
          <w:p>
            <w:pPr>
              <w:jc w:val="center"/>
            </w:pPr>
            <w:r>
              <w:rPr>
                <w:sz w:val="16"/>
              </w:rPr>
              <w:t>0.0291 ± 0.0006</w:t>
            </w:r>
          </w:p>
        </w:tc>
        <w:tc>
          <w:tcPr>
            <w:tcW w:type="dxa" w:w="1290"/>
            <w:shd w:fill="FFFFFF"/>
            <w:tcMar>
              <w:top w:w="60" w:type="dxa"/>
              <w:bottom w:w="60" w:type="dxa"/>
              <w:left w:w="80" w:type="dxa"/>
              <w:right w:w="80" w:type="dxa"/>
            </w:tcMar>
          </w:tcPr>
          <w:p>
            <w:pPr>
              <w:jc w:val="center"/>
            </w:pPr>
            <w:r>
              <w:rPr>
                <w:sz w:val="16"/>
              </w:rPr>
              <w:t>0.0402 ± 0.0005</w:t>
            </w:r>
          </w:p>
        </w:tc>
        <w:tc>
          <w:tcPr>
            <w:tcW w:type="dxa" w:w="1290"/>
            <w:shd w:fill="FFFFFF"/>
            <w:tcMar>
              <w:top w:w="60" w:type="dxa"/>
              <w:bottom w:w="60" w:type="dxa"/>
              <w:left w:w="80" w:type="dxa"/>
              <w:right w:w="80" w:type="dxa"/>
            </w:tcMar>
          </w:tcPr>
          <w:p>
            <w:pPr>
              <w:jc w:val="center"/>
            </w:pPr>
            <w:r>
              <w:rPr>
                <w:sz w:val="16"/>
              </w:rPr>
              <w:t>0.0304 ± 0.0005</w:t>
            </w:r>
          </w:p>
        </w:tc>
        <w:tc>
          <w:tcPr>
            <w:tcW w:type="dxa" w:w="1290"/>
            <w:shd w:fill="FFFFFF"/>
            <w:tcMar>
              <w:top w:w="60" w:type="dxa"/>
              <w:bottom w:w="60" w:type="dxa"/>
              <w:left w:w="80" w:type="dxa"/>
              <w:right w:w="80" w:type="dxa"/>
            </w:tcMar>
          </w:tcPr>
          <w:p>
            <w:pPr>
              <w:jc w:val="center"/>
            </w:pPr>
            <w:r>
              <w:rPr>
                <w:sz w:val="16"/>
              </w:rPr>
              <w:t>0.0118 ± 0.0004</w:t>
            </w:r>
          </w:p>
        </w:tc>
        <w:tc>
          <w:tcPr>
            <w:tcW w:type="dxa" w:w="1290"/>
            <w:shd w:fill="FFFFFF"/>
            <w:tcMar>
              <w:top w:w="60" w:type="dxa"/>
              <w:bottom w:w="60" w:type="dxa"/>
              <w:left w:w="80" w:type="dxa"/>
              <w:right w:w="80" w:type="dxa"/>
            </w:tcMar>
          </w:tcPr>
          <w:p>
            <w:pPr>
              <w:jc w:val="center"/>
            </w:pPr>
            <w:r>
              <w:rPr>
                <w:sz w:val="16"/>
              </w:rPr>
              <w:t>35.5 ± 0.5</w:t>
            </w:r>
          </w:p>
        </w:tc>
      </w:tr>
      <w:tr>
        <w:tc>
          <w:tcPr>
            <w:tcW w:type="dxa" w:w="1290"/>
            <w:shd w:fill="F8FAFC"/>
            <w:tcMar>
              <w:top w:w="60" w:type="dxa"/>
              <w:bottom w:w="60" w:type="dxa"/>
              <w:left w:w="80" w:type="dxa"/>
              <w:right w:w="80" w:type="dxa"/>
            </w:tcMar>
          </w:tcPr>
          <w:p>
            <w:pPr>
              <w:jc w:val="center"/>
            </w:pPr>
            <w:r>
              <w:rPr>
                <w:sz w:val="16"/>
              </w:rPr>
            </w:r>
          </w:p>
        </w:tc>
        <w:tc>
          <w:tcPr>
            <w:tcW w:type="dxa" w:w="1290"/>
            <w:shd w:fill="F8FAFC"/>
            <w:tcMar>
              <w:top w:w="60" w:type="dxa"/>
              <w:bottom w:w="60" w:type="dxa"/>
              <w:left w:w="80" w:type="dxa"/>
              <w:right w:w="80" w:type="dxa"/>
            </w:tcMar>
          </w:tcPr>
          <w:p>
            <w:pPr>
              <w:jc w:val="left"/>
            </w:pPr>
            <w:r>
              <w:rPr>
                <w:sz w:val="16"/>
              </w:rPr>
              <w:t>Centralized Attention-LSTM [5]</w:t>
            </w:r>
          </w:p>
        </w:tc>
        <w:tc>
          <w:tcPr>
            <w:tcW w:type="dxa" w:w="1290"/>
            <w:shd w:fill="F8FAFC"/>
            <w:tcMar>
              <w:top w:w="60" w:type="dxa"/>
              <w:bottom w:w="60" w:type="dxa"/>
              <w:left w:w="80" w:type="dxa"/>
              <w:right w:w="80" w:type="dxa"/>
            </w:tcMar>
          </w:tcPr>
          <w:p>
            <w:pPr>
              <w:jc w:val="center"/>
            </w:pPr>
            <w:r>
              <w:rPr>
                <w:sz w:val="16"/>
              </w:rPr>
              <w:t>0.0305 ± 0.0005</w:t>
            </w:r>
          </w:p>
        </w:tc>
        <w:tc>
          <w:tcPr>
            <w:tcW w:type="dxa" w:w="1290"/>
            <w:shd w:fill="F8FAFC"/>
            <w:tcMar>
              <w:top w:w="60" w:type="dxa"/>
              <w:bottom w:w="60" w:type="dxa"/>
              <w:left w:w="80" w:type="dxa"/>
              <w:right w:w="80" w:type="dxa"/>
            </w:tcMar>
          </w:tcPr>
          <w:p>
            <w:pPr>
              <w:jc w:val="center"/>
            </w:pPr>
            <w:r>
              <w:rPr>
                <w:sz w:val="16"/>
              </w:rPr>
              <w:t>0.0416 ± 0.0004</w:t>
            </w:r>
          </w:p>
        </w:tc>
        <w:tc>
          <w:tcPr>
            <w:tcW w:type="dxa" w:w="1290"/>
            <w:shd w:fill="F8FAFC"/>
            <w:tcMar>
              <w:top w:w="60" w:type="dxa"/>
              <w:bottom w:w="60" w:type="dxa"/>
              <w:left w:w="80" w:type="dxa"/>
              <w:right w:w="80" w:type="dxa"/>
            </w:tcMar>
          </w:tcPr>
          <w:p>
            <w:pPr>
              <w:jc w:val="center"/>
            </w:pPr>
            <w:r>
              <w:rPr>
                <w:sz w:val="16"/>
              </w:rPr>
              <w:t>0.0318 ± 0.0004</w:t>
            </w:r>
          </w:p>
        </w:tc>
        <w:tc>
          <w:tcPr>
            <w:tcW w:type="dxa" w:w="1290"/>
            <w:shd w:fill="F8FAFC"/>
            <w:tcMar>
              <w:top w:w="60" w:type="dxa"/>
              <w:bottom w:w="60" w:type="dxa"/>
              <w:left w:w="80" w:type="dxa"/>
              <w:right w:w="80" w:type="dxa"/>
            </w:tcMar>
          </w:tcPr>
          <w:p>
            <w:pPr>
              <w:jc w:val="center"/>
            </w:pPr>
            <w:r>
              <w:rPr>
                <w:sz w:val="16"/>
              </w:rPr>
              <w:t>0.0120 ± 0.0003</w:t>
            </w:r>
          </w:p>
        </w:tc>
        <w:tc>
          <w:tcPr>
            <w:tcW w:type="dxa" w:w="1290"/>
            <w:shd w:fill="F8FAFC"/>
            <w:tcMar>
              <w:top w:w="60" w:type="dxa"/>
              <w:bottom w:w="60" w:type="dxa"/>
              <w:left w:w="80" w:type="dxa"/>
              <w:right w:w="80" w:type="dxa"/>
            </w:tcMar>
          </w:tcPr>
          <w:p>
            <w:pPr>
              <w:jc w:val="center"/>
            </w:pPr>
            <w:r>
              <w:rPr>
                <w:sz w:val="16"/>
              </w:rPr>
              <w:t>37.4 ± 0.4</w:t>
            </w:r>
          </w:p>
        </w:tc>
      </w:tr>
      <w:tr>
        <w:tc>
          <w:tcPr>
            <w:tcW w:type="dxa" w:w="1290"/>
            <w:shd w:fill="FFFFFF"/>
            <w:tcMar>
              <w:top w:w="60" w:type="dxa"/>
              <w:bottom w:w="60" w:type="dxa"/>
              <w:left w:w="80" w:type="dxa"/>
              <w:right w:w="80" w:type="dxa"/>
            </w:tcMar>
          </w:tcPr>
          <w:p>
            <w:pPr>
              <w:jc w:val="center"/>
            </w:pPr>
            <w:r>
              <w:rPr>
                <w:sz w:val="16"/>
              </w:rPr>
            </w:r>
          </w:p>
        </w:tc>
        <w:tc>
          <w:tcPr>
            <w:tcW w:type="dxa" w:w="1290"/>
            <w:shd w:fill="FFFFFF"/>
            <w:tcMar>
              <w:top w:w="60" w:type="dxa"/>
              <w:bottom w:w="60" w:type="dxa"/>
              <w:left w:w="80" w:type="dxa"/>
              <w:right w:w="80" w:type="dxa"/>
            </w:tcMar>
          </w:tcPr>
          <w:p>
            <w:pPr>
              <w:jc w:val="left"/>
            </w:pPr>
            <w:r>
              <w:rPr>
                <w:sz w:val="16"/>
              </w:rPr>
              <w:t>Global FedAvg (R=8, B=32) [7]</w:t>
            </w:r>
          </w:p>
        </w:tc>
        <w:tc>
          <w:tcPr>
            <w:tcW w:type="dxa" w:w="1290"/>
            <w:shd w:fill="FFFFFF"/>
            <w:tcMar>
              <w:top w:w="60" w:type="dxa"/>
              <w:bottom w:w="60" w:type="dxa"/>
              <w:left w:w="80" w:type="dxa"/>
              <w:right w:w="80" w:type="dxa"/>
            </w:tcMar>
          </w:tcPr>
          <w:p>
            <w:pPr>
              <w:jc w:val="center"/>
            </w:pPr>
            <w:r>
              <w:rPr>
                <w:sz w:val="16"/>
              </w:rPr>
              <w:t>0.1078 ± 0.0035</w:t>
            </w:r>
          </w:p>
        </w:tc>
        <w:tc>
          <w:tcPr>
            <w:tcW w:type="dxa" w:w="1290"/>
            <w:shd w:fill="FFFFFF"/>
            <w:tcMar>
              <w:top w:w="60" w:type="dxa"/>
              <w:bottom w:w="60" w:type="dxa"/>
              <w:left w:w="80" w:type="dxa"/>
              <w:right w:w="80" w:type="dxa"/>
            </w:tcMar>
          </w:tcPr>
          <w:p>
            <w:pPr>
              <w:jc w:val="center"/>
            </w:pPr>
            <w:r>
              <w:rPr>
                <w:sz w:val="16"/>
              </w:rPr>
              <w:t>0.1415 ± 0.0032</w:t>
            </w:r>
          </w:p>
        </w:tc>
        <w:tc>
          <w:tcPr>
            <w:tcW w:type="dxa" w:w="1290"/>
            <w:shd w:fill="FFFFFF"/>
            <w:tcMar>
              <w:top w:w="60" w:type="dxa"/>
              <w:bottom w:w="60" w:type="dxa"/>
              <w:left w:w="80" w:type="dxa"/>
              <w:right w:w="80" w:type="dxa"/>
            </w:tcMar>
          </w:tcPr>
          <w:p>
            <w:pPr>
              <w:jc w:val="center"/>
            </w:pPr>
            <w:r>
              <w:rPr>
                <w:sz w:val="16"/>
              </w:rPr>
              <w:t>0.1109 ± 0.0031</w:t>
            </w:r>
          </w:p>
        </w:tc>
        <w:tc>
          <w:tcPr>
            <w:tcW w:type="dxa" w:w="1290"/>
            <w:shd w:fill="FFFFFF"/>
            <w:tcMar>
              <w:top w:w="60" w:type="dxa"/>
              <w:bottom w:w="60" w:type="dxa"/>
              <w:left w:w="80" w:type="dxa"/>
              <w:right w:w="80" w:type="dxa"/>
            </w:tcMar>
          </w:tcPr>
          <w:p>
            <w:pPr>
              <w:jc w:val="center"/>
            </w:pPr>
            <w:r>
              <w:rPr>
                <w:sz w:val="16"/>
              </w:rPr>
              <w:t>0.0560 ± 0.0015</w:t>
            </w:r>
          </w:p>
        </w:tc>
        <w:tc>
          <w:tcPr>
            <w:tcW w:type="dxa" w:w="1290"/>
            <w:shd w:fill="FFFFFF"/>
            <w:tcMar>
              <w:top w:w="60" w:type="dxa"/>
              <w:bottom w:w="60" w:type="dxa"/>
              <w:left w:w="80" w:type="dxa"/>
              <w:right w:w="80" w:type="dxa"/>
            </w:tcMar>
          </w:tcPr>
          <w:p>
            <w:pPr>
              <w:jc w:val="center"/>
            </w:pPr>
            <w:r>
              <w:rPr>
                <w:sz w:val="16"/>
              </w:rPr>
              <w:t>137.1 ± 3.1</w:t>
            </w:r>
          </w:p>
        </w:tc>
      </w:tr>
      <w:tr>
        <w:tc>
          <w:tcPr>
            <w:tcW w:type="dxa" w:w="1290"/>
            <w:shd w:fill="F1F5F9"/>
            <w:tcMar>
              <w:top w:w="60" w:type="dxa"/>
              <w:bottom w:w="60" w:type="dxa"/>
              <w:left w:w="80" w:type="dxa"/>
              <w:right w:w="80" w:type="dxa"/>
            </w:tcMar>
          </w:tcPr>
          <w:p>
            <w:pPr>
              <w:jc w:val="center"/>
            </w:pPr>
            <w:r>
              <w:rPr>
                <w:b/>
                <w:sz w:val="16"/>
              </w:rPr>
            </w:r>
          </w:p>
        </w:tc>
        <w:tc>
          <w:tcPr>
            <w:tcW w:type="dxa" w:w="1290"/>
            <w:shd w:fill="F1F5F9"/>
            <w:tcMar>
              <w:top w:w="60" w:type="dxa"/>
              <w:bottom w:w="60" w:type="dxa"/>
              <w:left w:w="80" w:type="dxa"/>
              <w:right w:w="80" w:type="dxa"/>
            </w:tcMar>
          </w:tcPr>
          <w:p>
            <w:pPr>
              <w:jc w:val="left"/>
            </w:pPr>
            <w:r>
              <w:rPr>
                <w:b/>
                <w:sz w:val="16"/>
              </w:rPr>
              <w:t>Personalized FedAvg (Local Adaptation)</w:t>
            </w:r>
          </w:p>
        </w:tc>
        <w:tc>
          <w:tcPr>
            <w:tcW w:type="dxa" w:w="1290"/>
            <w:shd w:fill="F1F5F9"/>
            <w:tcMar>
              <w:top w:w="60" w:type="dxa"/>
              <w:bottom w:w="60" w:type="dxa"/>
              <w:left w:w="80" w:type="dxa"/>
              <w:right w:w="80" w:type="dxa"/>
            </w:tcMar>
          </w:tcPr>
          <w:p>
            <w:pPr>
              <w:jc w:val="center"/>
            </w:pPr>
            <w:r>
              <w:rPr>
                <w:b/>
                <w:sz w:val="16"/>
              </w:rPr>
              <w:t>0.0732 ± 0.0005</w:t>
            </w:r>
          </w:p>
        </w:tc>
        <w:tc>
          <w:tcPr>
            <w:tcW w:type="dxa" w:w="1290"/>
            <w:shd w:fill="F1F5F9"/>
            <w:tcMar>
              <w:top w:w="60" w:type="dxa"/>
              <w:bottom w:w="60" w:type="dxa"/>
              <w:left w:w="80" w:type="dxa"/>
              <w:right w:w="80" w:type="dxa"/>
            </w:tcMar>
          </w:tcPr>
          <w:p>
            <w:pPr>
              <w:jc w:val="center"/>
            </w:pPr>
            <w:r>
              <w:rPr>
                <w:b/>
                <w:sz w:val="16"/>
              </w:rPr>
              <w:t>0.0962 ± 0.0003</w:t>
            </w:r>
          </w:p>
        </w:tc>
        <w:tc>
          <w:tcPr>
            <w:tcW w:type="dxa" w:w="1290"/>
            <w:shd w:fill="F1F5F9"/>
            <w:tcMar>
              <w:top w:w="60" w:type="dxa"/>
              <w:bottom w:w="60" w:type="dxa"/>
              <w:left w:w="80" w:type="dxa"/>
              <w:right w:w="80" w:type="dxa"/>
            </w:tcMar>
          </w:tcPr>
          <w:p>
            <w:pPr>
              <w:jc w:val="center"/>
            </w:pPr>
            <w:r>
              <w:rPr>
                <w:b/>
                <w:sz w:val="16"/>
              </w:rPr>
              <w:t>0.0750 ± 0.0003</w:t>
            </w:r>
          </w:p>
        </w:tc>
        <w:tc>
          <w:tcPr>
            <w:tcW w:type="dxa" w:w="1290"/>
            <w:shd w:fill="F1F5F9"/>
            <w:tcMar>
              <w:top w:w="60" w:type="dxa"/>
              <w:bottom w:w="60" w:type="dxa"/>
              <w:left w:w="80" w:type="dxa"/>
              <w:right w:w="80" w:type="dxa"/>
            </w:tcMar>
          </w:tcPr>
          <w:p>
            <w:pPr>
              <w:jc w:val="center"/>
            </w:pPr>
            <w:r>
              <w:rPr>
                <w:b/>
                <w:sz w:val="16"/>
              </w:rPr>
              <w:t>0.0263 ± 0.0012</w:t>
            </w:r>
          </w:p>
        </w:tc>
        <w:tc>
          <w:tcPr>
            <w:tcW w:type="dxa" w:w="1290"/>
            <w:shd w:fill="F1F5F9"/>
            <w:tcMar>
              <w:top w:w="60" w:type="dxa"/>
              <w:bottom w:w="60" w:type="dxa"/>
              <w:left w:w="80" w:type="dxa"/>
              <w:right w:w="80" w:type="dxa"/>
            </w:tcMar>
          </w:tcPr>
          <w:p>
            <w:pPr>
              <w:jc w:val="center"/>
            </w:pPr>
            <w:r>
              <w:rPr>
                <w:b/>
                <w:sz w:val="16"/>
              </w:rPr>
              <w:t>92.3 ± 0.6</w:t>
            </w:r>
          </w:p>
        </w:tc>
      </w:tr>
    </w:tbl>
    <w:p>
      <w:pPr>
        <w:spacing w:before="0" w:after="80" w:line="276" w:lineRule="auto"/>
        <w:jc w:val="both"/>
      </w:pPr>
      <w:r>
        <w:rPr>
          <w:i/>
          <w:color w:val="64748B"/>
          <w:sz w:val="16"/>
        </w:rPr>
        <w:t>Note: Baseline models (Persistence, Local Linear, Pooled Linear, and XGBoost) are deterministic and seed-invariant (± 0.0000). For archival reference, the primary single-seed benchmark (Seed = 42) reports: Local Linear MAE = 0.0126 (13.9 bays), Centralized Attention-LSTM MAE = 0.0217 (26.9 bays), Global FedAvg MAE = 0.1006 (126.8 bays), and Personalized FedAvg MAE = 0.0607 (73.2 bays).</w:t>
      </w:r>
    </w:p>
    <w:p>
      <w:pPr>
        <w:spacing w:before="0" w:after="120" w:line="276" w:lineRule="auto"/>
        <w:jc w:val="both"/>
      </w:pPr>
    </w:p>
    <w:p>
      <w:pPr>
        <w:jc w:val="center"/>
      </w:pPr>
      <w:r>
        <w:drawing>
          <wp:inline xmlns:a="http://schemas.openxmlformats.org/drawingml/2006/main" xmlns:pic="http://schemas.openxmlformats.org/drawingml/2006/picture">
            <wp:extent cx="5669280" cy="1965350"/>
            <wp:docPr id="2" name="Picture 2"/>
            <wp:cNvGraphicFramePr>
              <a:graphicFrameLocks noChangeAspect="1"/>
            </wp:cNvGraphicFramePr>
            <a:graphic>
              <a:graphicData uri="http://schemas.openxmlformats.org/drawingml/2006/picture">
                <pic:pic>
                  <pic:nvPicPr>
                    <pic:cNvPr id="0" name="fig1_model_comparison_grouped.png"/>
                    <pic:cNvPicPr/>
                  </pic:nvPicPr>
                  <pic:blipFill>
                    <a:blip r:embed="rId10"/>
                    <a:stretch>
                      <a:fillRect/>
                    </a:stretch>
                  </pic:blipFill>
                  <pic:spPr>
                    <a:xfrm>
                      <a:off x="0" y="0"/>
                      <a:ext cx="5669280" cy="1965350"/>
                    </a:xfrm>
                    <a:prstGeom prst="rect"/>
                  </pic:spPr>
                </pic:pic>
              </a:graphicData>
            </a:graphic>
          </wp:inline>
        </w:drawing>
      </w:r>
    </w:p>
    <w:p>
      <w:pPr>
        <w:spacing w:before="120" w:after="80"/>
        <w:jc w:val="center"/>
      </w:pPr>
      <w:r>
        <w:rPr>
          <w:rFonts w:ascii="Times New Roman" w:hAnsi="Times New Roman"/>
          <w:b/>
          <w:sz w:val="19"/>
        </w:rPr>
        <w:t xml:space="preserve">Figure </w:t>
      </w:r>
      <w:r>
        <w:rPr>
          <w:rFonts w:ascii="Times New Roman" w:hAnsi="Times New Roman"/>
          <w:i w:val="0"/>
          <w:sz w:val="19"/>
        </w:rPr>
        <w:t>2. Reconciled 30-Minute Model Benchmark: (a) Pooled MAE (Micro-Average) and (b) Physical Space Error (Vacant Bays).</w:t>
      </w:r>
    </w:p>
    <w:p>
      <w:pPr>
        <w:keepNext/>
        <w:spacing w:before="200" w:after="60"/>
      </w:pPr>
      <w:r>
        <w:rPr>
          <w:rFonts w:ascii="Times New Roman" w:hAnsi="Times New Roman"/>
          <w:b/>
          <w:color w:val="2F4F7F"/>
          <w:sz w:val="23"/>
        </w:rPr>
        <w:t>4.2 Comparative Analysis of Decentralized &amp; Federated Personalization Paradigms</w:t>
      </w:r>
    </w:p>
    <w:p>
      <w:pPr>
        <w:spacing w:before="0" w:after="100" w:line="276" w:lineRule="auto"/>
        <w:jc w:val="both"/>
      </w:pPr>
      <w:r>
        <w:rPr>
          <w:rFonts w:ascii="Times New Roman" w:hAnsi="Times New Roman"/>
          <w:sz w:val="22"/>
        </w:rPr>
        <w:t>To rigorously evaluate the mechanics of federated optimization and personalization, we conducted multi-seed evaluations across seeds {42, 101, 2024} for standard FedAvg, an IID-shuffled federated control, FedProx (mu = 0.01), FedPer (shared representation + private local head), and Personalized FedAvg. Table 3 presents the empirical results across the 30 parking facilities.</w:t>
      </w:r>
    </w:p>
    <w:p>
      <w:pPr>
        <w:spacing w:before="120" w:after="80"/>
        <w:jc w:val="center"/>
      </w:pPr>
      <w:r>
        <w:rPr>
          <w:rFonts w:ascii="Times New Roman" w:hAnsi="Times New Roman"/>
          <w:b/>
          <w:sz w:val="19"/>
        </w:rPr>
        <w:t xml:space="preserve">Table </w:t>
      </w:r>
      <w:r>
        <w:rPr>
          <w:rFonts w:ascii="Times New Roman" w:hAnsi="Times New Roman"/>
          <w:i w:val="0"/>
          <w:sz w:val="19"/>
        </w:rPr>
        <w:t>3. Empirical Comparison of Decentralized &amp; Federated Personalization Paradigms across Communication-Constrained (R=8) and Approximately Matched Compute-Budget (R=15) Regimes (30-Minute Horizon, Mean ± Std across Seeds {42, 101, 2024}).</w:t>
      </w:r>
    </w:p>
    <w:tbl>
      <w:tblPr>
        <w:tblW w:type="auto" w:w="0"/>
        <w:jc w:val="center"/>
        <w:tblLook w:firstColumn="1" w:firstRow="1" w:lastColumn="0" w:lastRow="0" w:noHBand="0" w:noVBand="1" w:val="04A0"/>
        <w:tblBorders>
          <w:top w:val="single" w:sz="8" w:space="0" w:color="1F3864"/>
          <w:bottom w:val="single" w:sz="8" w:space="0" w:color="1F3864"/>
          <w:left w:val="none"/>
          <w:right w:val="none"/>
          <w:insideH w:val="single" w:sz="4" w:space="0" w:color="CBD5E1"/>
          <w:insideV w:val="none"/>
        </w:tblBorders>
      </w:tblPr>
      <w:tblGrid>
        <w:gridCol w:w="1290"/>
        <w:gridCol w:w="1290"/>
        <w:gridCol w:w="1290"/>
        <w:gridCol w:w="1290"/>
        <w:gridCol w:w="1290"/>
        <w:gridCol w:w="1290"/>
        <w:gridCol w:w="1290"/>
      </w:tblGrid>
      <w:tr>
        <w:tc>
          <w:tcPr>
            <w:tcW w:type="dxa" w:w="1656"/>
            <w:shd w:fill="1F3864"/>
            <w:tcMar>
              <w:top w:w="100" w:type="dxa"/>
              <w:bottom w:w="100" w:type="dxa"/>
              <w:left w:w="100" w:type="dxa"/>
              <w:right w:w="100" w:type="dxa"/>
            </w:tcMar>
          </w:tcPr>
          <w:p>
            <w:pPr>
              <w:jc w:val="center"/>
            </w:pPr>
            <w:r>
              <w:rPr>
                <w:b/>
                <w:color w:val="FFFFFF"/>
                <w:sz w:val="16"/>
              </w:rPr>
              <w:t>Regime &amp; Protocol</w:t>
            </w:r>
          </w:p>
        </w:tc>
        <w:tc>
          <w:tcPr>
            <w:tcW w:type="dxa" w:w="2232"/>
            <w:shd w:fill="1F3864"/>
            <w:tcMar>
              <w:top w:w="100" w:type="dxa"/>
              <w:bottom w:w="100" w:type="dxa"/>
              <w:left w:w="100" w:type="dxa"/>
              <w:right w:w="100" w:type="dxa"/>
            </w:tcMar>
          </w:tcPr>
          <w:p>
            <w:pPr>
              <w:jc w:val="center"/>
            </w:pPr>
            <w:r>
              <w:rPr>
                <w:b/>
                <w:color w:val="FFFFFF"/>
                <w:sz w:val="16"/>
              </w:rPr>
              <w:t>Federated Paradigm / Algorithm</w:t>
            </w:r>
          </w:p>
        </w:tc>
        <w:tc>
          <w:tcPr>
            <w:tcW w:type="dxa" w:w="1152"/>
            <w:shd w:fill="1F3864"/>
            <w:tcMar>
              <w:top w:w="100" w:type="dxa"/>
              <w:bottom w:w="100" w:type="dxa"/>
              <w:left w:w="100" w:type="dxa"/>
              <w:right w:w="100" w:type="dxa"/>
            </w:tcMar>
          </w:tcPr>
          <w:p>
            <w:pPr>
              <w:jc w:val="center"/>
            </w:pPr>
            <w:r>
              <w:rPr>
                <w:b/>
                <w:color w:val="FFFFFF"/>
                <w:sz w:val="16"/>
              </w:rPr>
              <w:t>Pooled MAE (Micro)</w:t>
            </w:r>
          </w:p>
        </w:tc>
        <w:tc>
          <w:tcPr>
            <w:tcW w:type="dxa" w:w="1080"/>
            <w:shd w:fill="1F3864"/>
            <w:tcMar>
              <w:top w:w="100" w:type="dxa"/>
              <w:bottom w:w="100" w:type="dxa"/>
              <w:left w:w="100" w:type="dxa"/>
              <w:right w:w="100" w:type="dxa"/>
            </w:tcMar>
          </w:tcPr>
          <w:p>
            <w:pPr>
              <w:jc w:val="center"/>
            </w:pPr>
            <w:r>
              <w:rPr>
                <w:b/>
                <w:color w:val="FFFFFF"/>
                <w:sz w:val="16"/>
              </w:rPr>
              <w:t>Pooled RMSE</w:t>
            </w:r>
          </w:p>
        </w:tc>
        <w:tc>
          <w:tcPr>
            <w:tcW w:type="dxa" w:w="1080"/>
            <w:shd w:fill="1F3864"/>
            <w:tcMar>
              <w:top w:w="100" w:type="dxa"/>
              <w:bottom w:w="100" w:type="dxa"/>
              <w:left w:w="100" w:type="dxa"/>
              <w:right w:w="100" w:type="dxa"/>
            </w:tcMar>
          </w:tcPr>
          <w:p>
            <w:pPr>
              <w:jc w:val="center"/>
            </w:pPr>
            <w:r>
              <w:rPr>
                <w:b/>
                <w:color w:val="FFFFFF"/>
                <w:sz w:val="16"/>
              </w:rPr>
              <w:t>Macro Mean MAE</w:t>
            </w:r>
          </w:p>
        </w:tc>
        <w:tc>
          <w:tcPr>
            <w:tcW w:type="dxa" w:w="1080"/>
            <w:shd w:fill="1F3864"/>
            <w:tcMar>
              <w:top w:w="100" w:type="dxa"/>
              <w:bottom w:w="100" w:type="dxa"/>
              <w:left w:w="100" w:type="dxa"/>
              <w:right w:w="100" w:type="dxa"/>
            </w:tcMar>
          </w:tcPr>
          <w:p>
            <w:pPr>
              <w:jc w:val="center"/>
            </w:pPr>
            <w:r>
              <w:rPr>
                <w:b/>
                <w:color w:val="FFFFFF"/>
                <w:sz w:val="16"/>
              </w:rPr>
              <w:t>Between-Lot Std (sigma)</w:t>
            </w:r>
          </w:p>
        </w:tc>
        <w:tc>
          <w:tcPr>
            <w:tcW w:type="dxa" w:w="1080"/>
            <w:shd w:fill="1F3864"/>
            <w:tcMar>
              <w:top w:w="100" w:type="dxa"/>
              <w:bottom w:w="100" w:type="dxa"/>
              <w:left w:w="100" w:type="dxa"/>
              <w:right w:w="100" w:type="dxa"/>
            </w:tcMar>
          </w:tcPr>
          <w:p>
            <w:pPr>
              <w:jc w:val="center"/>
            </w:pPr>
            <w:r>
              <w:rPr>
                <w:b/>
                <w:color w:val="FFFFFF"/>
                <w:sz w:val="16"/>
              </w:rPr>
              <w:t>Mean Space Error (bays)</w:t>
            </w:r>
          </w:p>
        </w:tc>
      </w:tr>
      <w:tr>
        <w:tc>
          <w:tcPr>
            <w:tcW w:type="dxa" w:w="1656"/>
            <w:shd w:fill="FFFFFF"/>
            <w:tcMar>
              <w:top w:w="60" w:type="dxa"/>
              <w:bottom w:w="60" w:type="dxa"/>
              <w:left w:w="80" w:type="dxa"/>
              <w:right w:w="80" w:type="dxa"/>
            </w:tcMar>
          </w:tcPr>
          <w:p>
            <w:pPr>
              <w:jc w:val="left"/>
            </w:pPr>
            <w:r>
              <w:rPr>
                <w:sz w:val="16"/>
              </w:rPr>
              <w:t>Communication-Constrained (R=8, E=2, ~7,888 steps)</w:t>
            </w:r>
          </w:p>
        </w:tc>
        <w:tc>
          <w:tcPr>
            <w:tcW w:type="dxa" w:w="2232"/>
            <w:shd w:fill="FFFFFF"/>
            <w:tcMar>
              <w:top w:w="60" w:type="dxa"/>
              <w:bottom w:w="60" w:type="dxa"/>
              <w:left w:w="80" w:type="dxa"/>
              <w:right w:w="80" w:type="dxa"/>
            </w:tcMar>
          </w:tcPr>
          <w:p>
            <w:pPr>
              <w:jc w:val="left"/>
            </w:pPr>
            <w:r>
              <w:rPr>
                <w:sz w:val="16"/>
              </w:rPr>
              <w:t>Global FedAvg (R=8, B=32) [7]</w:t>
            </w:r>
          </w:p>
        </w:tc>
        <w:tc>
          <w:tcPr>
            <w:tcW w:type="dxa" w:w="1152"/>
            <w:shd w:fill="FFFFFF"/>
            <w:tcMar>
              <w:top w:w="60" w:type="dxa"/>
              <w:bottom w:w="60" w:type="dxa"/>
              <w:left w:w="80" w:type="dxa"/>
              <w:right w:w="80" w:type="dxa"/>
            </w:tcMar>
          </w:tcPr>
          <w:p>
            <w:pPr>
              <w:jc w:val="center"/>
            </w:pPr>
            <w:r>
              <w:rPr>
                <w:sz w:val="16"/>
              </w:rPr>
              <w:t>0.0935 ± 0.0032</w:t>
            </w:r>
          </w:p>
        </w:tc>
        <w:tc>
          <w:tcPr>
            <w:tcW w:type="dxa" w:w="1080"/>
            <w:shd w:fill="FFFFFF"/>
            <w:tcMar>
              <w:top w:w="60" w:type="dxa"/>
              <w:bottom w:w="60" w:type="dxa"/>
              <w:left w:w="80" w:type="dxa"/>
              <w:right w:w="80" w:type="dxa"/>
            </w:tcMar>
          </w:tcPr>
          <w:p>
            <w:pPr>
              <w:jc w:val="center"/>
            </w:pPr>
            <w:r>
              <w:rPr>
                <w:sz w:val="16"/>
              </w:rPr>
              <w:t>0.1230 ± 0.0030</w:t>
            </w:r>
          </w:p>
        </w:tc>
        <w:tc>
          <w:tcPr>
            <w:tcW w:type="dxa" w:w="1080"/>
            <w:shd w:fill="FFFFFF"/>
            <w:tcMar>
              <w:top w:w="60" w:type="dxa"/>
              <w:bottom w:w="60" w:type="dxa"/>
              <w:left w:w="80" w:type="dxa"/>
              <w:right w:w="80" w:type="dxa"/>
            </w:tcMar>
          </w:tcPr>
          <w:p>
            <w:pPr>
              <w:jc w:val="center"/>
            </w:pPr>
            <w:r>
              <w:rPr>
                <w:sz w:val="16"/>
              </w:rPr>
              <w:t>0.0963 ± 0.0029</w:t>
            </w:r>
          </w:p>
        </w:tc>
        <w:tc>
          <w:tcPr>
            <w:tcW w:type="dxa" w:w="1080"/>
            <w:shd w:fill="FFFFFF"/>
            <w:tcMar>
              <w:top w:w="60" w:type="dxa"/>
              <w:bottom w:w="60" w:type="dxa"/>
              <w:left w:w="80" w:type="dxa"/>
              <w:right w:w="80" w:type="dxa"/>
            </w:tcMar>
          </w:tcPr>
          <w:p>
            <w:pPr>
              <w:jc w:val="center"/>
            </w:pPr>
            <w:r>
              <w:rPr>
                <w:sz w:val="16"/>
              </w:rPr>
              <w:t>0.0498 ± 0.0013</w:t>
            </w:r>
          </w:p>
        </w:tc>
        <w:tc>
          <w:tcPr>
            <w:tcW w:type="dxa" w:w="1080"/>
            <w:shd w:fill="FFFFFF"/>
            <w:tcMar>
              <w:top w:w="60" w:type="dxa"/>
              <w:bottom w:w="60" w:type="dxa"/>
              <w:left w:w="80" w:type="dxa"/>
              <w:right w:w="80" w:type="dxa"/>
            </w:tcMar>
          </w:tcPr>
          <w:p>
            <w:pPr>
              <w:jc w:val="center"/>
            </w:pPr>
            <w:r>
              <w:rPr>
                <w:sz w:val="16"/>
              </w:rPr>
              <w:t>118.5 ± 2.6</w:t>
            </w:r>
          </w:p>
        </w:tc>
      </w:tr>
      <w:tr>
        <w:tc>
          <w:tcPr>
            <w:tcW w:type="dxa" w:w="1656"/>
            <w:shd w:fill="F1F5F9"/>
            <w:tcMar>
              <w:top w:w="60" w:type="dxa"/>
              <w:bottom w:w="60" w:type="dxa"/>
              <w:left w:w="80" w:type="dxa"/>
              <w:right w:w="80" w:type="dxa"/>
            </w:tcMar>
          </w:tcPr>
          <w:p>
            <w:pPr>
              <w:jc w:val="left"/>
            </w:pPr>
            <w:r>
              <w:rPr>
                <w:sz w:val="16"/>
              </w:rPr>
              <w:t>Communication-Constrained (R=8, E=2, 7,696 updates)</w:t>
            </w:r>
          </w:p>
        </w:tc>
        <w:tc>
          <w:tcPr>
            <w:tcW w:type="dxa" w:w="2232"/>
            <w:shd w:fill="F1F5F9"/>
            <w:tcMar>
              <w:top w:w="60" w:type="dxa"/>
              <w:bottom w:w="60" w:type="dxa"/>
              <w:left w:w="80" w:type="dxa"/>
              <w:right w:w="80" w:type="dxa"/>
            </w:tcMar>
          </w:tcPr>
          <w:p>
            <w:pPr>
              <w:jc w:val="left"/>
            </w:pPr>
            <w:r>
              <w:rPr>
                <w:sz w:val="16"/>
              </w:rPr>
              <w:t>IID-Shuffled FedAvg Control</w:t>
            </w:r>
          </w:p>
        </w:tc>
        <w:tc>
          <w:tcPr>
            <w:tcW w:type="dxa" w:w="1152"/>
            <w:shd w:fill="F1F5F9"/>
            <w:tcMar>
              <w:top w:w="60" w:type="dxa"/>
              <w:bottom w:w="60" w:type="dxa"/>
              <w:left w:w="80" w:type="dxa"/>
              <w:right w:w="80" w:type="dxa"/>
            </w:tcMar>
          </w:tcPr>
          <w:p>
            <w:pPr>
              <w:jc w:val="center"/>
            </w:pPr>
            <w:r>
              <w:rPr>
                <w:sz w:val="16"/>
              </w:rPr>
              <w:t>0.0678 ± 0.0019</w:t>
            </w:r>
          </w:p>
        </w:tc>
        <w:tc>
          <w:tcPr>
            <w:tcW w:type="dxa" w:w="1080"/>
            <w:shd w:fill="F1F5F9"/>
            <w:tcMar>
              <w:top w:w="60" w:type="dxa"/>
              <w:bottom w:w="60" w:type="dxa"/>
              <w:left w:w="80" w:type="dxa"/>
              <w:right w:w="80" w:type="dxa"/>
            </w:tcMar>
          </w:tcPr>
          <w:p>
            <w:pPr>
              <w:jc w:val="center"/>
            </w:pPr>
            <w:r>
              <w:rPr>
                <w:sz w:val="16"/>
              </w:rPr>
              <w:t>0.0956 ± 0.0023</w:t>
            </w:r>
          </w:p>
        </w:tc>
        <w:tc>
          <w:tcPr>
            <w:tcW w:type="dxa" w:w="1080"/>
            <w:shd w:fill="F1F5F9"/>
            <w:tcMar>
              <w:top w:w="60" w:type="dxa"/>
              <w:bottom w:w="60" w:type="dxa"/>
              <w:left w:w="80" w:type="dxa"/>
              <w:right w:w="80" w:type="dxa"/>
            </w:tcMar>
          </w:tcPr>
          <w:p>
            <w:pPr>
              <w:jc w:val="center"/>
            </w:pPr>
            <w:r>
              <w:rPr>
                <w:sz w:val="16"/>
              </w:rPr>
              <w:t>0.0711 ± 0.0019</w:t>
            </w:r>
          </w:p>
        </w:tc>
        <w:tc>
          <w:tcPr>
            <w:tcW w:type="dxa" w:w="1080"/>
            <w:shd w:fill="F1F5F9"/>
            <w:tcMar>
              <w:top w:w="60" w:type="dxa"/>
              <w:bottom w:w="60" w:type="dxa"/>
              <w:left w:w="80" w:type="dxa"/>
              <w:right w:w="80" w:type="dxa"/>
            </w:tcMar>
          </w:tcPr>
          <w:p>
            <w:pPr>
              <w:jc w:val="center"/>
            </w:pPr>
            <w:r>
              <w:rPr>
                <w:sz w:val="16"/>
              </w:rPr>
              <w:t>0.0361 ± 0.0012</w:t>
            </w:r>
          </w:p>
        </w:tc>
        <w:tc>
          <w:tcPr>
            <w:tcW w:type="dxa" w:w="1080"/>
            <w:shd w:fill="F1F5F9"/>
            <w:tcMar>
              <w:top w:w="60" w:type="dxa"/>
              <w:bottom w:w="60" w:type="dxa"/>
              <w:left w:w="80" w:type="dxa"/>
              <w:right w:w="80" w:type="dxa"/>
            </w:tcMar>
          </w:tcPr>
          <w:p>
            <w:pPr>
              <w:jc w:val="center"/>
            </w:pPr>
            <w:r>
              <w:rPr>
                <w:sz w:val="16"/>
              </w:rPr>
              <w:t>90.4 ± 1.5</w:t>
            </w:r>
          </w:p>
        </w:tc>
      </w:tr>
      <w:tr>
        <w:tc>
          <w:tcPr>
            <w:tcW w:type="dxa" w:w="1656"/>
            <w:shd w:fill="FFFFFF"/>
            <w:tcMar>
              <w:top w:w="60" w:type="dxa"/>
              <w:bottom w:w="60" w:type="dxa"/>
              <w:left w:w="80" w:type="dxa"/>
              <w:right w:w="80" w:type="dxa"/>
            </w:tcMar>
          </w:tcPr>
          <w:p>
            <w:pPr>
              <w:jc w:val="left"/>
            </w:pPr>
            <w:r>
              <w:rPr>
                <w:sz w:val="16"/>
              </w:rPr>
              <w:t>Communication-Constrained (R=8, E=2, ~7,888 steps)</w:t>
            </w:r>
          </w:p>
        </w:tc>
        <w:tc>
          <w:tcPr>
            <w:tcW w:type="dxa" w:w="2232"/>
            <w:shd w:fill="FFFFFF"/>
            <w:tcMar>
              <w:top w:w="60" w:type="dxa"/>
              <w:bottom w:w="60" w:type="dxa"/>
              <w:left w:w="80" w:type="dxa"/>
              <w:right w:w="80" w:type="dxa"/>
            </w:tcMar>
          </w:tcPr>
          <w:p>
            <w:pPr>
              <w:jc w:val="left"/>
            </w:pPr>
            <w:r>
              <w:rPr>
                <w:sz w:val="16"/>
              </w:rPr>
              <w:t>FedProx (mu = 0.01) [19]</w:t>
            </w:r>
          </w:p>
        </w:tc>
        <w:tc>
          <w:tcPr>
            <w:tcW w:type="dxa" w:w="1152"/>
            <w:shd w:fill="FFFFFF"/>
            <w:tcMar>
              <w:top w:w="60" w:type="dxa"/>
              <w:bottom w:w="60" w:type="dxa"/>
              <w:left w:w="80" w:type="dxa"/>
              <w:right w:w="80" w:type="dxa"/>
            </w:tcMar>
          </w:tcPr>
          <w:p>
            <w:pPr>
              <w:jc w:val="center"/>
            </w:pPr>
            <w:r>
              <w:rPr>
                <w:sz w:val="16"/>
              </w:rPr>
              <w:t>0.1305 ± 0.0162</w:t>
            </w:r>
          </w:p>
        </w:tc>
        <w:tc>
          <w:tcPr>
            <w:tcW w:type="dxa" w:w="1080"/>
            <w:shd w:fill="FFFFFF"/>
            <w:tcMar>
              <w:top w:w="60" w:type="dxa"/>
              <w:bottom w:w="60" w:type="dxa"/>
              <w:left w:w="80" w:type="dxa"/>
              <w:right w:w="80" w:type="dxa"/>
            </w:tcMar>
          </w:tcPr>
          <w:p>
            <w:pPr>
              <w:jc w:val="center"/>
            </w:pPr>
            <w:r>
              <w:rPr>
                <w:sz w:val="16"/>
              </w:rPr>
              <w:t>0.1607 ± 0.0157</w:t>
            </w:r>
          </w:p>
        </w:tc>
        <w:tc>
          <w:tcPr>
            <w:tcW w:type="dxa" w:w="1080"/>
            <w:shd w:fill="FFFFFF"/>
            <w:tcMar>
              <w:top w:w="60" w:type="dxa"/>
              <w:bottom w:w="60" w:type="dxa"/>
              <w:left w:w="80" w:type="dxa"/>
              <w:right w:w="80" w:type="dxa"/>
            </w:tcMar>
          </w:tcPr>
          <w:p>
            <w:pPr>
              <w:jc w:val="center"/>
            </w:pPr>
            <w:r>
              <w:rPr>
                <w:sz w:val="16"/>
              </w:rPr>
              <w:t>0.1333 ± 0.0169</w:t>
            </w:r>
          </w:p>
        </w:tc>
        <w:tc>
          <w:tcPr>
            <w:tcW w:type="dxa" w:w="1080"/>
            <w:shd w:fill="FFFFFF"/>
            <w:tcMar>
              <w:top w:w="60" w:type="dxa"/>
              <w:bottom w:w="60" w:type="dxa"/>
              <w:left w:w="80" w:type="dxa"/>
              <w:right w:w="80" w:type="dxa"/>
            </w:tcMar>
          </w:tcPr>
          <w:p>
            <w:pPr>
              <w:jc w:val="center"/>
            </w:pPr>
            <w:r>
              <w:rPr>
                <w:sz w:val="16"/>
              </w:rPr>
              <w:t>0.0573 ± 0.0040</w:t>
            </w:r>
          </w:p>
        </w:tc>
        <w:tc>
          <w:tcPr>
            <w:tcW w:type="dxa" w:w="1080"/>
            <w:shd w:fill="FFFFFF"/>
            <w:tcMar>
              <w:top w:w="60" w:type="dxa"/>
              <w:bottom w:w="60" w:type="dxa"/>
              <w:left w:w="80" w:type="dxa"/>
              <w:right w:w="80" w:type="dxa"/>
            </w:tcMar>
          </w:tcPr>
          <w:p>
            <w:pPr>
              <w:jc w:val="center"/>
            </w:pPr>
            <w:r>
              <w:rPr>
                <w:sz w:val="16"/>
              </w:rPr>
              <w:t>162.8 ± 18.5</w:t>
            </w:r>
          </w:p>
        </w:tc>
      </w:tr>
      <w:tr>
        <w:tc>
          <w:tcPr>
            <w:tcW w:type="dxa" w:w="1656"/>
            <w:shd w:fill="F8FAFC"/>
            <w:tcMar>
              <w:top w:w="60" w:type="dxa"/>
              <w:bottom w:w="60" w:type="dxa"/>
              <w:left w:w="80" w:type="dxa"/>
              <w:right w:w="80" w:type="dxa"/>
            </w:tcMar>
          </w:tcPr>
          <w:p>
            <w:pPr>
              <w:jc w:val="left"/>
            </w:pPr>
            <w:r>
              <w:rPr>
                <w:sz w:val="16"/>
              </w:rPr>
              <w:t>Communication-Constrained (R=8, E=2, ~7,888 steps)</w:t>
            </w:r>
          </w:p>
        </w:tc>
        <w:tc>
          <w:tcPr>
            <w:tcW w:type="dxa" w:w="2232"/>
            <w:shd w:fill="F8FAFC"/>
            <w:tcMar>
              <w:top w:w="60" w:type="dxa"/>
              <w:bottom w:w="60" w:type="dxa"/>
              <w:left w:w="80" w:type="dxa"/>
              <w:right w:w="80" w:type="dxa"/>
            </w:tcMar>
          </w:tcPr>
          <w:p>
            <w:pPr>
              <w:jc w:val="left"/>
            </w:pPr>
            <w:r>
              <w:rPr>
                <w:sz w:val="16"/>
              </w:rPr>
              <w:t>FedPer (Shared Base, Private Head) [21]</w:t>
            </w:r>
          </w:p>
        </w:tc>
        <w:tc>
          <w:tcPr>
            <w:tcW w:type="dxa" w:w="1152"/>
            <w:shd w:fill="F8FAFC"/>
            <w:tcMar>
              <w:top w:w="60" w:type="dxa"/>
              <w:bottom w:w="60" w:type="dxa"/>
              <w:left w:w="80" w:type="dxa"/>
              <w:right w:w="80" w:type="dxa"/>
            </w:tcMar>
          </w:tcPr>
          <w:p>
            <w:pPr>
              <w:jc w:val="center"/>
            </w:pPr>
            <w:r>
              <w:rPr>
                <w:sz w:val="16"/>
              </w:rPr>
              <w:t>0.0775 ± 0.0012</w:t>
            </w:r>
          </w:p>
        </w:tc>
        <w:tc>
          <w:tcPr>
            <w:tcW w:type="dxa" w:w="1080"/>
            <w:shd w:fill="F8FAFC"/>
            <w:tcMar>
              <w:top w:w="60" w:type="dxa"/>
              <w:bottom w:w="60" w:type="dxa"/>
              <w:left w:w="80" w:type="dxa"/>
              <w:right w:w="80" w:type="dxa"/>
            </w:tcMar>
          </w:tcPr>
          <w:p>
            <w:pPr>
              <w:jc w:val="center"/>
            </w:pPr>
            <w:r>
              <w:rPr>
                <w:sz w:val="16"/>
              </w:rPr>
              <w:t>0.1056 ± 0.0007</w:t>
            </w:r>
          </w:p>
        </w:tc>
        <w:tc>
          <w:tcPr>
            <w:tcW w:type="dxa" w:w="1080"/>
            <w:shd w:fill="F8FAFC"/>
            <w:tcMar>
              <w:top w:w="60" w:type="dxa"/>
              <w:bottom w:w="60" w:type="dxa"/>
              <w:left w:w="80" w:type="dxa"/>
              <w:right w:w="80" w:type="dxa"/>
            </w:tcMar>
          </w:tcPr>
          <w:p>
            <w:pPr>
              <w:jc w:val="center"/>
            </w:pPr>
            <w:r>
              <w:rPr>
                <w:sz w:val="16"/>
              </w:rPr>
              <w:t>0.0798 ± 0.0009</w:t>
            </w:r>
          </w:p>
        </w:tc>
        <w:tc>
          <w:tcPr>
            <w:tcW w:type="dxa" w:w="1080"/>
            <w:shd w:fill="F8FAFC"/>
            <w:tcMar>
              <w:top w:w="60" w:type="dxa"/>
              <w:bottom w:w="60" w:type="dxa"/>
              <w:left w:w="80" w:type="dxa"/>
              <w:right w:w="80" w:type="dxa"/>
            </w:tcMar>
          </w:tcPr>
          <w:p>
            <w:pPr>
              <w:jc w:val="center"/>
            </w:pPr>
            <w:r>
              <w:rPr>
                <w:sz w:val="16"/>
              </w:rPr>
              <w:t>0.0379 ± 0.0007</w:t>
            </w:r>
          </w:p>
        </w:tc>
        <w:tc>
          <w:tcPr>
            <w:tcW w:type="dxa" w:w="1080"/>
            <w:shd w:fill="F8FAFC"/>
            <w:tcMar>
              <w:top w:w="60" w:type="dxa"/>
              <w:bottom w:w="60" w:type="dxa"/>
              <w:left w:w="80" w:type="dxa"/>
              <w:right w:w="80" w:type="dxa"/>
            </w:tcMar>
          </w:tcPr>
          <w:p>
            <w:pPr>
              <w:jc w:val="center"/>
            </w:pPr>
            <w:r>
              <w:rPr>
                <w:sz w:val="16"/>
              </w:rPr>
              <w:t>99.8 ± 1.2</w:t>
            </w:r>
          </w:p>
        </w:tc>
      </w:tr>
      <w:tr>
        <w:tc>
          <w:tcPr>
            <w:tcW w:type="dxa" w:w="1656"/>
            <w:shd w:fill="F1F5F9"/>
            <w:tcMar>
              <w:top w:w="60" w:type="dxa"/>
              <w:bottom w:w="60" w:type="dxa"/>
              <w:left w:w="80" w:type="dxa"/>
              <w:right w:w="80" w:type="dxa"/>
            </w:tcMar>
          </w:tcPr>
          <w:p>
            <w:pPr>
              <w:jc w:val="left"/>
            </w:pPr>
            <w:r>
              <w:rPr>
                <w:b/>
                <w:sz w:val="16"/>
              </w:rPr>
              <w:t>Communication-Constrained (R=8, E=2, 9,367 updates (including fine-tuning))</w:t>
            </w:r>
          </w:p>
        </w:tc>
        <w:tc>
          <w:tcPr>
            <w:tcW w:type="dxa" w:w="2232"/>
            <w:shd w:fill="F1F5F9"/>
            <w:tcMar>
              <w:top w:w="60" w:type="dxa"/>
              <w:bottom w:w="60" w:type="dxa"/>
              <w:left w:w="80" w:type="dxa"/>
              <w:right w:w="80" w:type="dxa"/>
            </w:tcMar>
          </w:tcPr>
          <w:p>
            <w:pPr>
              <w:jc w:val="left"/>
            </w:pPr>
            <w:r>
              <w:rPr>
                <w:b/>
                <w:sz w:val="16"/>
              </w:rPr>
              <w:t>Personalized FedAvg (Local Adaptation)</w:t>
            </w:r>
          </w:p>
        </w:tc>
        <w:tc>
          <w:tcPr>
            <w:tcW w:type="dxa" w:w="1152"/>
            <w:shd w:fill="F1F5F9"/>
            <w:tcMar>
              <w:top w:w="60" w:type="dxa"/>
              <w:bottom w:w="60" w:type="dxa"/>
              <w:left w:w="80" w:type="dxa"/>
              <w:right w:w="80" w:type="dxa"/>
            </w:tcMar>
          </w:tcPr>
          <w:p>
            <w:pPr>
              <w:jc w:val="center"/>
            </w:pPr>
            <w:r>
              <w:rPr>
                <w:b/>
                <w:sz w:val="16"/>
              </w:rPr>
              <w:t>0.0592 ± 0.0004</w:t>
            </w:r>
          </w:p>
        </w:tc>
        <w:tc>
          <w:tcPr>
            <w:tcW w:type="dxa" w:w="1080"/>
            <w:shd w:fill="F1F5F9"/>
            <w:tcMar>
              <w:top w:w="60" w:type="dxa"/>
              <w:bottom w:w="60" w:type="dxa"/>
              <w:left w:w="80" w:type="dxa"/>
              <w:right w:w="80" w:type="dxa"/>
            </w:tcMar>
          </w:tcPr>
          <w:p>
            <w:pPr>
              <w:jc w:val="center"/>
            </w:pPr>
            <w:r>
              <w:rPr>
                <w:b/>
                <w:sz w:val="16"/>
              </w:rPr>
              <w:t>0.0786 ± 0.0001</w:t>
            </w:r>
          </w:p>
        </w:tc>
        <w:tc>
          <w:tcPr>
            <w:tcW w:type="dxa" w:w="1080"/>
            <w:shd w:fill="F1F5F9"/>
            <w:tcMar>
              <w:top w:w="60" w:type="dxa"/>
              <w:bottom w:w="60" w:type="dxa"/>
              <w:left w:w="80" w:type="dxa"/>
              <w:right w:w="80" w:type="dxa"/>
            </w:tcMar>
          </w:tcPr>
          <w:p>
            <w:pPr>
              <w:jc w:val="center"/>
            </w:pPr>
            <w:r>
              <w:rPr>
                <w:b/>
                <w:sz w:val="16"/>
              </w:rPr>
              <w:t>0.0612 ± 0.0001</w:t>
            </w:r>
          </w:p>
        </w:tc>
        <w:tc>
          <w:tcPr>
            <w:tcW w:type="dxa" w:w="1080"/>
            <w:shd w:fill="F1F5F9"/>
            <w:tcMar>
              <w:top w:w="60" w:type="dxa"/>
              <w:bottom w:w="60" w:type="dxa"/>
              <w:left w:w="80" w:type="dxa"/>
              <w:right w:w="80" w:type="dxa"/>
            </w:tcMar>
          </w:tcPr>
          <w:p>
            <w:pPr>
              <w:jc w:val="center"/>
            </w:pPr>
            <w:r>
              <w:rPr>
                <w:b/>
                <w:sz w:val="16"/>
              </w:rPr>
              <w:t>0.0243 ± 0.0014</w:t>
            </w:r>
          </w:p>
        </w:tc>
        <w:tc>
          <w:tcPr>
            <w:tcW w:type="dxa" w:w="1080"/>
            <w:shd w:fill="F1F5F9"/>
            <w:tcMar>
              <w:top w:w="60" w:type="dxa"/>
              <w:bottom w:w="60" w:type="dxa"/>
              <w:left w:w="80" w:type="dxa"/>
              <w:right w:w="80" w:type="dxa"/>
            </w:tcMar>
          </w:tcPr>
          <w:p>
            <w:pPr>
              <w:jc w:val="center"/>
            </w:pPr>
            <w:r>
              <w:rPr>
                <w:b/>
                <w:sz w:val="16"/>
              </w:rPr>
              <w:t>82.4 ± 0.4</w:t>
            </w:r>
          </w:p>
        </w:tc>
      </w:tr>
      <w:tr>
        <w:tc>
          <w:tcPr>
            <w:tcW w:type="dxa" w:w="1656"/>
            <w:shd w:fill="EFF6FF"/>
            <w:tcMar>
              <w:top w:w="60" w:type="dxa"/>
              <w:bottom w:w="60" w:type="dxa"/>
              <w:left w:w="80" w:type="dxa"/>
              <w:right w:w="80" w:type="dxa"/>
            </w:tcMar>
          </w:tcPr>
          <w:p>
            <w:pPr>
              <w:jc w:val="left"/>
            </w:pPr>
            <w:r>
              <w:rPr>
                <w:b/>
                <w:color w:val="1E3A8A"/>
                <w:sz w:val="16"/>
              </w:rPr>
              <w:t>Decomposition (R=8 Budget)</w:t>
            </w:r>
          </w:p>
        </w:tc>
        <w:tc>
          <w:tcPr>
            <w:tcW w:type="dxa" w:w="7740"/>
            <w:gridSpan w:val="6"/>
            <w:shd w:fill="EFF6FF"/>
            <w:tcMar>
              <w:top w:w="60" w:type="dxa"/>
              <w:bottom w:w="60" w:type="dxa"/>
              <w:left w:w="80" w:type="dxa"/>
              <w:right w:w="80" w:type="dxa"/>
            </w:tcMar>
          </w:tcPr>
          <w:p>
            <w:pPr>
              <w:jc w:val="left"/>
            </w:pPr>
            <w:r>
              <w:rPr>
                <w:b/>
                <w:color w:val="1E3A8A"/>
                <w:sz w:val="16"/>
              </w:rPr>
              <w:t>Heterogeneity Gap: 0.0257 (35.8%) | IID-to-Centralized Residual: 0.0461 (64.2%) | Total Gap: 0.0718</w:t>
            </w:r>
          </w:p>
        </w:tc>
      </w:tr>
      <w:tr>
        <w:tc>
          <w:tcPr>
            <w:tcW w:type="dxa" w:w="1656"/>
            <w:shd w:fill="F1F5F9"/>
            <w:tcMar>
              <w:top w:w="60" w:type="dxa"/>
              <w:bottom w:w="60" w:type="dxa"/>
              <w:left w:w="80" w:type="dxa"/>
              <w:right w:w="80" w:type="dxa"/>
            </w:tcMar>
          </w:tcPr>
          <w:p>
            <w:pPr>
              <w:jc w:val="left"/>
            </w:pPr>
            <w:r>
              <w:rPr>
                <w:sz w:val="16"/>
              </w:rPr>
              <w:t>Matched Compute Budget (R=15, 14,790 updates)</w:t>
            </w:r>
          </w:p>
        </w:tc>
        <w:tc>
          <w:tcPr>
            <w:tcW w:type="dxa" w:w="2232"/>
            <w:shd w:fill="F1F5F9"/>
            <w:tcMar>
              <w:top w:w="60" w:type="dxa"/>
              <w:bottom w:w="60" w:type="dxa"/>
              <w:left w:w="80" w:type="dxa"/>
              <w:right w:w="80" w:type="dxa"/>
            </w:tcMar>
          </w:tcPr>
          <w:p>
            <w:pPr>
              <w:jc w:val="left"/>
            </w:pPr>
            <w:r>
              <w:rPr>
                <w:sz w:val="16"/>
              </w:rPr>
              <w:t>Compute-Matched Global FedAvg (R=15, Non-IID)</w:t>
            </w:r>
          </w:p>
        </w:tc>
        <w:tc>
          <w:tcPr>
            <w:tcW w:type="dxa" w:w="1152"/>
            <w:shd w:fill="F1F5F9"/>
            <w:tcMar>
              <w:top w:w="60" w:type="dxa"/>
              <w:bottom w:w="60" w:type="dxa"/>
              <w:left w:w="80" w:type="dxa"/>
              <w:right w:w="80" w:type="dxa"/>
            </w:tcMar>
          </w:tcPr>
          <w:p>
            <w:pPr>
              <w:jc w:val="center"/>
            </w:pPr>
            <w:r>
              <w:rPr>
                <w:sz w:val="16"/>
              </w:rPr>
              <w:t>0.0858 ± 0.0015</w:t>
            </w:r>
          </w:p>
        </w:tc>
        <w:tc>
          <w:tcPr>
            <w:tcW w:type="dxa" w:w="1080"/>
            <w:shd w:fill="F1F5F9"/>
            <w:tcMar>
              <w:top w:w="60" w:type="dxa"/>
              <w:bottom w:w="60" w:type="dxa"/>
              <w:left w:w="80" w:type="dxa"/>
              <w:right w:w="80" w:type="dxa"/>
            </w:tcMar>
          </w:tcPr>
          <w:p>
            <w:pPr>
              <w:jc w:val="center"/>
            </w:pPr>
            <w:r>
              <w:rPr>
                <w:sz w:val="16"/>
              </w:rPr>
              <w:t>0.1139 ± 0.0011</w:t>
            </w:r>
          </w:p>
        </w:tc>
        <w:tc>
          <w:tcPr>
            <w:tcW w:type="dxa" w:w="1080"/>
            <w:shd w:fill="F1F5F9"/>
            <w:tcMar>
              <w:top w:w="60" w:type="dxa"/>
              <w:bottom w:w="60" w:type="dxa"/>
              <w:left w:w="80" w:type="dxa"/>
              <w:right w:w="80" w:type="dxa"/>
            </w:tcMar>
          </w:tcPr>
          <w:p>
            <w:pPr>
              <w:jc w:val="center"/>
            </w:pPr>
            <w:r>
              <w:rPr>
                <w:sz w:val="16"/>
              </w:rPr>
              <w:t>0.0889 ± 0.0016</w:t>
            </w:r>
          </w:p>
        </w:tc>
        <w:tc>
          <w:tcPr>
            <w:tcW w:type="dxa" w:w="1080"/>
            <w:shd w:fill="F1F5F9"/>
            <w:tcMar>
              <w:top w:w="60" w:type="dxa"/>
              <w:bottom w:w="60" w:type="dxa"/>
              <w:left w:w="80" w:type="dxa"/>
              <w:right w:w="80" w:type="dxa"/>
            </w:tcMar>
          </w:tcPr>
          <w:p>
            <w:pPr>
              <w:jc w:val="center"/>
            </w:pPr>
            <w:r>
              <w:rPr>
                <w:sz w:val="16"/>
              </w:rPr>
              <w:t>0.0465 ± 0.0007</w:t>
            </w:r>
          </w:p>
        </w:tc>
        <w:tc>
          <w:tcPr>
            <w:tcW w:type="dxa" w:w="1080"/>
            <w:shd w:fill="F1F5F9"/>
            <w:tcMar>
              <w:top w:w="60" w:type="dxa"/>
              <w:bottom w:w="60" w:type="dxa"/>
              <w:left w:w="80" w:type="dxa"/>
              <w:right w:w="80" w:type="dxa"/>
            </w:tcMar>
          </w:tcPr>
          <w:p>
            <w:pPr>
              <w:jc w:val="center"/>
            </w:pPr>
            <w:r>
              <w:rPr>
                <w:sz w:val="16"/>
              </w:rPr>
              <w:t>109.5 ± 1.8</w:t>
            </w:r>
          </w:p>
        </w:tc>
      </w:tr>
      <w:tr>
        <w:tc>
          <w:tcPr>
            <w:tcW w:type="dxa" w:w="1656"/>
            <w:shd w:fill="F1F5F9"/>
            <w:tcMar>
              <w:top w:w="60" w:type="dxa"/>
              <w:bottom w:w="60" w:type="dxa"/>
              <w:left w:w="80" w:type="dxa"/>
              <w:right w:w="80" w:type="dxa"/>
            </w:tcMar>
          </w:tcPr>
          <w:p>
            <w:pPr>
              <w:jc w:val="left"/>
            </w:pPr>
            <w:r>
              <w:rPr>
                <w:sz w:val="16"/>
              </w:rPr>
              <w:t>Matched Compute Budget (R=15, 14,430 updates)</w:t>
            </w:r>
          </w:p>
        </w:tc>
        <w:tc>
          <w:tcPr>
            <w:tcW w:type="dxa" w:w="2232"/>
            <w:shd w:fill="F1F5F9"/>
            <w:tcMar>
              <w:top w:w="60" w:type="dxa"/>
              <w:bottom w:w="60" w:type="dxa"/>
              <w:left w:w="80" w:type="dxa"/>
              <w:right w:w="80" w:type="dxa"/>
            </w:tcMar>
          </w:tcPr>
          <w:p>
            <w:pPr>
              <w:jc w:val="left"/>
            </w:pPr>
            <w:r>
              <w:rPr>
                <w:sz w:val="16"/>
              </w:rPr>
              <w:t>Compute-Matched IID-Shuffled FedAvg (R=15)</w:t>
            </w:r>
          </w:p>
        </w:tc>
        <w:tc>
          <w:tcPr>
            <w:tcW w:type="dxa" w:w="1152"/>
            <w:shd w:fill="F1F5F9"/>
            <w:tcMar>
              <w:top w:w="60" w:type="dxa"/>
              <w:bottom w:w="60" w:type="dxa"/>
              <w:left w:w="80" w:type="dxa"/>
              <w:right w:w="80" w:type="dxa"/>
            </w:tcMar>
          </w:tcPr>
          <w:p>
            <w:pPr>
              <w:jc w:val="center"/>
            </w:pPr>
            <w:r>
              <w:rPr>
                <w:sz w:val="16"/>
              </w:rPr>
              <w:t>0.0384 ± 0.0010</w:t>
            </w:r>
          </w:p>
        </w:tc>
        <w:tc>
          <w:tcPr>
            <w:tcW w:type="dxa" w:w="1080"/>
            <w:shd w:fill="F1F5F9"/>
            <w:tcMar>
              <w:top w:w="60" w:type="dxa"/>
              <w:bottom w:w="60" w:type="dxa"/>
              <w:left w:w="80" w:type="dxa"/>
              <w:right w:w="80" w:type="dxa"/>
            </w:tcMar>
          </w:tcPr>
          <w:p>
            <w:pPr>
              <w:jc w:val="center"/>
            </w:pPr>
            <w:r>
              <w:rPr>
                <w:sz w:val="16"/>
              </w:rPr>
              <w:t>0.0541 ± 0.0018</w:t>
            </w:r>
          </w:p>
        </w:tc>
        <w:tc>
          <w:tcPr>
            <w:tcW w:type="dxa" w:w="1080"/>
            <w:shd w:fill="F1F5F9"/>
            <w:tcMar>
              <w:top w:w="60" w:type="dxa"/>
              <w:bottom w:w="60" w:type="dxa"/>
              <w:left w:w="80" w:type="dxa"/>
              <w:right w:w="80" w:type="dxa"/>
            </w:tcMar>
          </w:tcPr>
          <w:p>
            <w:pPr>
              <w:jc w:val="center"/>
            </w:pPr>
            <w:r>
              <w:rPr>
                <w:sz w:val="16"/>
              </w:rPr>
              <w:t>0.0405 ± 0.0010</w:t>
            </w:r>
          </w:p>
        </w:tc>
        <w:tc>
          <w:tcPr>
            <w:tcW w:type="dxa" w:w="1080"/>
            <w:shd w:fill="F1F5F9"/>
            <w:tcMar>
              <w:top w:w="60" w:type="dxa"/>
              <w:bottom w:w="60" w:type="dxa"/>
              <w:left w:w="80" w:type="dxa"/>
              <w:right w:w="80" w:type="dxa"/>
            </w:tcMar>
          </w:tcPr>
          <w:p>
            <w:pPr>
              <w:jc w:val="center"/>
            </w:pPr>
            <w:r>
              <w:rPr>
                <w:sz w:val="16"/>
              </w:rPr>
              <w:t>0.0198 ± 0.0008</w:t>
            </w:r>
          </w:p>
        </w:tc>
        <w:tc>
          <w:tcPr>
            <w:tcW w:type="dxa" w:w="1080"/>
            <w:shd w:fill="F1F5F9"/>
            <w:tcMar>
              <w:top w:w="60" w:type="dxa"/>
              <w:bottom w:w="60" w:type="dxa"/>
              <w:left w:w="80" w:type="dxa"/>
              <w:right w:w="80" w:type="dxa"/>
            </w:tcMar>
          </w:tcPr>
          <w:p>
            <w:pPr>
              <w:jc w:val="center"/>
            </w:pPr>
            <w:r>
              <w:rPr>
                <w:sz w:val="16"/>
              </w:rPr>
              <w:t>47.5 ± 1.0</w:t>
            </w:r>
          </w:p>
        </w:tc>
      </w:tr>
      <w:tr>
        <w:tc>
          <w:tcPr>
            <w:tcW w:type="dxa" w:w="1656"/>
            <w:shd w:fill="F1F5F9"/>
            <w:tcMar>
              <w:top w:w="60" w:type="dxa"/>
              <w:bottom w:w="60" w:type="dxa"/>
              <w:left w:w="80" w:type="dxa"/>
              <w:right w:w="80" w:type="dxa"/>
            </w:tcMar>
          </w:tcPr>
          <w:p>
            <w:pPr>
              <w:jc w:val="left"/>
            </w:pPr>
            <w:r>
              <w:rPr>
                <w:b/>
                <w:sz w:val="16"/>
              </w:rPr>
              <w:t>Matched Compute Budget (R=15, 16,269 updates (including fine-tuning))</w:t>
            </w:r>
          </w:p>
        </w:tc>
        <w:tc>
          <w:tcPr>
            <w:tcW w:type="dxa" w:w="2232"/>
            <w:shd w:fill="F1F5F9"/>
            <w:tcMar>
              <w:top w:w="60" w:type="dxa"/>
              <w:bottom w:w="60" w:type="dxa"/>
              <w:left w:w="80" w:type="dxa"/>
              <w:right w:w="80" w:type="dxa"/>
            </w:tcMar>
          </w:tcPr>
          <w:p>
            <w:pPr>
              <w:jc w:val="left"/>
            </w:pPr>
            <w:r>
              <w:rPr>
                <w:b/>
                <w:sz w:val="16"/>
              </w:rPr>
              <w:t>Compute-Matched Personalized FedAvg (R=15)</w:t>
            </w:r>
          </w:p>
        </w:tc>
        <w:tc>
          <w:tcPr>
            <w:tcW w:type="dxa" w:w="1152"/>
            <w:shd w:fill="F1F5F9"/>
            <w:tcMar>
              <w:top w:w="60" w:type="dxa"/>
              <w:bottom w:w="60" w:type="dxa"/>
              <w:left w:w="80" w:type="dxa"/>
              <w:right w:w="80" w:type="dxa"/>
            </w:tcMar>
          </w:tcPr>
          <w:p>
            <w:pPr>
              <w:jc w:val="center"/>
            </w:pPr>
            <w:r>
              <w:rPr>
                <w:b/>
                <w:sz w:val="16"/>
              </w:rPr>
              <w:t>0.0548 ± 0.0012</w:t>
            </w:r>
          </w:p>
        </w:tc>
        <w:tc>
          <w:tcPr>
            <w:tcW w:type="dxa" w:w="1080"/>
            <w:shd w:fill="F1F5F9"/>
            <w:tcMar>
              <w:top w:w="60" w:type="dxa"/>
              <w:bottom w:w="60" w:type="dxa"/>
              <w:left w:w="80" w:type="dxa"/>
              <w:right w:w="80" w:type="dxa"/>
            </w:tcMar>
          </w:tcPr>
          <w:p>
            <w:pPr>
              <w:jc w:val="center"/>
            </w:pPr>
            <w:r>
              <w:rPr>
                <w:b/>
                <w:sz w:val="16"/>
              </w:rPr>
              <w:t>0.0741 ± 0.0022</w:t>
            </w:r>
          </w:p>
        </w:tc>
        <w:tc>
          <w:tcPr>
            <w:tcW w:type="dxa" w:w="1080"/>
            <w:shd w:fill="F1F5F9"/>
            <w:tcMar>
              <w:top w:w="60" w:type="dxa"/>
              <w:bottom w:w="60" w:type="dxa"/>
              <w:left w:w="80" w:type="dxa"/>
              <w:right w:w="80" w:type="dxa"/>
            </w:tcMar>
          </w:tcPr>
          <w:p>
            <w:pPr>
              <w:jc w:val="center"/>
            </w:pPr>
            <w:r>
              <w:rPr>
                <w:b/>
                <w:sz w:val="16"/>
              </w:rPr>
              <w:t>0.0565 ± 0.0015</w:t>
            </w:r>
          </w:p>
        </w:tc>
        <w:tc>
          <w:tcPr>
            <w:tcW w:type="dxa" w:w="1080"/>
            <w:shd w:fill="F1F5F9"/>
            <w:tcMar>
              <w:top w:w="60" w:type="dxa"/>
              <w:bottom w:w="60" w:type="dxa"/>
              <w:left w:w="80" w:type="dxa"/>
              <w:right w:w="80" w:type="dxa"/>
            </w:tcMar>
          </w:tcPr>
          <w:p>
            <w:pPr>
              <w:jc w:val="center"/>
            </w:pPr>
            <w:r>
              <w:rPr>
                <w:b/>
                <w:sz w:val="16"/>
              </w:rPr>
              <w:t>0.0222 ± 0.0022</w:t>
            </w:r>
          </w:p>
        </w:tc>
        <w:tc>
          <w:tcPr>
            <w:tcW w:type="dxa" w:w="1080"/>
            <w:shd w:fill="F1F5F9"/>
            <w:tcMar>
              <w:top w:w="60" w:type="dxa"/>
              <w:bottom w:w="60" w:type="dxa"/>
              <w:left w:w="80" w:type="dxa"/>
              <w:right w:w="80" w:type="dxa"/>
            </w:tcMar>
          </w:tcPr>
          <w:p>
            <w:pPr>
              <w:jc w:val="center"/>
            </w:pPr>
            <w:r>
              <w:rPr>
                <w:b/>
                <w:sz w:val="16"/>
              </w:rPr>
              <w:t>67.5 ± 1.6</w:t>
            </w:r>
          </w:p>
        </w:tc>
      </w:tr>
      <w:tr>
        <w:tc>
          <w:tcPr>
            <w:tcW w:type="dxa" w:w="1656"/>
            <w:shd w:fill="EFF6FF"/>
            <w:tcMar>
              <w:top w:w="60" w:type="dxa"/>
              <w:bottom w:w="60" w:type="dxa"/>
              <w:left w:w="80" w:type="dxa"/>
              <w:right w:w="80" w:type="dxa"/>
            </w:tcMar>
          </w:tcPr>
          <w:p>
            <w:pPr>
              <w:jc w:val="left"/>
            </w:pPr>
            <w:r>
              <w:rPr>
                <w:b/>
                <w:color w:val="1E3A8A"/>
                <w:sz w:val="16"/>
              </w:rPr>
              <w:t>Decomposition (R=15 Budget)</w:t>
            </w:r>
          </w:p>
        </w:tc>
        <w:tc>
          <w:tcPr>
            <w:tcW w:type="dxa" w:w="7740"/>
            <w:gridSpan w:val="6"/>
            <w:shd w:fill="EFF6FF"/>
            <w:tcMar>
              <w:top w:w="60" w:type="dxa"/>
              <w:bottom w:w="60" w:type="dxa"/>
              <w:left w:w="80" w:type="dxa"/>
              <w:right w:w="80" w:type="dxa"/>
            </w:tcMar>
          </w:tcPr>
          <w:p>
            <w:pPr>
              <w:jc w:val="left"/>
            </w:pPr>
            <w:r>
              <w:rPr>
                <w:b/>
                <w:color w:val="1E3A8A"/>
                <w:sz w:val="16"/>
              </w:rPr>
              <w:t>Heterogeneity Gap: 0.0474 (73.9%) | Residual Optimization Gap: 0.0167 (26.1%) | Total Gap: 0.0641</w:t>
            </w:r>
          </w:p>
        </w:tc>
      </w:tr>
    </w:tbl>
    <w:p>
      <w:pPr>
        <w:spacing w:before="0" w:after="80" w:line="276" w:lineRule="auto"/>
        <w:jc w:val="both"/>
      </w:pPr>
      <w:r>
        <w:rPr>
          <w:i/>
          <w:color w:val="64748B"/>
          <w:sz w:val="16"/>
        </w:rPr>
        <w:t>Note: All metrics report multi-seed mean ± std across seeds {42, 101, 2024}. Cumulative optimizer updates across the 30 clients: Centralized model = 14,370 updates (30 epochs × 479 batches); Panel 1 (R=8): Global FedAvg, FedProx, and FedPer execute 7,888 client updates across the 30 facilities (493 batches/epoch × 16 epochs, averaging 262.9 updates/client, 54.9% of centralized compute); IID-Shuffled FedAvg executes 7,696 client updates (481 batches/epoch × 16 epochs across 29 clients of 509 samples and 1 of 538, averaging 256.5 updates/client, 53.6% of centralized compute); Personalized FedAvg includes 3 post-aggregation local fine-tuning epochs adding 1,479 updates (493 × 3), totaling 9,367 client updates across the federation (averaging 312.2 updates/client, 65.2% of centralized compute). Panel 2 (R=15 Matched Budget): Non-IID FedAvg executes 14,790 updates (493 × 30 epochs, averaging 493.0 updates/client, 102.9% of centralized compute); IID-Shuffled FedAvg executes 14,430 updates (481 × 30 epochs, averaging 481.0 updates/client, 100.4% of centralized compute); Personalized FedAvg executes 14,790 base + 1,479 fine-tuning = 16,269 updates (averaging 542.3 updates/client, 113.2% of centralized compute). Decomposition formula: Δ_total = MAE_Non-IID - MAE_Centralized (Centralized Attention-LSTM = 0.0217 ± 0.0004); Δ_heterogeneity = MAE_Non-IID - MAE_IID-Shuffled; Δ_optimization = MAE_IID-Shuffled - MAE_Centralized. Seed-level results: Panel 1 (R=8): Non-IID = [0.0970, 0.0925, 0.0908]; IID-Shuffled = [0.0659, 0.0677, 0.0698]; Personalized = [0.0596, 0.0593, 0.0587]. Panel 2 (R=15): Non-IID = [0.0857, 0.0874, 0.0844]; IID-Shuffled = [0.0372, 0.0389, 0.0390]; Personalized = [0.0535, 0.0558, 0.0551]. Under the 8-round protocol, the difference between non-IID FedAvg and the IID control corresponds to 35.8% of the gap to centralized accuracy, while the remaining 64.2% is the IID-to-centralized residual (consistent with under-training, but not uniquely attributable to under-training alone). Under the approximately matched 15-round budget, mitigating compute starvation allows IID FedAvg to converge to 0.0384 ± 0.0010, with the observed difference associated with non-IID versus IID-shuffled configurations accounting for 73.9% of the remaining deficit under this matched-budget protocol.</w:t>
      </w:r>
    </w:p>
    <w:p>
      <w:pPr>
        <w:spacing w:before="0" w:after="120" w:line="276" w:lineRule="auto"/>
        <w:jc w:val="both"/>
      </w:pPr>
    </w:p>
    <w:p>
      <w:pPr>
        <w:spacing w:before="0" w:after="100" w:line="276" w:lineRule="auto"/>
        <w:jc w:val="both"/>
      </w:pPr>
      <w:r>
        <w:rPr>
          <w:rFonts w:ascii="Times New Roman" w:hAnsi="Times New Roman"/>
          <w:sz w:val="22"/>
        </w:rPr>
        <w:t>Table 3 presents comparative empirical insights into the nature of federated learning on IoT streams across two distinct optimization regimes:</w:t>
      </w:r>
    </w:p>
    <w:p>
      <w:pPr>
        <w:pStyle w:val="ListParagraph"/>
        <w:spacing w:before="40" w:after="40"/>
      </w:pPr>
      <w:r>
        <w:rPr>
          <w:b/>
        </w:rPr>
        <w:t xml:space="preserve">1. Empirical Decomposition across Communication-Constrained and Approximately Matched Compute Regimes: </w:t>
      </w:r>
      <w:r>
        <w:t>Under communication constraints (R = 8 rounds, ~256 local steps/client), Global FedAvg achieves an MAE of 0.0935 ± 0.0032. Eliminating statistical heterogeneity via IID shuffling reduces error to 0.0678 ± 0.0019. Relative to the centralized Attention-LSTM benchmark (0.0217), the difference between non-IID FedAvg and the IID control accounts for 35.8% (0.0257) of the overall gap, while the remaining 64.2% (0.0461) represents the IID-to-centralized residual, which is consistent with optimization under-training but cannot be attributed to under-training alone. Crucially, when scaled to an approximately matched compute budget (R = 15 rounds, E = 2, totaling 14,790 cumulative client updates vs 14,370 centralized steps, 102.9%), IID-Shuffled FedAvg converges to 0.0384 ± 0.0010 (47.5 bays), cutting the optimization gap by 63.8% (from 0.0461 to 0.0167). In contrast, Non-IID FedAvg at R = 15 reaches 0.0858 ± 0.0015 (109.5 bays). Under this matched budget, the observed difference associated with non-IID versus IID-shuffled configurations accounts for 73.9% (0.0474) of the remaining deficit once compute starvation is mitigated, while the residual optimization gap shrinks to 26.1% (0.0167).</w:t>
      </w:r>
    </w:p>
    <w:p>
      <w:pPr>
        <w:pStyle w:val="ListParagraph"/>
        <w:spacing w:before="40" w:after="40"/>
      </w:pPr>
      <w:r>
        <w:rPr>
          <w:b/>
        </w:rPr>
        <w:t xml:space="preserve">2. Algorithmic Comparison: FedProx vs. FedPer vs. Fine-Tuning: </w:t>
      </w:r>
      <w:r>
        <w:t>Adding proximal regularization (FedProx, mu = 0.01) achieves an MAE of 0.1305 ± 0.0162. Because clients are already starved of local updates (~256 steps), the proximal penalty anchors parameters to an under-converged global model, adding optimization friction. In contrast, decoupling the network via FedPer (federating base recurrent representations while keeping classification heads local) substantially improves accuracy, achieving an MAE of 0.0775 ± 0.0012. However, post-aggregation local fine-tuning (Personalized FedAvg) achieves the superior result (MAE: 0.0592 ± 0.0004), representing a 36.7% relative error reduction over global FedAvg and recovering 47.8% of the performance gap toward centralized Attention-LSTM (and 50.6% recovery in the primary single-seed benchmark).</w:t>
      </w:r>
    </w:p>
    <w:p>
      <w:pPr>
        <w:pStyle w:val="ListParagraph"/>
        <w:spacing w:before="40" w:after="40"/>
      </w:pPr>
      <w:r>
        <w:rPr>
          <w:b/>
        </w:rPr>
        <w:t xml:space="preserve">3. Variance Compression &amp; Outlier Mitigation: </w:t>
      </w:r>
      <w:r>
        <w:t>Personalization compresses between-lot standard deviation (sigma) by 51.2%, falling from 0.0498 to 0.0243. Under global FedAvg, severe outlier error occurs at BHMBRCBRG01 (MAE: 0.2599) and BHMBRCBRG02 (MAE: 0.2080). Personalization cuts the error of BHMBRCBRG01 to 0.1240 (a 52.3% reduction) and BHMBRCBRG02 to 0.0992 (a 52.3% reduction). The highest remaining personalized MAE across all 30 facilities is 0.1268 at NIA North, caused by its extremely sparse training set (only 69 sequences).</w:t>
      </w:r>
    </w:p>
    <w:p>
      <w:pPr>
        <w:pStyle w:val="ListParagraph"/>
        <w:spacing w:before="40" w:after="80"/>
      </w:pPr>
      <w:r>
        <w:rPr>
          <w:b/>
        </w:rPr>
        <w:t xml:space="preserve">4. Physical Space Error Scaling: </w:t>
      </w:r>
      <w:r>
        <w:t>In the primary single-run benchmark (Table 2), Global FedAvg incurs an unweighted macro space error of 126.8 bays (130.6 sample-weighted micro bays), while Personalized FedAvg reduces this to 73.2 bays (75.0 micro bays), achieving a 42.3% reduction in physical parking allocation error. Across the three-seed evaluation (Table 3), Global FedAvg achieves an unweighted macro space error of 118.5 ± 2.6 bays (121.3 ± 2.8 micro bays), whereas Personalized FedAvg reduces space error to 82.4 ± 0.4 bays (84.0 ± 0.4 micro bays). In stark contrast, the zero-communication Local Linear AR(4) baseline incurs only 13.9 bays of unweighted macro space error (17.6 sample-weighted micro bays), demonstrating that if municipal governance permits local-only processing, isolated local linear models are overwhelmingly superior.</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fig2_personalization_distribution_boxplot.png"/>
                    <pic:cNvPicPr/>
                  </pic:nvPicPr>
                  <pic:blipFill>
                    <a:blip r:embed="rId11"/>
                    <a:stretch>
                      <a:fillRect/>
                    </a:stretch>
                  </pic:blipFill>
                  <pic:spPr>
                    <a:xfrm>
                      <a:off x="0" y="0"/>
                      <a:ext cx="5486400" cy="3291840"/>
                    </a:xfrm>
                    <a:prstGeom prst="rect"/>
                  </pic:spPr>
                </pic:pic>
              </a:graphicData>
            </a:graphic>
          </wp:inline>
        </w:drawing>
      </w:r>
    </w:p>
    <w:p>
      <w:pPr>
        <w:spacing w:before="120" w:after="80"/>
        <w:jc w:val="center"/>
      </w:pPr>
      <w:r>
        <w:rPr>
          <w:rFonts w:ascii="Times New Roman" w:hAnsi="Times New Roman"/>
          <w:b/>
          <w:sz w:val="19"/>
        </w:rPr>
        <w:t xml:space="preserve">Figure </w:t>
      </w:r>
      <w:r>
        <w:rPr>
          <w:rFonts w:ascii="Times New Roman" w:hAnsi="Times New Roman"/>
          <w:i w:val="0"/>
          <w:sz w:val="19"/>
        </w:rPr>
        <w:t>3. Inter-Lot Error Distribution &amp; Variance Reduction across 30 Facilities: Boxplot comparison of Local Linear, Centralized, Global FedAvg, and Personalized FedAvg.</w:t>
      </w:r>
    </w:p>
    <w:p>
      <w:pPr>
        <w:keepNext/>
        <w:spacing w:before="200" w:after="60"/>
      </w:pPr>
      <w:r>
        <w:rPr>
          <w:rFonts w:ascii="Times New Roman" w:hAnsi="Times New Roman"/>
          <w:b/>
          <w:color w:val="2F4F7F"/>
          <w:sz w:val="23"/>
        </w:rPr>
        <w:t>4.3 Controlled Round Scaling and Diminishing Returns</w:t>
      </w:r>
    </w:p>
    <w:p>
      <w:pPr>
        <w:spacing w:before="0" w:after="100" w:line="276" w:lineRule="auto"/>
        <w:jc w:val="both"/>
      </w:pPr>
      <w:r>
        <w:rPr>
          <w:rFonts w:ascii="Times New Roman" w:hAnsi="Times New Roman"/>
          <w:sz w:val="22"/>
        </w:rPr>
        <w:t>To evaluate whether additional federated communication rounds can bridge the performance gap, we conducted a controlled round scaling experiment across all 30 clients with R in {4, 8, 12, 16}. This ablation was evaluated under local batch size B = 64 (which halves the gradient updates per epoch relative to the primary benchmark's B = 32). Table 4 and Figure 4 document the convergence trajectory.</w:t>
      </w:r>
    </w:p>
    <w:p>
      <w:pPr>
        <w:spacing w:before="120" w:after="80"/>
        <w:jc w:val="center"/>
      </w:pPr>
      <w:r>
        <w:rPr>
          <w:rFonts w:ascii="Times New Roman" w:hAnsi="Times New Roman"/>
          <w:b/>
          <w:sz w:val="19"/>
        </w:rPr>
        <w:t xml:space="preserve">Table </w:t>
      </w:r>
      <w:r>
        <w:rPr>
          <w:rFonts w:ascii="Times New Roman" w:hAnsi="Times New Roman"/>
          <w:i w:val="0"/>
          <w:sz w:val="19"/>
        </w:rPr>
        <w:t>4. Controlled 30-Client Round Scaling Ablation Trajectory (B = 64, E = 2, eta = 0.001).</w:t>
      </w:r>
    </w:p>
    <w:tbl>
      <w:tblPr>
        <w:tblW w:type="auto" w:w="0"/>
        <w:jc w:val="center"/>
        <w:tblLook w:firstColumn="1" w:firstRow="1" w:lastColumn="0" w:lastRow="0" w:noHBand="0" w:noVBand="1" w:val="04A0"/>
        <w:tblBorders>
          <w:top w:val="single" w:sz="8" w:space="0" w:color="1F3864"/>
          <w:bottom w:val="single" w:sz="8" w:space="0" w:color="1F3864"/>
          <w:left w:val="none"/>
          <w:right w:val="none"/>
          <w:insideH w:val="single" w:sz="4" w:space="0" w:color="CBD5E1"/>
          <w:insideV w:val="none"/>
        </w:tblBorders>
      </w:tblPr>
      <w:tblGrid>
        <w:gridCol w:w="1806"/>
        <w:gridCol w:w="1806"/>
        <w:gridCol w:w="1806"/>
        <w:gridCol w:w="1806"/>
        <w:gridCol w:w="1806"/>
      </w:tblGrid>
      <w:tr>
        <w:tc>
          <w:tcPr>
            <w:tcW w:type="dxa" w:w="1806"/>
            <w:shd w:fill="1F3864"/>
            <w:tcMar>
              <w:top w:w="100" w:type="dxa"/>
              <w:bottom w:w="100" w:type="dxa"/>
              <w:left w:w="100" w:type="dxa"/>
              <w:right w:w="100" w:type="dxa"/>
            </w:tcMar>
          </w:tcPr>
          <w:p>
            <w:pPr>
              <w:jc w:val="center"/>
            </w:pPr>
            <w:r>
              <w:rPr>
                <w:b/>
                <w:color w:val="FFFFFF"/>
                <w:sz w:val="17"/>
              </w:rPr>
              <w:t>Communication Rounds (R)</w:t>
            </w:r>
          </w:p>
        </w:tc>
        <w:tc>
          <w:tcPr>
            <w:tcW w:type="dxa" w:w="1806"/>
            <w:shd w:fill="1F3864"/>
            <w:tcMar>
              <w:top w:w="100" w:type="dxa"/>
              <w:bottom w:w="100" w:type="dxa"/>
              <w:left w:w="100" w:type="dxa"/>
              <w:right w:w="100" w:type="dxa"/>
            </w:tcMar>
          </w:tcPr>
          <w:p>
            <w:pPr>
              <w:jc w:val="center"/>
            </w:pPr>
            <w:r>
              <w:rPr>
                <w:b/>
                <w:color w:val="FFFFFF"/>
                <w:sz w:val="17"/>
              </w:rPr>
              <w:t>Mean Train MSE</w:t>
            </w:r>
          </w:p>
        </w:tc>
        <w:tc>
          <w:tcPr>
            <w:tcW w:type="dxa" w:w="1806"/>
            <w:shd w:fill="1F3864"/>
            <w:tcMar>
              <w:top w:w="100" w:type="dxa"/>
              <w:bottom w:w="100" w:type="dxa"/>
              <w:left w:w="100" w:type="dxa"/>
              <w:right w:w="100" w:type="dxa"/>
            </w:tcMar>
          </w:tcPr>
          <w:p>
            <w:pPr>
              <w:jc w:val="center"/>
            </w:pPr>
            <w:r>
              <w:rPr>
                <w:b/>
                <w:color w:val="FFFFFF"/>
                <w:sz w:val="17"/>
              </w:rPr>
              <w:t>Pooled Test MAE (y_30)</w:t>
            </w:r>
          </w:p>
        </w:tc>
        <w:tc>
          <w:tcPr>
            <w:tcW w:type="dxa" w:w="1806"/>
            <w:shd w:fill="1F3864"/>
            <w:tcMar>
              <w:top w:w="100" w:type="dxa"/>
              <w:bottom w:w="100" w:type="dxa"/>
              <w:left w:w="100" w:type="dxa"/>
              <w:right w:w="100" w:type="dxa"/>
            </w:tcMar>
          </w:tcPr>
          <w:p>
            <w:pPr>
              <w:jc w:val="center"/>
            </w:pPr>
            <w:r>
              <w:rPr>
                <w:b/>
                <w:color w:val="FFFFFF"/>
                <w:sz w:val="17"/>
              </w:rPr>
              <w:t>Macro Mean MAE</w:t>
            </w:r>
          </w:p>
        </w:tc>
        <w:tc>
          <w:tcPr>
            <w:tcW w:type="dxa" w:w="1806"/>
            <w:shd w:fill="1F3864"/>
            <w:tcMar>
              <w:top w:w="100" w:type="dxa"/>
              <w:bottom w:w="100" w:type="dxa"/>
              <w:left w:w="100" w:type="dxa"/>
              <w:right w:w="100" w:type="dxa"/>
            </w:tcMar>
          </w:tcPr>
          <w:p>
            <w:pPr>
              <w:jc w:val="center"/>
            </w:pPr>
            <w:r>
              <w:rPr>
                <w:b/>
                <w:color w:val="FFFFFF"/>
                <w:sz w:val="17"/>
              </w:rPr>
              <w:t>Between-Lot Std (sigma)</w:t>
            </w:r>
          </w:p>
        </w:tc>
      </w:tr>
      <w:tr>
        <w:tc>
          <w:tcPr>
            <w:tcW w:type="dxa" w:w="1806"/>
            <w:shd w:fill="FFFFFF"/>
            <w:tcMar>
              <w:top w:w="60" w:type="dxa"/>
              <w:bottom w:w="60" w:type="dxa"/>
              <w:left w:w="80" w:type="dxa"/>
              <w:right w:w="80" w:type="dxa"/>
            </w:tcMar>
          </w:tcPr>
          <w:p>
            <w:pPr>
              <w:jc w:val="center"/>
            </w:pPr>
            <w:r>
              <w:rPr>
                <w:sz w:val="17"/>
              </w:rPr>
              <w:t>4 Rounds</w:t>
            </w:r>
          </w:p>
        </w:tc>
        <w:tc>
          <w:tcPr>
            <w:tcW w:type="dxa" w:w="1806"/>
            <w:shd w:fill="FFFFFF"/>
            <w:tcMar>
              <w:top w:w="60" w:type="dxa"/>
              <w:bottom w:w="60" w:type="dxa"/>
              <w:left w:w="80" w:type="dxa"/>
              <w:right w:w="80" w:type="dxa"/>
            </w:tcMar>
          </w:tcPr>
          <w:p>
            <w:pPr>
              <w:jc w:val="center"/>
            </w:pPr>
            <w:r>
              <w:rPr>
                <w:sz w:val="17"/>
              </w:rPr>
              <w:t>0.0410</w:t>
            </w:r>
          </w:p>
        </w:tc>
        <w:tc>
          <w:tcPr>
            <w:tcW w:type="dxa" w:w="1806"/>
            <w:shd w:fill="FFFFFF"/>
            <w:tcMar>
              <w:top w:w="60" w:type="dxa"/>
              <w:bottom w:w="60" w:type="dxa"/>
              <w:left w:w="80" w:type="dxa"/>
              <w:right w:w="80" w:type="dxa"/>
            </w:tcMar>
          </w:tcPr>
          <w:p>
            <w:pPr>
              <w:jc w:val="center"/>
            </w:pPr>
            <w:r>
              <w:rPr>
                <w:sz w:val="17"/>
              </w:rPr>
              <w:t>0.2062</w:t>
            </w:r>
          </w:p>
        </w:tc>
        <w:tc>
          <w:tcPr>
            <w:tcW w:type="dxa" w:w="1806"/>
            <w:shd w:fill="FFFFFF"/>
            <w:tcMar>
              <w:top w:w="60" w:type="dxa"/>
              <w:bottom w:w="60" w:type="dxa"/>
              <w:left w:w="80" w:type="dxa"/>
              <w:right w:w="80" w:type="dxa"/>
            </w:tcMar>
          </w:tcPr>
          <w:p>
            <w:pPr>
              <w:jc w:val="center"/>
            </w:pPr>
            <w:r>
              <w:rPr>
                <w:sz w:val="17"/>
              </w:rPr>
              <w:t>0.2116</w:t>
            </w:r>
          </w:p>
        </w:tc>
        <w:tc>
          <w:tcPr>
            <w:tcW w:type="dxa" w:w="1806"/>
            <w:shd w:fill="FFFFFF"/>
            <w:tcMar>
              <w:top w:w="60" w:type="dxa"/>
              <w:bottom w:w="60" w:type="dxa"/>
              <w:left w:w="80" w:type="dxa"/>
              <w:right w:w="80" w:type="dxa"/>
            </w:tcMar>
          </w:tcPr>
          <w:p>
            <w:pPr>
              <w:jc w:val="center"/>
            </w:pPr>
            <w:r>
              <w:rPr>
                <w:sz w:val="17"/>
              </w:rPr>
              <w:t>0.0857</w:t>
            </w:r>
          </w:p>
        </w:tc>
      </w:tr>
      <w:tr>
        <w:tc>
          <w:tcPr>
            <w:tcW w:type="dxa" w:w="1806"/>
            <w:shd w:fill="F8FAFC"/>
            <w:tcMar>
              <w:top w:w="60" w:type="dxa"/>
              <w:bottom w:w="60" w:type="dxa"/>
              <w:left w:w="80" w:type="dxa"/>
              <w:right w:w="80" w:type="dxa"/>
            </w:tcMar>
          </w:tcPr>
          <w:p>
            <w:pPr>
              <w:jc w:val="center"/>
            </w:pPr>
            <w:r>
              <w:rPr>
                <w:sz w:val="17"/>
              </w:rPr>
              <w:t>8 Rounds (B=64 Ablation)</w:t>
            </w:r>
          </w:p>
        </w:tc>
        <w:tc>
          <w:tcPr>
            <w:tcW w:type="dxa" w:w="1806"/>
            <w:shd w:fill="F8FAFC"/>
            <w:tcMar>
              <w:top w:w="60" w:type="dxa"/>
              <w:bottom w:w="60" w:type="dxa"/>
              <w:left w:w="80" w:type="dxa"/>
              <w:right w:w="80" w:type="dxa"/>
            </w:tcMar>
          </w:tcPr>
          <w:p>
            <w:pPr>
              <w:jc w:val="center"/>
            </w:pPr>
            <w:r>
              <w:rPr>
                <w:sz w:val="17"/>
              </w:rPr>
              <w:t>0.0128</w:t>
            </w:r>
          </w:p>
        </w:tc>
        <w:tc>
          <w:tcPr>
            <w:tcW w:type="dxa" w:w="1806"/>
            <w:shd w:fill="F8FAFC"/>
            <w:tcMar>
              <w:top w:w="60" w:type="dxa"/>
              <w:bottom w:w="60" w:type="dxa"/>
              <w:left w:w="80" w:type="dxa"/>
              <w:right w:w="80" w:type="dxa"/>
            </w:tcMar>
          </w:tcPr>
          <w:p>
            <w:pPr>
              <w:jc w:val="center"/>
            </w:pPr>
            <w:r>
              <w:rPr>
                <w:sz w:val="17"/>
              </w:rPr>
              <w:t>0.1144</w:t>
            </w:r>
          </w:p>
        </w:tc>
        <w:tc>
          <w:tcPr>
            <w:tcW w:type="dxa" w:w="1806"/>
            <w:shd w:fill="F8FAFC"/>
            <w:tcMar>
              <w:top w:w="60" w:type="dxa"/>
              <w:bottom w:w="60" w:type="dxa"/>
              <w:left w:w="80" w:type="dxa"/>
              <w:right w:w="80" w:type="dxa"/>
            </w:tcMar>
          </w:tcPr>
          <w:p>
            <w:pPr>
              <w:jc w:val="center"/>
            </w:pPr>
            <w:r>
              <w:rPr>
                <w:sz w:val="17"/>
              </w:rPr>
              <w:t>0.1170</w:t>
            </w:r>
          </w:p>
        </w:tc>
        <w:tc>
          <w:tcPr>
            <w:tcW w:type="dxa" w:w="1806"/>
            <w:shd w:fill="F8FAFC"/>
            <w:tcMar>
              <w:top w:w="60" w:type="dxa"/>
              <w:bottom w:w="60" w:type="dxa"/>
              <w:left w:w="80" w:type="dxa"/>
              <w:right w:w="80" w:type="dxa"/>
            </w:tcMar>
          </w:tcPr>
          <w:p>
            <w:pPr>
              <w:jc w:val="center"/>
            </w:pPr>
            <w:r>
              <w:rPr>
                <w:sz w:val="17"/>
              </w:rPr>
              <w:t>0.0538</w:t>
            </w:r>
          </w:p>
        </w:tc>
      </w:tr>
      <w:tr>
        <w:tc>
          <w:tcPr>
            <w:tcW w:type="dxa" w:w="1806"/>
            <w:shd w:fill="FFFFFF"/>
            <w:tcMar>
              <w:top w:w="60" w:type="dxa"/>
              <w:bottom w:w="60" w:type="dxa"/>
              <w:left w:w="80" w:type="dxa"/>
              <w:right w:w="80" w:type="dxa"/>
            </w:tcMar>
          </w:tcPr>
          <w:p>
            <w:pPr>
              <w:jc w:val="center"/>
            </w:pPr>
            <w:r>
              <w:rPr>
                <w:sz w:val="17"/>
              </w:rPr>
              <w:t>12 Rounds</w:t>
            </w:r>
          </w:p>
        </w:tc>
        <w:tc>
          <w:tcPr>
            <w:tcW w:type="dxa" w:w="1806"/>
            <w:shd w:fill="FFFFFF"/>
            <w:tcMar>
              <w:top w:w="60" w:type="dxa"/>
              <w:bottom w:w="60" w:type="dxa"/>
              <w:left w:w="80" w:type="dxa"/>
              <w:right w:w="80" w:type="dxa"/>
            </w:tcMar>
          </w:tcPr>
          <w:p>
            <w:pPr>
              <w:jc w:val="center"/>
            </w:pPr>
            <w:r>
              <w:rPr>
                <w:sz w:val="17"/>
              </w:rPr>
              <w:t>0.0093</w:t>
            </w:r>
          </w:p>
        </w:tc>
        <w:tc>
          <w:tcPr>
            <w:tcW w:type="dxa" w:w="1806"/>
            <w:shd w:fill="FFFFFF"/>
            <w:tcMar>
              <w:top w:w="60" w:type="dxa"/>
              <w:bottom w:w="60" w:type="dxa"/>
              <w:left w:w="80" w:type="dxa"/>
              <w:right w:w="80" w:type="dxa"/>
            </w:tcMar>
          </w:tcPr>
          <w:p>
            <w:pPr>
              <w:jc w:val="center"/>
            </w:pPr>
            <w:r>
              <w:rPr>
                <w:sz w:val="17"/>
              </w:rPr>
              <w:t>0.1006</w:t>
            </w:r>
          </w:p>
        </w:tc>
        <w:tc>
          <w:tcPr>
            <w:tcW w:type="dxa" w:w="1806"/>
            <w:shd w:fill="FFFFFF"/>
            <w:tcMar>
              <w:top w:w="60" w:type="dxa"/>
              <w:bottom w:w="60" w:type="dxa"/>
              <w:left w:w="80" w:type="dxa"/>
              <w:right w:w="80" w:type="dxa"/>
            </w:tcMar>
          </w:tcPr>
          <w:p>
            <w:pPr>
              <w:jc w:val="center"/>
            </w:pPr>
            <w:r>
              <w:rPr>
                <w:sz w:val="17"/>
              </w:rPr>
              <w:t>0.1036</w:t>
            </w:r>
          </w:p>
        </w:tc>
        <w:tc>
          <w:tcPr>
            <w:tcW w:type="dxa" w:w="1806"/>
            <w:shd w:fill="FFFFFF"/>
            <w:tcMar>
              <w:top w:w="60" w:type="dxa"/>
              <w:bottom w:w="60" w:type="dxa"/>
              <w:left w:w="80" w:type="dxa"/>
              <w:right w:w="80" w:type="dxa"/>
            </w:tcMar>
          </w:tcPr>
          <w:p>
            <w:pPr>
              <w:jc w:val="center"/>
            </w:pPr>
            <w:r>
              <w:rPr>
                <w:sz w:val="17"/>
              </w:rPr>
              <w:t>0.0513</w:t>
            </w:r>
          </w:p>
        </w:tc>
      </w:tr>
      <w:tr>
        <w:tc>
          <w:tcPr>
            <w:tcW w:type="dxa" w:w="1806"/>
            <w:shd w:fill="F8FAFC"/>
            <w:tcMar>
              <w:top w:w="60" w:type="dxa"/>
              <w:bottom w:w="60" w:type="dxa"/>
              <w:left w:w="80" w:type="dxa"/>
              <w:right w:w="80" w:type="dxa"/>
            </w:tcMar>
          </w:tcPr>
          <w:p>
            <w:pPr>
              <w:jc w:val="center"/>
            </w:pPr>
            <w:r>
              <w:rPr>
                <w:sz w:val="17"/>
              </w:rPr>
              <w:t>16 Rounds</w:t>
            </w:r>
          </w:p>
        </w:tc>
        <w:tc>
          <w:tcPr>
            <w:tcW w:type="dxa" w:w="1806"/>
            <w:shd w:fill="F8FAFC"/>
            <w:tcMar>
              <w:top w:w="60" w:type="dxa"/>
              <w:bottom w:w="60" w:type="dxa"/>
              <w:left w:w="80" w:type="dxa"/>
              <w:right w:w="80" w:type="dxa"/>
            </w:tcMar>
          </w:tcPr>
          <w:p>
            <w:pPr>
              <w:jc w:val="center"/>
            </w:pPr>
            <w:r>
              <w:rPr>
                <w:sz w:val="17"/>
              </w:rPr>
              <w:t>0.0085</w:t>
            </w:r>
          </w:p>
        </w:tc>
        <w:tc>
          <w:tcPr>
            <w:tcW w:type="dxa" w:w="1806"/>
            <w:shd w:fill="F8FAFC"/>
            <w:tcMar>
              <w:top w:w="60" w:type="dxa"/>
              <w:bottom w:w="60" w:type="dxa"/>
              <w:left w:w="80" w:type="dxa"/>
              <w:right w:w="80" w:type="dxa"/>
            </w:tcMar>
          </w:tcPr>
          <w:p>
            <w:pPr>
              <w:jc w:val="center"/>
            </w:pPr>
            <w:r>
              <w:rPr>
                <w:sz w:val="17"/>
              </w:rPr>
              <w:t>0.0978</w:t>
            </w:r>
          </w:p>
        </w:tc>
        <w:tc>
          <w:tcPr>
            <w:tcW w:type="dxa" w:w="1806"/>
            <w:shd w:fill="F8FAFC"/>
            <w:tcMar>
              <w:top w:w="60" w:type="dxa"/>
              <w:bottom w:w="60" w:type="dxa"/>
              <w:left w:w="80" w:type="dxa"/>
              <w:right w:w="80" w:type="dxa"/>
            </w:tcMar>
          </w:tcPr>
          <w:p>
            <w:pPr>
              <w:jc w:val="center"/>
            </w:pPr>
            <w:r>
              <w:rPr>
                <w:sz w:val="17"/>
              </w:rPr>
              <w:t>0.0999</w:t>
            </w:r>
          </w:p>
        </w:tc>
        <w:tc>
          <w:tcPr>
            <w:tcW w:type="dxa" w:w="1806"/>
            <w:shd w:fill="F8FAFC"/>
            <w:tcMar>
              <w:top w:w="60" w:type="dxa"/>
              <w:bottom w:w="60" w:type="dxa"/>
              <w:left w:w="80" w:type="dxa"/>
              <w:right w:w="80" w:type="dxa"/>
            </w:tcMar>
          </w:tcPr>
          <w:p>
            <w:pPr>
              <w:jc w:val="center"/>
            </w:pPr>
            <w:r>
              <w:rPr>
                <w:sz w:val="17"/>
              </w:rPr>
              <w:t>0.0497</w:t>
            </w:r>
          </w:p>
        </w:tc>
      </w:tr>
    </w:tbl>
    <w:p>
      <w:pPr>
        <w:spacing w:before="0" w:after="120" w:line="276" w:lineRule="auto"/>
        <w:jc w:val="both"/>
      </w:pPr>
    </w:p>
    <w:p>
      <w:pPr>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fig4_round_scaling_30clients.png"/>
                    <pic:cNvPicPr/>
                  </pic:nvPicPr>
                  <pic:blipFill>
                    <a:blip r:embed="rId12"/>
                    <a:stretch>
                      <a:fillRect/>
                    </a:stretch>
                  </pic:blipFill>
                  <pic:spPr>
                    <a:xfrm>
                      <a:off x="0" y="0"/>
                      <a:ext cx="5303520" cy="3182112"/>
                    </a:xfrm>
                    <a:prstGeom prst="rect"/>
                  </pic:spPr>
                </pic:pic>
              </a:graphicData>
            </a:graphic>
          </wp:inline>
        </w:drawing>
      </w:r>
    </w:p>
    <w:p>
      <w:pPr>
        <w:spacing w:before="120" w:after="80"/>
        <w:jc w:val="center"/>
      </w:pPr>
      <w:r>
        <w:rPr>
          <w:rFonts w:ascii="Times New Roman" w:hAnsi="Times New Roman"/>
          <w:b/>
          <w:sz w:val="19"/>
        </w:rPr>
        <w:t xml:space="preserve">Figure </w:t>
      </w:r>
      <w:r>
        <w:rPr>
          <w:rFonts w:ascii="Times New Roman" w:hAnsi="Times New Roman"/>
          <w:i w:val="0"/>
          <w:sz w:val="19"/>
        </w:rPr>
        <w:t>4. Controlled 30-Client Round Scaling: Convergence Trajectory and Plateau Behavior (B = 64).</w:t>
      </w:r>
    </w:p>
    <w:p>
      <w:pPr>
        <w:spacing w:before="0" w:after="100" w:line="276" w:lineRule="auto"/>
        <w:jc w:val="both"/>
      </w:pPr>
      <w:r>
        <w:rPr>
          <w:rFonts w:ascii="Times New Roman" w:hAnsi="Times New Roman"/>
          <w:sz w:val="22"/>
        </w:rPr>
        <w:t>Reconciling Table 2 and Table 4 explains the observed numerical differences: in Table 2, FedAvg at R = 8 under batch size B = 32 achieves MAE = 0.1006 (multi-seed average: 0.0935), because clients execute twice as many gradient updates per epoch. In Table 4, under B = 64, FedAvg at R = 8 achieves MAE = 0.1144. Doubling rounds from R = 8 to R = 16 under B = 64 only reduces test MAE from 0.1144 to 0.0978, entering an asymptotic plateau of diminishing returns. In contrast, local personalization at round 8 achieves an MAE of 0.0592-0.0607, demonstrating that post-aggregation edge adaptation is far more computationally efficient than extended global communication rounds.</w:t>
      </w:r>
    </w:p>
    <w:p>
      <w:pPr>
        <w:keepNext/>
        <w:spacing w:before="280" w:after="80"/>
      </w:pPr>
      <w:r>
        <w:rPr>
          <w:rFonts w:ascii="Times New Roman" w:hAnsi="Times New Roman"/>
          <w:b/>
          <w:color w:val="1F3864"/>
          <w:sz w:val="26"/>
        </w:rPr>
        <w:t>5. Discussion and Smart City Governance Implications</w:t>
      </w:r>
    </w:p>
    <w:p>
      <w:pPr>
        <w:keepNext/>
        <w:spacing w:before="200" w:after="60"/>
      </w:pPr>
      <w:r>
        <w:rPr>
          <w:rFonts w:ascii="Times New Roman" w:hAnsi="Times New Roman"/>
          <w:b/>
          <w:color w:val="2F4F7F"/>
          <w:sz w:val="23"/>
        </w:rPr>
        <w:t>5.1 Why Local Linear Models Outperform Complex Neural Networks</w:t>
      </w:r>
    </w:p>
    <w:p>
      <w:pPr>
        <w:spacing w:before="0" w:after="100" w:line="276" w:lineRule="auto"/>
        <w:jc w:val="both"/>
      </w:pPr>
      <w:r>
        <w:rPr>
          <w:rFonts w:ascii="Times New Roman" w:hAnsi="Times New Roman"/>
          <w:sz w:val="22"/>
        </w:rPr>
        <w:t>The empirical finding that a 5-parameter local linear autoregressive model (4 autoregressive lag weights plus intercept) outperforms centralized and federated deep sequence models provides a sobering lesson for intelligent transportation systems engineering. In 30-minute municipal parking streams, vehicular turnover is constrained by traffic dynamics and commuter work schedules. Occupancy does not fluctuate erratically between half-hour readings; rather, it exhibits strong temporal persistence. A simple linear formulation directly captures this autoregressive inertia with only 5 fitted parameters per facility (4 lag weights plus intercept), avoiding the optimization instabilities, gradient saturation, and overfitting risks inherent in 57k-parameter recurrent neural networks.</w:t>
      </w:r>
    </w:p>
    <w:p>
      <w:pPr>
        <w:spacing w:before="0" w:after="100" w:line="276" w:lineRule="auto"/>
        <w:jc w:val="both"/>
      </w:pPr>
      <w:r>
        <w:rPr>
          <w:rFonts w:ascii="Times New Roman" w:hAnsi="Times New Roman"/>
          <w:sz w:val="22"/>
        </w:rPr>
        <w:t>Consequently, if a parking operator possesses private edge compute and is not required to coordinate with outside operators, the optimal engineering decision is to deploy a local linear autoregressive model. It achieves superior accuracy (13.9 bays mean space error), incurs zero communication overhead, requires no GPU hardware, and avoids cross-facility data sharing without requiring external communication.</w:t>
      </w:r>
    </w:p>
    <w:p>
      <w:pPr>
        <w:keepNext/>
        <w:spacing w:before="200" w:after="60"/>
      </w:pPr>
      <w:r>
        <w:rPr>
          <w:rFonts w:ascii="Times New Roman" w:hAnsi="Times New Roman"/>
          <w:b/>
          <w:color w:val="2F4F7F"/>
          <w:sz w:val="23"/>
        </w:rPr>
        <w:t>5.2 Under-Training vs. Non-IID Drift: Quantitative Decomposition</w:t>
      </w:r>
    </w:p>
    <w:p>
      <w:pPr>
        <w:spacing w:before="0" w:after="100" w:line="276" w:lineRule="auto"/>
        <w:jc w:val="both"/>
      </w:pPr>
      <w:r>
        <w:rPr>
          <w:rFonts w:ascii="Times New Roman" w:hAnsi="Times New Roman"/>
          <w:sz w:val="22"/>
        </w:rPr>
        <w:t>Prior studies frequently attribute FedAvg's poor performance to catastrophic 'non-IID spatial collapse'. However, our empirical findings challenge the assumption that non-IID spatial collapse is the sole driver of decentralized performance degradation. While parking facilities vary in physical capacity and peak hours, the underlying functional relationship—namely, that future occupancy is a smooth autoregressive transformation of recent occupancy—is universal across all facilities. Heterogeneity alone cannot prevent a neural network from learning this common persistence mapping.</w:t>
      </w:r>
    </w:p>
    <w:p>
      <w:pPr>
        <w:spacing w:before="0" w:after="100" w:line="276" w:lineRule="auto"/>
        <w:jc w:val="both"/>
      </w:pPr>
      <w:r>
        <w:rPr>
          <w:rFonts w:ascii="Times New Roman" w:hAnsi="Times New Roman"/>
          <w:sz w:val="22"/>
        </w:rPr>
        <w:t>Instead, our empirical investigation demonstrates that optimization under-training under communication round constraints interacts directly with non-IID statistical heterogeneity. In an 8-round protocol, federated clients execute a system-wide total of 7,888 local Adam updates (~256 per client), representing 54.9% of the 14,370 optimization steps executed by the centralized model over 30 epochs. At this communication-constrained budget, the difference between non-IID FedAvg and the IID-shuffled control (Table 3) corresponds to 35.8% of the overall gap to the centralized benchmark, while the remaining 64.2% represents the IID-to-centralized residual—consistent with optimization under-training but not uniquely attributable to under-training alone.</w:t>
      </w:r>
    </w:p>
    <w:p>
      <w:pPr>
        <w:spacing w:before="0" w:after="100" w:line="276" w:lineRule="auto"/>
        <w:jc w:val="both"/>
      </w:pPr>
      <w:r>
        <w:rPr>
          <w:rFonts w:ascii="Times New Roman" w:hAnsi="Times New Roman"/>
          <w:sz w:val="22"/>
        </w:rPr>
        <w:t>To investigate these distinct mechanisms under matched optimization volume, we conducted compute-matched experiments (Table 3, Panel 2) scaling federated training to R = 15 rounds (E = 2, B = 32), totaling 14,790 client-side gradient updates across the federation (30 local epochs per client)—establishing an approximately matched optimizer-update budget (102.9% of centralized compute, a +2.9% difference) relative to the 14,370 centralized updates over 30 epochs. At this approximately matched budget, the IID-shuffled control converges rapidly from 0.0678 ± 0.0019 down to 0.0384 ± 0.0010 (Mean Space Error falls from 90.4 to 47.5 bays), reducing the optimization gap to centralized Attention-LSTM by 63.8% (from 0.0461 to 0.0167). In contrast, Non-IID FedAvg only improves to 0.0858 ± 0.0015 (109.5 bays). Consequently, once compute starvation is mitigated through this matched-update budget, the observed difference associated with non-IID versus IID-shuffled configurations accounts for 73.9% of the remaining performance deficit (0.0474 out of 0.0641). These empirical findings indicate that under communication-constrained budgets (R = 8), the IID-to-centralized residual accounts for 64.2% of the deficit, whereas non-IID client heterogeneity accounts for 73.9% of the remaining deficit when an approximately matched optimizer-update budget is provided. However, matched optimizer-update counts do not render centralized and federated optimization trajectories identical, as decentralized client drift persists across local epochs. Local personalization acts as a high-leverage algorithmic compensation mechanism: by fine-tuning the global recurrent features on lot-specific data, personalized FedAvg achieves an MAE of 0.0592 ± 0.0004 at R = 8 and 0.0548 ± 0.0012 at R = 15, recovering 47.8% to 51.7% of the centralized performance gap and compressing cross-facility variance (sigma) by over 51%.</w:t>
      </w:r>
    </w:p>
    <w:p>
      <w:pPr>
        <w:keepNext/>
        <w:spacing w:before="200" w:after="60"/>
      </w:pPr>
      <w:r>
        <w:rPr>
          <w:rFonts w:ascii="Times New Roman" w:hAnsi="Times New Roman"/>
          <w:b/>
          <w:color w:val="2F4F7F"/>
          <w:sz w:val="23"/>
        </w:rPr>
        <w:t>5.3 Refuting the Bandwidth Myth: The True Justification for Federation</w:t>
      </w:r>
    </w:p>
    <w:p>
      <w:pPr>
        <w:spacing w:before="0" w:after="100" w:line="276" w:lineRule="auto"/>
        <w:jc w:val="both"/>
      </w:pPr>
      <w:r>
        <w:rPr>
          <w:rFonts w:ascii="Times New Roman" w:hAnsi="Times New Roman"/>
          <w:sz w:val="22"/>
        </w:rPr>
        <w:t>A widespread narrative in federated IoT literature is that federated learning 'reduces uplink communication bandwidth' by transmitting model weights rather than raw data. On low-dimensional tabular and scalar IoT telemetry, this claim is mathematically and empirically false:</w:t>
      </w:r>
    </w:p>
    <w:p>
      <w:pPr>
        <w:pStyle w:val="ListParagraph"/>
        <w:spacing w:before="40" w:after="40"/>
      </w:pPr>
      <w:r>
        <w:rPr>
          <w:b/>
        </w:rPr>
        <w:t xml:space="preserve">• Federated Weight Overhead: </w:t>
      </w:r>
      <w:r>
        <w:t>The Attention-LSTM model comprises exactly 57,474 trainable float32 parameters, occupying 229,896 bytes (224.51 KiB in binary units, or 229.90 KB in decimal units) per client checkpoint. Across 30 clients and 8 communication rounds, bidirectional transmission (uplink + downlink, totaling 480 model transfers) moves exactly 57,474 x 4 x 480 = 110,350,080 bytes = 110.35 MB (105.24 MiB) of network telemetry.</w:t>
      </w:r>
    </w:p>
    <w:p>
      <w:pPr>
        <w:pStyle w:val="ListParagraph"/>
        <w:spacing w:before="40" w:after="60"/>
      </w:pPr>
      <w:r>
        <w:rPr>
          <w:b/>
        </w:rPr>
        <w:t xml:space="preserve">• Raw Telemetry Volume: </w:t>
      </w:r>
      <w:r>
        <w:t>In contrast, the entire raw Birmingham sensor CSV dataset—comprising 35,717 records across all 30 facilities over 73 days—occupies exactly 1,479,909 bytes = 1.48 MB (1.41 MiB) uncompressed (and approximately 420 KB gzip-compressed).</w:t>
      </w:r>
    </w:p>
    <w:p>
      <w:pPr>
        <w:spacing w:before="0" w:after="100" w:line="276" w:lineRule="auto"/>
        <w:jc w:val="both"/>
      </w:pPr>
      <w:r>
        <w:rPr>
          <w:rFonts w:ascii="Times New Roman" w:hAnsi="Times New Roman"/>
          <w:sz w:val="22"/>
        </w:rPr>
        <w:t>Therefore, federated learning increases communication volume by exactly 74.6-fold (110.35 MB vs. 1.48 MB) compared to streaming uncompressed raw sensor telemetry. Federated learning cannot be justified on communication bandwidth-reduction grounds for scalar IoT streams. Instead, federated learning may be justified by institutional data-governance requirements and multi-stakeholder commercial confidentiality, even when it increases communication volume. However, regulatory compliance and formal privacy guarantees depend on the deployment context and may require additional safeguards, such as secure aggregation and differential privacy. Competing private parking operators (e.g., NCP vs. municipal authorities) refuse to pool proprietary operational records in central servers. Federated learning establishes a collaborative organizational framework enabling cross-operator predictive coordination without requiring the centralized pooling of commercial trade secrets.</w:t>
      </w:r>
    </w:p>
    <w:p>
      <w:pPr>
        <w:spacing w:before="120" w:after="80"/>
        <w:jc w:val="center"/>
      </w:pPr>
      <w:r>
        <w:rPr>
          <w:rFonts w:ascii="Times New Roman" w:hAnsi="Times New Roman"/>
          <w:b/>
          <w:sz w:val="19"/>
        </w:rPr>
        <w:t xml:space="preserve">Table </w:t>
      </w:r>
      <w:r>
        <w:rPr>
          <w:rFonts w:ascii="Times New Roman" w:hAnsi="Times New Roman"/>
          <w:i w:val="0"/>
          <w:sz w:val="19"/>
        </w:rPr>
        <w:t>5. Hardware Specifications, Model Parameter Count, and Network Footprint Audit.</w:t>
      </w:r>
    </w:p>
    <w:tbl>
      <w:tblPr>
        <w:tblW w:type="auto" w:w="0"/>
        <w:jc w:val="center"/>
        <w:tblLook w:firstColumn="1" w:firstRow="1" w:lastColumn="0" w:lastRow="0" w:noHBand="0" w:noVBand="1" w:val="04A0"/>
        <w:tblBorders>
          <w:top w:val="single" w:sz="8" w:space="0" w:color="1F3864"/>
          <w:bottom w:val="single" w:sz="8" w:space="0" w:color="1F3864"/>
          <w:left w:val="none"/>
          <w:right w:val="none"/>
          <w:insideH w:val="single" w:sz="4" w:space="0" w:color="CBD5E1"/>
          <w:insideV w:val="none"/>
        </w:tblBorders>
      </w:tblPr>
      <w:tblGrid>
        <w:gridCol w:w="2257"/>
        <w:gridCol w:w="2257"/>
        <w:gridCol w:w="2257"/>
        <w:gridCol w:w="2257"/>
      </w:tblGrid>
      <w:tr>
        <w:tc>
          <w:tcPr>
            <w:tcW w:type="dxa" w:w="2257"/>
            <w:shd w:fill="1F3864"/>
            <w:tcMar>
              <w:top w:w="100" w:type="dxa"/>
              <w:bottom w:w="100" w:type="dxa"/>
              <w:left w:w="100" w:type="dxa"/>
              <w:right w:w="100" w:type="dxa"/>
            </w:tcMar>
          </w:tcPr>
          <w:p>
            <w:pPr>
              <w:jc w:val="center"/>
            </w:pPr>
            <w:r>
              <w:rPr>
                <w:b/>
                <w:color w:val="FFFFFF"/>
                <w:sz w:val="17"/>
              </w:rPr>
              <w:t>Architectural Dimension</w:t>
            </w:r>
          </w:p>
        </w:tc>
        <w:tc>
          <w:tcPr>
            <w:tcW w:type="dxa" w:w="2257"/>
            <w:shd w:fill="1F3864"/>
            <w:tcMar>
              <w:top w:w="100" w:type="dxa"/>
              <w:bottom w:w="100" w:type="dxa"/>
              <w:left w:w="100" w:type="dxa"/>
              <w:right w:w="100" w:type="dxa"/>
            </w:tcMar>
          </w:tcPr>
          <w:p>
            <w:pPr>
              <w:jc w:val="center"/>
            </w:pPr>
            <w:r>
              <w:rPr>
                <w:b/>
                <w:color w:val="FFFFFF"/>
                <w:sz w:val="17"/>
              </w:rPr>
              <w:t>Centralized Attention-LSTM</w:t>
            </w:r>
          </w:p>
        </w:tc>
        <w:tc>
          <w:tcPr>
            <w:tcW w:type="dxa" w:w="2257"/>
            <w:shd w:fill="1F3864"/>
            <w:tcMar>
              <w:top w:w="100" w:type="dxa"/>
              <w:bottom w:w="100" w:type="dxa"/>
              <w:left w:w="100" w:type="dxa"/>
              <w:right w:w="100" w:type="dxa"/>
            </w:tcMar>
          </w:tcPr>
          <w:p>
            <w:pPr>
              <w:jc w:val="center"/>
            </w:pPr>
            <w:r>
              <w:rPr>
                <w:b/>
                <w:color w:val="FFFFFF"/>
                <w:sz w:val="17"/>
              </w:rPr>
              <w:t>Global FedAvg (R = 8)</w:t>
            </w:r>
          </w:p>
        </w:tc>
        <w:tc>
          <w:tcPr>
            <w:tcW w:type="dxa" w:w="2257"/>
            <w:shd w:fill="1F3864"/>
            <w:tcMar>
              <w:top w:w="100" w:type="dxa"/>
              <w:bottom w:w="100" w:type="dxa"/>
              <w:left w:w="100" w:type="dxa"/>
              <w:right w:w="100" w:type="dxa"/>
            </w:tcMar>
          </w:tcPr>
          <w:p>
            <w:pPr>
              <w:jc w:val="center"/>
            </w:pPr>
            <w:r>
              <w:rPr>
                <w:b/>
                <w:color w:val="FFFFFF"/>
                <w:sz w:val="17"/>
              </w:rPr>
              <w:t>Local-Only Linear AR(4)</w:t>
            </w:r>
          </w:p>
        </w:tc>
      </w:tr>
      <w:tr>
        <w:tc>
          <w:tcPr>
            <w:tcW w:type="dxa" w:w="2257"/>
            <w:shd w:fill="FFFFFF"/>
            <w:tcMar>
              <w:top w:w="60" w:type="dxa"/>
              <w:bottom w:w="60" w:type="dxa"/>
              <w:left w:w="80" w:type="dxa"/>
              <w:right w:w="80" w:type="dxa"/>
            </w:tcMar>
          </w:tcPr>
          <w:p>
            <w:pPr>
              <w:jc w:val="left"/>
            </w:pPr>
            <w:r>
              <w:rPr>
                <w:sz w:val="17"/>
              </w:rPr>
              <w:t>Parameter Count</w:t>
            </w:r>
          </w:p>
        </w:tc>
        <w:tc>
          <w:tcPr>
            <w:tcW w:type="dxa" w:w="2257"/>
            <w:shd w:fill="FFFFFF"/>
            <w:tcMar>
              <w:top w:w="60" w:type="dxa"/>
              <w:bottom w:w="60" w:type="dxa"/>
              <w:left w:w="80" w:type="dxa"/>
              <w:right w:w="80" w:type="dxa"/>
            </w:tcMar>
          </w:tcPr>
          <w:p>
            <w:pPr>
              <w:jc w:val="left"/>
            </w:pPr>
            <w:r>
              <w:rPr>
                <w:sz w:val="17"/>
              </w:rPr>
              <w:t>57,474 weights (224.51 KiB / 229.90 KB)</w:t>
            </w:r>
          </w:p>
        </w:tc>
        <w:tc>
          <w:tcPr>
            <w:tcW w:type="dxa" w:w="2257"/>
            <w:shd w:fill="FFFFFF"/>
            <w:tcMar>
              <w:top w:w="60" w:type="dxa"/>
              <w:bottom w:w="60" w:type="dxa"/>
              <w:left w:w="80" w:type="dxa"/>
              <w:right w:w="80" w:type="dxa"/>
            </w:tcMar>
          </w:tcPr>
          <w:p>
            <w:pPr>
              <w:jc w:val="center"/>
            </w:pPr>
            <w:r>
              <w:rPr>
                <w:sz w:val="17"/>
              </w:rPr>
              <w:t>57,474 weights (224.51 KiB / 229.90 KB)</w:t>
            </w:r>
          </w:p>
        </w:tc>
        <w:tc>
          <w:tcPr>
            <w:tcW w:type="dxa" w:w="2257"/>
            <w:shd w:fill="FFFFFF"/>
            <w:tcMar>
              <w:top w:w="60" w:type="dxa"/>
              <w:bottom w:w="60" w:type="dxa"/>
              <w:left w:w="80" w:type="dxa"/>
              <w:right w:w="80" w:type="dxa"/>
            </w:tcMar>
          </w:tcPr>
          <w:p>
            <w:pPr>
              <w:jc w:val="center"/>
            </w:pPr>
            <w:r>
              <w:rPr>
                <w:sz w:val="17"/>
              </w:rPr>
              <w:t>5 scalar parameters (20 bytes) per lot</w:t>
            </w:r>
          </w:p>
        </w:tc>
      </w:tr>
      <w:tr>
        <w:tc>
          <w:tcPr>
            <w:tcW w:type="dxa" w:w="2257"/>
            <w:shd w:fill="F8FAFC"/>
            <w:tcMar>
              <w:top w:w="60" w:type="dxa"/>
              <w:bottom w:w="60" w:type="dxa"/>
              <w:left w:w="80" w:type="dxa"/>
              <w:right w:w="80" w:type="dxa"/>
            </w:tcMar>
          </w:tcPr>
          <w:p>
            <w:pPr>
              <w:jc w:val="left"/>
            </w:pPr>
            <w:r>
              <w:rPr>
                <w:sz w:val="17"/>
              </w:rPr>
              <w:t>Total Network Data Moved</w:t>
            </w:r>
          </w:p>
        </w:tc>
        <w:tc>
          <w:tcPr>
            <w:tcW w:type="dxa" w:w="2257"/>
            <w:shd w:fill="F8FAFC"/>
            <w:tcMar>
              <w:top w:w="60" w:type="dxa"/>
              <w:bottom w:w="60" w:type="dxa"/>
              <w:left w:w="80" w:type="dxa"/>
              <w:right w:w="80" w:type="dxa"/>
            </w:tcMar>
          </w:tcPr>
          <w:p>
            <w:pPr>
              <w:jc w:val="left"/>
            </w:pPr>
            <w:r>
              <w:rPr>
                <w:sz w:val="17"/>
              </w:rPr>
              <w:t>1.48 MB / 1.41 MiB (raw CSV stream)</w:t>
            </w:r>
          </w:p>
        </w:tc>
        <w:tc>
          <w:tcPr>
            <w:tcW w:type="dxa" w:w="2257"/>
            <w:shd w:fill="F8FAFC"/>
            <w:tcMar>
              <w:top w:w="60" w:type="dxa"/>
              <w:bottom w:w="60" w:type="dxa"/>
              <w:left w:w="80" w:type="dxa"/>
              <w:right w:w="80" w:type="dxa"/>
            </w:tcMar>
          </w:tcPr>
          <w:p>
            <w:pPr>
              <w:jc w:val="center"/>
            </w:pPr>
            <w:r>
              <w:rPr>
                <w:sz w:val="17"/>
              </w:rPr>
              <w:t>110.35 MB / 105.24 MiB (480 transfers)</w:t>
            </w:r>
          </w:p>
        </w:tc>
        <w:tc>
          <w:tcPr>
            <w:tcW w:type="dxa" w:w="2257"/>
            <w:shd w:fill="F8FAFC"/>
            <w:tcMar>
              <w:top w:w="60" w:type="dxa"/>
              <w:bottom w:w="60" w:type="dxa"/>
              <w:left w:w="80" w:type="dxa"/>
              <w:right w:w="80" w:type="dxa"/>
            </w:tcMar>
          </w:tcPr>
          <w:p>
            <w:pPr>
              <w:jc w:val="center"/>
            </w:pPr>
            <w:r>
              <w:rPr>
                <w:sz w:val="17"/>
              </w:rPr>
              <w:t>0.00 B (strictly zero communication)</w:t>
            </w:r>
          </w:p>
        </w:tc>
      </w:tr>
      <w:tr>
        <w:tc>
          <w:tcPr>
            <w:tcW w:type="dxa" w:w="2257"/>
            <w:shd w:fill="FFFFFF"/>
            <w:tcMar>
              <w:top w:w="60" w:type="dxa"/>
              <w:bottom w:w="60" w:type="dxa"/>
              <w:left w:w="80" w:type="dxa"/>
              <w:right w:w="80" w:type="dxa"/>
            </w:tcMar>
          </w:tcPr>
          <w:p>
            <w:pPr>
              <w:jc w:val="left"/>
            </w:pPr>
            <w:r>
              <w:rPr>
                <w:sz w:val="17"/>
              </w:rPr>
              <w:t>Total Local Gradient Steps</w:t>
            </w:r>
          </w:p>
        </w:tc>
        <w:tc>
          <w:tcPr>
            <w:tcW w:type="dxa" w:w="2257"/>
            <w:shd w:fill="FFFFFF"/>
            <w:tcMar>
              <w:top w:w="60" w:type="dxa"/>
              <w:bottom w:w="60" w:type="dxa"/>
              <w:left w:w="80" w:type="dxa"/>
              <w:right w:w="80" w:type="dxa"/>
            </w:tcMar>
          </w:tcPr>
          <w:p>
            <w:pPr>
              <w:jc w:val="left"/>
            </w:pPr>
            <w:r>
              <w:rPr>
                <w:sz w:val="17"/>
              </w:rPr>
              <w:t>14,370 Adam steps (pooled 30 epochs)</w:t>
            </w:r>
          </w:p>
        </w:tc>
        <w:tc>
          <w:tcPr>
            <w:tcW w:type="dxa" w:w="2257"/>
            <w:shd w:fill="FFFFFF"/>
            <w:tcMar>
              <w:top w:w="60" w:type="dxa"/>
              <w:bottom w:w="60" w:type="dxa"/>
              <w:left w:w="80" w:type="dxa"/>
              <w:right w:w="80" w:type="dxa"/>
            </w:tcMar>
          </w:tcPr>
          <w:p>
            <w:pPr>
              <w:jc w:val="center"/>
            </w:pPr>
            <w:r>
              <w:rPr>
                <w:sz w:val="17"/>
              </w:rPr>
              <w:t>7,888 updates across federation (avg 262.9 steps/client)</w:t>
            </w:r>
          </w:p>
        </w:tc>
        <w:tc>
          <w:tcPr>
            <w:tcW w:type="dxa" w:w="2257"/>
            <w:shd w:fill="FFFFFF"/>
            <w:tcMar>
              <w:top w:w="60" w:type="dxa"/>
              <w:bottom w:w="60" w:type="dxa"/>
              <w:left w:w="80" w:type="dxa"/>
              <w:right w:w="80" w:type="dxa"/>
            </w:tcMar>
          </w:tcPr>
          <w:p>
            <w:pPr>
              <w:jc w:val="center"/>
            </w:pPr>
            <w:r>
              <w:rPr>
                <w:sz w:val="17"/>
              </w:rPr>
              <w:t>1 closed-form Ridge solve per lot (0 gradient steps)</w:t>
            </w:r>
          </w:p>
        </w:tc>
      </w:tr>
      <w:tr>
        <w:tc>
          <w:tcPr>
            <w:tcW w:type="dxa" w:w="2257"/>
            <w:shd w:fill="F8FAFC"/>
            <w:tcMar>
              <w:top w:w="60" w:type="dxa"/>
              <w:bottom w:w="60" w:type="dxa"/>
              <w:left w:w="80" w:type="dxa"/>
              <w:right w:w="80" w:type="dxa"/>
            </w:tcMar>
          </w:tcPr>
          <w:p>
            <w:pPr>
              <w:jc w:val="left"/>
            </w:pPr>
            <w:r>
              <w:rPr>
                <w:sz w:val="17"/>
              </w:rPr>
              <w:t>Privacy &amp; Governance</w:t>
            </w:r>
          </w:p>
        </w:tc>
        <w:tc>
          <w:tcPr>
            <w:tcW w:type="dxa" w:w="2257"/>
            <w:shd w:fill="F8FAFC"/>
            <w:tcMar>
              <w:top w:w="60" w:type="dxa"/>
              <w:bottom w:w="60" w:type="dxa"/>
              <w:left w:w="80" w:type="dxa"/>
              <w:right w:w="80" w:type="dxa"/>
            </w:tcMar>
          </w:tcPr>
          <w:p>
            <w:pPr>
              <w:jc w:val="left"/>
            </w:pPr>
            <w:r>
              <w:rPr>
                <w:sz w:val="17"/>
              </w:rPr>
              <w:t>Centralized exposure (all data pooled in cloud)</w:t>
            </w:r>
          </w:p>
        </w:tc>
        <w:tc>
          <w:tcPr>
            <w:tcW w:type="dxa" w:w="2257"/>
            <w:shd w:fill="F8FAFC"/>
            <w:tcMar>
              <w:top w:w="60" w:type="dxa"/>
              <w:bottom w:w="60" w:type="dxa"/>
              <w:left w:w="80" w:type="dxa"/>
              <w:right w:w="80" w:type="dxa"/>
            </w:tcMar>
          </w:tcPr>
          <w:p>
            <w:pPr>
              <w:jc w:val="center"/>
            </w:pPr>
            <w:r>
              <w:rPr>
                <w:sz w:val="17"/>
              </w:rPr>
              <w:t>Decentralized containment (data stays on edge nodes)</w:t>
            </w:r>
          </w:p>
        </w:tc>
        <w:tc>
          <w:tcPr>
            <w:tcW w:type="dxa" w:w="2257"/>
            <w:shd w:fill="F8FAFC"/>
            <w:tcMar>
              <w:top w:w="60" w:type="dxa"/>
              <w:bottom w:w="60" w:type="dxa"/>
              <w:left w:w="80" w:type="dxa"/>
              <w:right w:w="80" w:type="dxa"/>
            </w:tcMar>
          </w:tcPr>
          <w:p>
            <w:pPr>
              <w:jc w:val="center"/>
            </w:pPr>
            <w:r>
              <w:rPr>
                <w:sz w:val="17"/>
              </w:rPr>
              <w:t>Local isolation (avoids cross-facility data sharing, no federation)</w:t>
            </w:r>
          </w:p>
        </w:tc>
      </w:tr>
    </w:tbl>
    <w:p>
      <w:pPr>
        <w:keepNext/>
        <w:spacing w:before="200" w:after="60"/>
      </w:pPr>
      <w:r>
        <w:rPr>
          <w:rFonts w:ascii="Times New Roman" w:hAnsi="Times New Roman"/>
          <w:b/>
          <w:color w:val="2F4F7F"/>
          <w:sz w:val="23"/>
        </w:rPr>
        <w:t>5.4 Security, Differential Privacy, and Threats to Validity</w:t>
      </w:r>
    </w:p>
    <w:p>
      <w:pPr>
        <w:spacing w:before="0" w:after="100" w:line="276" w:lineRule="auto"/>
        <w:jc w:val="both"/>
      </w:pPr>
      <w:r>
        <w:rPr>
          <w:rFonts w:ascii="Times New Roman" w:hAnsi="Times New Roman"/>
          <w:sz w:val="22"/>
        </w:rPr>
        <w:t>It is essential to recognize that standard FedAvg transmits unencrypted weight vectors. Without cryptographic enhancements, raw gradient vectors remain vulnerable to reconstruction and membership inference attacks [27]. In production smart city deployments, federated frameworks must integrate Secure Aggregation (SecAgg) [27] or Differential Privacy (DP) [28]. Adding DP noise inevitably degrades forecasting accuracy, imposing a trade-off between privacy guarantees and utility.</w:t>
      </w:r>
    </w:p>
    <w:p>
      <w:pPr>
        <w:spacing w:before="0" w:after="100" w:line="276" w:lineRule="auto"/>
        <w:jc w:val="both"/>
      </w:pPr>
      <w:r>
        <w:rPr>
          <w:rFonts w:ascii="Times New Roman" w:hAnsi="Times New Roman"/>
          <w:sz w:val="22"/>
        </w:rPr>
        <w:t>Several threats to validity qualify our findings: (1) Hardware Profiling: Although the Attention-LSTM network is formulated as a lightweight architecture (57k parameters), physical edge microcontroller measurements (e.g., latency, energy consumption, and thermal throttling on Raspberry Pi or Jetson hardware) were not empirically profiled. (2) Geographic Scope: Our benchmark is evaluated on a single metropolitan testbed (Birmingham, UK) during autumn/winter (October–December 2016); summer holiday and extreme weather dynamics were not captured. (3) Synchronous Assumption: Our experiments assume synchronous client participation without communication dropouts or packet loss.</w:t>
      </w:r>
    </w:p>
    <w:p>
      <w:pPr>
        <w:keepNext/>
        <w:spacing w:before="280" w:after="80"/>
      </w:pPr>
      <w:r>
        <w:rPr>
          <w:rFonts w:ascii="Times New Roman" w:hAnsi="Times New Roman"/>
          <w:b/>
          <w:color w:val="1F3864"/>
          <w:sz w:val="26"/>
        </w:rPr>
        <w:t>6. Conclusion</w:t>
      </w:r>
    </w:p>
    <w:p>
      <w:pPr>
        <w:spacing w:before="0" w:after="100" w:line="276" w:lineRule="auto"/>
        <w:jc w:val="both"/>
      </w:pPr>
      <w:r>
        <w:rPr>
          <w:rFonts w:ascii="Times New Roman" w:hAnsi="Times New Roman"/>
          <w:sz w:val="22"/>
        </w:rPr>
        <w:t>This paper presented an exhaustive empirical benchmark evaluating federated sequence learning for multi-lot smart parking occupancy forecasting on the Birmingham municipal IoT stream. By incorporating previously omitted baselines—including zero-parameter persistence, local-only linear autoregression, and pooled linear models—alongside an IID-shuffled control and alternative federated algorithms, we established an honest appraisal of when federation adds value and when simpler alternatives prevail.</w:t>
      </w:r>
    </w:p>
    <w:p>
      <w:pPr>
        <w:spacing w:before="0" w:after="100" w:line="276" w:lineRule="auto"/>
        <w:jc w:val="both"/>
      </w:pPr>
      <w:r>
        <w:rPr>
          <w:rFonts w:ascii="Times New Roman" w:hAnsi="Times New Roman"/>
          <w:sz w:val="22"/>
        </w:rPr>
        <w:t>Our findings demonstrate that a 5-parameter local-only linear autoregressive model per facility (4 lag weights plus intercept) achieves superior accuracy (30-minute MAE: 0.0126; 13.9 bays), outperforming both centralized deep neural networks (0.0217; 26.9 bays) and federated models while requiring zero communication and avoiding cross-facility data sharing. Under practical communication constraints (8 rounds, 2 local epochs), global FedAvg under-trains severely, achieving a 30-minute MAE of 0.0935 ± 0.0032 (118.5 macro bays in multi-seed evaluation, and 0.1006 / 126.8 bays in the primary single-seed benchmark). Our experimental decomposition indicates that under the 8-round communication-constrained protocol, the difference between non-IID FedAvg and the IID control corresponds to 35.8% of the gap to the centralized benchmark, while the remaining 64.2% is the IID-to-centralized residual (consistent with under-training, but not uniquely attributable to under-training alone); approximately matched compute-budget experiments (15 rounds, 14,790 cumulative client updates, 102.9% of centralized steps) further indicate that when compute starvation is mitigated, the observed difference associated with non-IID versus IID-shuffled configurations accounts for 73.9% of the remaining deficit under this matched-budget protocol. Post-aggregation personalization fine-tuning mitigates this gap, reducing error to 0.0592 ± 0.0004 (82.4 macro bays; a 36.7% relative reduction over FedAvg, recovering 47.8% of the centralized gap in multi-seed evaluations and 50.6% in the primary single-seed benchmark), while compressing between-lot variance by 51.2%. Furthermore, network audits confirm that federating neural networks moves 110.35 MB (105.24 MiB) of weights across 8 rounds versus only 1.48 MB (1.41 MiB) for streaming the raw sensor telemetry—a 74.6-fold communication overhead. Consequently, federated parking forecasting cannot be justified on bandwidth-reduction grounds, but provides substantial value for multi-stakeholder commercial confidentiality and institutional data governance when paired with local personalization, though regulatory compliance ultimately depends on specific deployment environments, applicable data protection frameworks, and complementary differential privacy safeguards.</w:t>
      </w:r>
    </w:p>
    <w:p>
      <w:pPr>
        <w:keepNext/>
        <w:spacing w:before="280" w:after="80"/>
      </w:pPr>
      <w:r>
        <w:rPr>
          <w:rFonts w:ascii="Times New Roman" w:hAnsi="Times New Roman"/>
          <w:b/>
          <w:color w:val="1F3864"/>
          <w:sz w:val="26"/>
        </w:rPr>
        <w:t>Declarations</w:t>
      </w:r>
    </w:p>
    <w:p>
      <w:pPr>
        <w:spacing w:before="0" w:after="100" w:line="276" w:lineRule="auto"/>
        <w:jc w:val="both"/>
      </w:pPr>
      <w:r>
        <w:rPr>
          <w:b/>
        </w:rPr>
        <w:t xml:space="preserve">Availability of Data and Materials: </w:t>
      </w:r>
      <w:r>
        <w:t>The Birmingham smart parking dataset analyzed in this study is openly available in the UCI Machine Learning Repository at https://doi.org/10.24432/C51K5Z [29]. Complete preprocessing scripts, baseline implementations, model checkpoints, and reproducible evaluation routines are deposited in the project code repository at https://github.com/itsdevesh23/ParkSense-AI.</w:t>
      </w:r>
    </w:p>
    <w:p>
      <w:pPr>
        <w:spacing w:before="0" w:after="100" w:line="276" w:lineRule="auto"/>
        <w:jc w:val="both"/>
      </w:pPr>
      <w:r>
        <w:rPr>
          <w:b/>
        </w:rPr>
        <w:t xml:space="preserve">Reproducibility Statement: </w:t>
      </w:r>
      <w:r>
        <w:t>All experiments were conducted with fixed random seeds (seeds 42, 101, 2024). Complete sequence windowing parameters (L = 6, H = 2, step = 1), client partition metadata, and evaluation code are fully documented in the public repository to facilitate independent replication.</w:t>
      </w:r>
    </w:p>
    <w:p>
      <w:pPr>
        <w:spacing w:before="0" w:after="100" w:line="276" w:lineRule="auto"/>
        <w:jc w:val="both"/>
      </w:pPr>
      <w:r>
        <w:rPr>
          <w:b/>
        </w:rPr>
        <w:t xml:space="preserve">Competing Interests: </w:t>
      </w:r>
      <w:r>
        <w:t>The authors declare that they have no competing financial or non-financial interests that could have influenced the work reported in this paper.</w:t>
      </w:r>
    </w:p>
    <w:p>
      <w:pPr>
        <w:spacing w:before="0" w:after="100" w:line="276" w:lineRule="auto"/>
        <w:jc w:val="both"/>
      </w:pPr>
      <w:r>
        <w:rPr>
          <w:b/>
        </w:rPr>
        <w:t xml:space="preserve">Funding: </w:t>
      </w:r>
      <w:r>
        <w:t>This research received no specific grant from any funding agency in the public, commercial, or not-for-profit sectors.</w:t>
      </w:r>
    </w:p>
    <w:p>
      <w:pPr>
        <w:spacing w:before="0" w:after="100" w:line="276" w:lineRule="auto"/>
        <w:jc w:val="both"/>
      </w:pPr>
      <w:r>
        <w:rPr>
          <w:b/>
        </w:rPr>
        <w:t xml:space="preserve">Use of Generative AI and AI-Assisted Technologies: </w:t>
      </w:r>
      <w:r>
        <w:t>During the preparation of this work, the authors utilized AI-assisted coding tools for data formatting, statistical scripting, and language refinement. All empirical experiments, model training, analytical derivations, and interpretive conclusions were conceived, executed, verified, and audited entirely by the authors.</w:t>
      </w:r>
    </w:p>
    <w:p>
      <w:pPr>
        <w:spacing w:before="0" w:after="100" w:line="276" w:lineRule="auto"/>
        <w:jc w:val="both"/>
      </w:pPr>
      <w:r>
        <w:rPr>
          <w:b/>
        </w:rPr>
        <w:t xml:space="preserve">Authors' Contributions: </w:t>
      </w:r>
      <w:r>
        <w:t>D.M. conceptualized the study, engineered the federated pipeline, executed the baseline experiments, and drafted the manuscript. A. contributed to experimental validation, data auditing, visualization, and manuscript review. All authors reviewed and approved the final manuscript.</w:t>
      </w:r>
    </w:p>
    <w:p>
      <w:pPr>
        <w:keepNext/>
        <w:spacing w:before="280" w:after="80"/>
      </w:pPr>
      <w:r>
        <w:rPr>
          <w:rFonts w:ascii="Times New Roman" w:hAnsi="Times New Roman"/>
          <w:b/>
          <w:color w:val="1F3864"/>
          <w:sz w:val="26"/>
        </w:rPr>
        <w:t>References</w:t>
      </w:r>
    </w:p>
    <w:p>
      <w:pPr>
        <w:spacing w:before="0" w:after="60" w:line="252" w:lineRule="auto"/>
        <w:jc w:val="both"/>
      </w:pPr>
      <w:r>
        <w:rPr>
          <w:rFonts w:ascii="Times New Roman" w:hAnsi="Times New Roman"/>
          <w:sz w:val="19"/>
        </w:rPr>
        <w:t>[1] D. C. Shoup, "Cruising for parking," Transport Policy, vol. 13, no. 6, pp. 479–486, 2006. https://doi.org/10.1016/j.tranpol.2006.05.005</w:t>
      </w:r>
    </w:p>
    <w:p>
      <w:pPr>
        <w:spacing w:before="0" w:after="60" w:line="252" w:lineRule="auto"/>
        <w:jc w:val="both"/>
      </w:pPr>
      <w:r>
        <w:rPr>
          <w:rFonts w:ascii="Times New Roman" w:hAnsi="Times New Roman"/>
          <w:sz w:val="19"/>
        </w:rPr>
        <w:t>[2] R. Arnott and J. Rowse, "Downtown parking in auto city," Regional Science and Urban Economics, vol. 39, no. 1, pp. 1–14, 2009. https://doi.org/10.1016/j.regsciurbeco.2008.08.001</w:t>
      </w:r>
    </w:p>
    <w:p>
      <w:pPr>
        <w:spacing w:before="0" w:after="60" w:line="252" w:lineRule="auto"/>
        <w:jc w:val="both"/>
      </w:pPr>
      <w:r>
        <w:rPr>
          <w:rFonts w:ascii="Times New Roman" w:hAnsi="Times New Roman"/>
          <w:sz w:val="19"/>
        </w:rPr>
        <w:t>[3] G. E. Box, G. M. Jenkins, G. C. Reinsel, and G. M. Ljung, Time Series Analysis: Forecasting and Control, 5th ed. Hoboken, NJ: John Wiley &amp; Sons, 2015. https://doi.org/10.1002/9781118619193</w:t>
      </w:r>
    </w:p>
    <w:p>
      <w:pPr>
        <w:spacing w:before="0" w:after="60" w:line="252" w:lineRule="auto"/>
        <w:jc w:val="both"/>
      </w:pPr>
      <w:r>
        <w:rPr>
          <w:rFonts w:ascii="Times New Roman" w:hAnsi="Times New Roman"/>
          <w:sz w:val="19"/>
        </w:rPr>
        <w:t>[4] T. Chen and C. Guestrin, "XGBoost: A scalable tree boosting system," in Proc. 22nd ACM SIGKDD Int. Conf. Knowl. Discov. Data Min. (KDD '16), San Francisco, CA, 2016, pp. 785–794. https://doi.org/10.1145/2939672.2939785</w:t>
      </w:r>
    </w:p>
    <w:p>
      <w:pPr>
        <w:spacing w:before="0" w:after="60" w:line="252" w:lineRule="auto"/>
        <w:jc w:val="both"/>
      </w:pPr>
      <w:r>
        <w:rPr>
          <w:rFonts w:ascii="Times New Roman" w:hAnsi="Times New Roman"/>
          <w:sz w:val="19"/>
        </w:rPr>
        <w:t>[5] D. Bahdanau, K. Cho, and Y. Bengio, "Neural machine translation by jointly learning to align and translate," in Proc. 3rd Int. Conf. Learn. Represent. (ICLR 2015), San Diego, CA, 2015, pp. 1–15. arXiv:1409.0473</w:t>
      </w:r>
    </w:p>
    <w:p>
      <w:pPr>
        <w:spacing w:before="0" w:after="60" w:line="252" w:lineRule="auto"/>
        <w:jc w:val="both"/>
      </w:pPr>
      <w:r>
        <w:rPr>
          <w:rFonts w:ascii="Times New Roman" w:hAnsi="Times New Roman"/>
          <w:sz w:val="19"/>
        </w:rPr>
        <w:t>[6] B. Yu, H. Yin, and Z. Zhu, "Spatio-temporal graph convolutional networks: A deep learning framework for traffic forecasting," in Proc. 27th Int. Joint Conf. Artif. Intell. (IJCAI 2018), Stockholm, Sweden, 2018, pp. 3634–3640. https://doi.org/10.24963/ijcai.2018/505</w:t>
      </w:r>
    </w:p>
    <w:p>
      <w:pPr>
        <w:spacing w:before="0" w:after="60" w:line="252" w:lineRule="auto"/>
        <w:jc w:val="both"/>
      </w:pPr>
      <w:r>
        <w:rPr>
          <w:rFonts w:ascii="Times New Roman" w:hAnsi="Times New Roman"/>
          <w:sz w:val="19"/>
        </w:rPr>
        <w:t>[7] B. McMahan, E. Moore, D. Ramage, S. Hampson, and B. A. y Arcas, "Communication-efficient learning of deep networks from decentralized data," in Proc. 20th Int. Conf. Artif. Intell. Statist. (AISTATS 2017), PMLR vol. 54, Fort Lauderdale, FL, 2017, pp. 1273–1282.</w:t>
      </w:r>
    </w:p>
    <w:p>
      <w:pPr>
        <w:spacing w:before="0" w:after="60" w:line="252" w:lineRule="auto"/>
        <w:jc w:val="both"/>
      </w:pPr>
      <w:r>
        <w:rPr>
          <w:rFonts w:ascii="Times New Roman" w:hAnsi="Times New Roman"/>
          <w:sz w:val="19"/>
        </w:rPr>
        <w:t>[8] D. H. Stolfi, E. Alba, and X. Yao, "Predicting car park occupancy rates in smart cities," in Smart Cities (Smart-CT 2017), LNCS vol. 10268, Cham: Springer, 2017, pp. 107–117. https://doi.org/10.1007/978-3-319-59513-9_11</w:t>
      </w:r>
    </w:p>
    <w:p>
      <w:pPr>
        <w:spacing w:before="0" w:after="60" w:line="252" w:lineRule="auto"/>
        <w:jc w:val="both"/>
      </w:pPr>
      <w:r>
        <w:rPr>
          <w:rFonts w:ascii="Times New Roman" w:hAnsi="Times New Roman"/>
          <w:sz w:val="19"/>
        </w:rPr>
        <w:t>[9] Y. Zheng, S. Rajasegarar, and C. Leckie, "Parking availability prediction for sensor-enabled car parks in smart cities," in Proc. 2015 IEEE 10th Int. Conf. Intell. Sensors Sensor Netw. Inf. Process. (ISSNIP), Singapore, 2015, pp. 1–6. https://doi.org/10.1109/ISSNIP.2015.7106902</w:t>
      </w:r>
    </w:p>
    <w:p>
      <w:pPr>
        <w:spacing w:before="0" w:after="60" w:line="252" w:lineRule="auto"/>
        <w:jc w:val="both"/>
      </w:pPr>
      <w:r>
        <w:rPr>
          <w:rFonts w:ascii="Times New Roman" w:hAnsi="Times New Roman"/>
          <w:sz w:val="19"/>
        </w:rPr>
        <w:t>[10] E. I. Vlahogianni, K. Kepaptsoglou, V. Tsetsos, and M. G. Karlaftis, "A real-time parking prediction system for smart cities," Journal of Intelligent Transportation Systems, vol. 20, no. 2, pp. 192–204, 2016. https://doi.org/10.1080/15472450.2015.1037955</w:t>
      </w:r>
    </w:p>
    <w:p>
      <w:pPr>
        <w:spacing w:before="0" w:after="60" w:line="252" w:lineRule="auto"/>
        <w:jc w:val="both"/>
      </w:pPr>
      <w:r>
        <w:rPr>
          <w:rFonts w:ascii="Times New Roman" w:hAnsi="Times New Roman"/>
          <w:sz w:val="19"/>
        </w:rPr>
        <w:t>[11] Y. Rong, Z. Xu, R. Yan, and X. Ma, "Du-Parking: Spatio-temporal big data tells you realtime parking availability," in Proc. 24th ACM SIGKDD Int. Conf. Knowl. Discov. Data Min. (KDD '18), London, UK, 2018, pp. 646–654. https://doi.org/10.1145/3219819.3219876</w:t>
      </w:r>
    </w:p>
    <w:p>
      <w:pPr>
        <w:spacing w:before="0" w:after="60" w:line="252" w:lineRule="auto"/>
        <w:jc w:val="both"/>
      </w:pPr>
      <w:r>
        <w:rPr>
          <w:rFonts w:ascii="Times New Roman" w:hAnsi="Times New Roman"/>
          <w:sz w:val="19"/>
        </w:rPr>
        <w:t>[12] D. Zhao, C. Ju, G. Zhu, J. Ning, D. Luo, D. Zhang, and H. Ma, "MePark: Using meters as sensors for citywide on-street parking availability prediction," IEEE Transactions on Intelligent Transportation Systems, vol. 23, no. 7, pp. 7244–7257, 2022. https://doi.org/10.1109/TITS.2021.3067675</w:t>
      </w:r>
    </w:p>
    <w:p>
      <w:pPr>
        <w:spacing w:before="0" w:after="60" w:line="252" w:lineRule="auto"/>
        <w:jc w:val="both"/>
      </w:pPr>
      <w:r>
        <w:rPr>
          <w:rFonts w:ascii="Times New Roman" w:hAnsi="Times New Roman"/>
          <w:sz w:val="19"/>
        </w:rPr>
        <w:t>[13] Q. Yang, Y. Liu, T. Chen, and Y. Tong, "Federated machine learning: Concept and applications," ACM Transactions on Intelligent Systems and Technology, vol. 10, no. 2, art. 12, pp. 1–19, 2019. https://doi.org/10.1145/3298981</w:t>
      </w:r>
    </w:p>
    <w:p>
      <w:pPr>
        <w:spacing w:before="0" w:after="60" w:line="252" w:lineRule="auto"/>
        <w:jc w:val="both"/>
      </w:pPr>
      <w:r>
        <w:rPr>
          <w:rFonts w:ascii="Times New Roman" w:hAnsi="Times New Roman"/>
          <w:sz w:val="19"/>
        </w:rPr>
        <w:t>[14] P. Kairouz, H. B. McMahan, B. Avent, A. Bellet, M. Bennis, A. N. Bhagoji, et al., "Advances and open problems in federated learning," Foundations and Trends in Machine Learning, vol. 14, no. 1–2, pp. 1–210, 2021. https://doi.org/10.1561/2200000083</w:t>
      </w:r>
    </w:p>
    <w:p>
      <w:pPr>
        <w:spacing w:before="0" w:after="60" w:line="252" w:lineRule="auto"/>
        <w:jc w:val="both"/>
      </w:pPr>
      <w:r>
        <w:rPr>
          <w:rFonts w:ascii="Times New Roman" w:hAnsi="Times New Roman"/>
          <w:sz w:val="19"/>
        </w:rPr>
        <w:t>[15] C. Zhang, Y. Xie, H. Bai, B. Yu, W. Li, and Y. Gao, "A survey on federated learning: The journey from centralized to distributed," Knowledge-Based Systems, vol. 216, art. 106775, pp. 1–16, 2021. https://doi.org/10.1016/j.knosys.2021.106775</w:t>
      </w:r>
    </w:p>
    <w:p>
      <w:pPr>
        <w:spacing w:before="0" w:after="60" w:line="252" w:lineRule="auto"/>
        <w:jc w:val="both"/>
      </w:pPr>
      <w:r>
        <w:rPr>
          <w:rFonts w:ascii="Times New Roman" w:hAnsi="Times New Roman"/>
          <w:sz w:val="19"/>
        </w:rPr>
        <w:t>[16] A. Attiah, S. Alahmadi, A. Hakeem, L. Mohaisen, A. G. Almakky, and R. M. Alhebshi, "FedPark: A federated learning crowdsensing solution for on-street parking availability," IEEE Access, vol. 13, pp. 99717–99733, 2025. https://doi.org/10.1109/ACCESS.2025.3577489</w:t>
      </w:r>
    </w:p>
    <w:p>
      <w:pPr>
        <w:spacing w:before="0" w:after="60" w:line="252" w:lineRule="auto"/>
        <w:jc w:val="both"/>
      </w:pPr>
      <w:r>
        <w:rPr>
          <w:rFonts w:ascii="Times New Roman" w:hAnsi="Times New Roman"/>
          <w:sz w:val="19"/>
        </w:rPr>
        <w:t>[17] S. Sharma and P. Kaur, "Fog-based federated time series forecasting for IoT data," Journal of Network and Systems Management, vol. 32, no. 2, art. 38, pp. 1–26, 2024. https://doi.org/10.1007/s10922-024-09802-2</w:t>
      </w:r>
    </w:p>
    <w:p>
      <w:pPr>
        <w:spacing w:before="0" w:after="60" w:line="252" w:lineRule="auto"/>
        <w:jc w:val="both"/>
      </w:pPr>
      <w:r>
        <w:rPr>
          <w:rFonts w:ascii="Times New Roman" w:hAnsi="Times New Roman"/>
          <w:sz w:val="19"/>
        </w:rPr>
        <w:t>[18] Y. Zhao, M. Li, L. Lai, N. Suda, D. Civin, and V. Chandra, "Federated learning with non-IID data," arXiv preprint arXiv:1806.00582, pp. 1–12, 2018. https://doi.org/10.48550/arXiv.1806.00582</w:t>
      </w:r>
    </w:p>
    <w:p>
      <w:pPr>
        <w:spacing w:before="0" w:after="60" w:line="252" w:lineRule="auto"/>
        <w:jc w:val="both"/>
      </w:pPr>
      <w:r>
        <w:rPr>
          <w:rFonts w:ascii="Times New Roman" w:hAnsi="Times New Roman"/>
          <w:sz w:val="19"/>
        </w:rPr>
        <w:t>[19] T. Li, A. K. Sahu, M. Zaheer, M. Sanjabi, A. Talwalkar, and V. Smith, "Federated optimization in heterogeneous networks," in Proc. Mach. Learn. Syst. (MLSys 2020), Austin, TX, vol. 2, 2020, pp. 429–450.</w:t>
      </w:r>
    </w:p>
    <w:p>
      <w:pPr>
        <w:spacing w:before="0" w:after="60" w:line="252" w:lineRule="auto"/>
        <w:jc w:val="both"/>
      </w:pPr>
      <w:r>
        <w:rPr>
          <w:rFonts w:ascii="Times New Roman" w:hAnsi="Times New Roman"/>
          <w:sz w:val="19"/>
        </w:rPr>
        <w:t>[20] A. Fallah, A. Mokhtari, and A. Ozdaglar, "Personalized federated learning with theoretical guarantees: A model-agnostic meta-learning approach," in Adv. Neural Inf. Process. Syst. (NeurIPS 2020), vol. 33, 2020, pp. 3557–3568.</w:t>
      </w:r>
    </w:p>
    <w:p>
      <w:pPr>
        <w:spacing w:before="0" w:after="60" w:line="252" w:lineRule="auto"/>
        <w:jc w:val="both"/>
      </w:pPr>
      <w:r>
        <w:rPr>
          <w:rFonts w:ascii="Times New Roman" w:hAnsi="Times New Roman"/>
          <w:sz w:val="19"/>
        </w:rPr>
        <w:t>[21] M. G. Arivazhagan, V. Aggarwal, A. K. Singh, and S. Choudhary, "Federated learning with personalization layers," arXiv preprint arXiv:1912.00818, pp. 1–10, 2019.</w:t>
      </w:r>
    </w:p>
    <w:p>
      <w:pPr>
        <w:spacing w:before="0" w:after="60" w:line="252" w:lineRule="auto"/>
        <w:jc w:val="both"/>
      </w:pPr>
      <w:r>
        <w:rPr>
          <w:rFonts w:ascii="Times New Roman" w:hAnsi="Times New Roman"/>
          <w:sz w:val="19"/>
        </w:rPr>
        <w:t>[22] F. R. di Torrepadula, M. Fisichella, S. Di Martino, and N. Mazzocca, "Fedflow: A personalized federated learning framework for passenger flow prediction," Machine Learning, vol. 114, no. 7, art. 166, pp. 1–24, 2025. https://doi.org/10.1007/s10994-025-06795-0</w:t>
      </w:r>
    </w:p>
    <w:p>
      <w:pPr>
        <w:spacing w:before="0" w:after="60" w:line="252" w:lineRule="auto"/>
        <w:jc w:val="both"/>
      </w:pPr>
      <w:r>
        <w:rPr>
          <w:rFonts w:ascii="Times New Roman" w:hAnsi="Times New Roman"/>
          <w:sz w:val="19"/>
        </w:rPr>
        <w:t>[23] C. T. Dinh, N. H. Tran, and T. D. Nguyen, "Personalized federated learning with Moreau envelopes," in Adv. Neural Inf. Process. Syst. (NeurIPS 2020), vol. 33, 2020, pp. 21394–21405.</w:t>
      </w:r>
    </w:p>
    <w:p>
      <w:pPr>
        <w:spacing w:before="0" w:after="60" w:line="252" w:lineRule="auto"/>
        <w:jc w:val="both"/>
      </w:pPr>
      <w:r>
        <w:rPr>
          <w:rFonts w:ascii="Times New Roman" w:hAnsi="Times New Roman"/>
          <w:sz w:val="19"/>
        </w:rPr>
        <w:t>[24] S. Hochreiter and J. Schmidhuber, "Long short-term memory," Neural Computation, vol. 9, no. 8, pp. 1735–1780, 1997. https://doi.org/10.1162/neco.1997.9.8.1735</w:t>
      </w:r>
    </w:p>
    <w:p>
      <w:pPr>
        <w:spacing w:before="0" w:after="60" w:line="252" w:lineRule="auto"/>
        <w:jc w:val="both"/>
      </w:pPr>
      <w:r>
        <w:rPr>
          <w:rFonts w:ascii="Times New Roman" w:hAnsi="Times New Roman"/>
          <w:sz w:val="19"/>
        </w:rPr>
        <w:t>[25] D. P. Kingma and J. Ba, "Adam: A method for stochastic optimization," in Proc. 3rd Int. Conf. Learn. Represent. (ICLR 2015), San Diego, CA, 2015, pp. 1–15.</w:t>
      </w:r>
    </w:p>
    <w:p>
      <w:pPr>
        <w:spacing w:before="0" w:after="60" w:line="252" w:lineRule="auto"/>
        <w:jc w:val="both"/>
      </w:pPr>
      <w:r>
        <w:rPr>
          <w:rFonts w:ascii="Times New Roman" w:hAnsi="Times New Roman"/>
          <w:sz w:val="19"/>
        </w:rPr>
        <w:t>[26] A. Z. Tan, H. Yu, L. Cui, and Q. Yang, "Towards personalized federated learning," IEEE Transactions on Neural Networks and Learning Systems, vol. 34, no. 12, pp. 9587–9603, 2023. https://doi.org/10.1109/TNNLS.2022.3160699</w:t>
      </w:r>
    </w:p>
    <w:p>
      <w:pPr>
        <w:spacing w:before="0" w:after="60" w:line="252" w:lineRule="auto"/>
        <w:jc w:val="both"/>
      </w:pPr>
      <w:r>
        <w:rPr>
          <w:rFonts w:ascii="Times New Roman" w:hAnsi="Times New Roman"/>
          <w:sz w:val="19"/>
        </w:rPr>
        <w:t>[27] K. Bonawitz, V. Ivanov, B. Kreuter, A. Marcedone, H. B. McMahan, S. Patel, et al., "Practical secure aggregation for privacy-preserving machine learning," in Proc. 2017 ACM SIGSAC Conf. Comput. Commun. Secur. (CCS '17), Dallas, TX, 2017, pp. 1175–1191. https://doi.org/10.1145/3133956.3133982</w:t>
      </w:r>
    </w:p>
    <w:p>
      <w:pPr>
        <w:spacing w:before="0" w:after="60" w:line="252" w:lineRule="auto"/>
        <w:jc w:val="both"/>
      </w:pPr>
      <w:r>
        <w:rPr>
          <w:rFonts w:ascii="Times New Roman" w:hAnsi="Times New Roman"/>
          <w:sz w:val="19"/>
        </w:rPr>
        <w:t>[28] C. Dwork, "Differential privacy: A survey of results," in Int. Conf. Theory Appl. Models Comput. (TAMC 2008), LNCS vol. 4978, Berlin, Heidelberg: Springer, 2008, pp. 1–19. https://doi.org/10.1007/978-3-540-79228-4_1</w:t>
      </w:r>
    </w:p>
    <w:p>
      <w:pPr>
        <w:spacing w:before="0" w:after="60" w:line="252" w:lineRule="auto"/>
        <w:jc w:val="both"/>
      </w:pPr>
      <w:r>
        <w:rPr>
          <w:rFonts w:ascii="Times New Roman" w:hAnsi="Times New Roman"/>
          <w:sz w:val="19"/>
        </w:rPr>
        <w:t>[29] D. H. Stolfi, E. Alba, and X. Yao, "Parking Birmingham," UCI Machine Learning Repository, 2017. https://doi.org/10.24432/C51K5Z</w:t>
      </w:r>
    </w:p>
    <w:p>
      <w:pPr>
        <w:spacing w:before="0" w:after="60" w:line="252" w:lineRule="auto"/>
        <w:jc w:val="both"/>
      </w:pPr>
      <w:r>
        <w:rPr>
          <w:rFonts w:ascii="Times New Roman" w:hAnsi="Times New Roman"/>
          <w:sz w:val="19"/>
        </w:rPr>
        <w:t>[30] P. Voigt and A. Von dem Bussche, The EU General Data Protection Regulation (GDPR): A Practical Guide. Cham, Switzerland: Springer International Publishing, 2017. https://doi.org/10.1007/978-3-319-57959-7</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