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privacy-preserving smart parking forecasting across multi-operator facilities, yet decentralized performance claims often overlook simple local baselines. We conduct an empirical benchmark on the Birmingham municipal IoT dataset (30 facilities, 21,868 temporal sequences) across 30- and 60-minute horizons. A zero-parameter persistence baseline achieves a 30-minute Mean Absolute Error (MAE) of 0.0256 (33.4 bays), while an isolated 5-parameter local linear autoregressive model per lot—requiring zero communication and zero data sharing—achieves an MAE of 0.0126 (13.9 bays), outperforming centralized deep learning (Attention-LSTM MAE: 0.0217; 26.9 bays) and all federated configurations. Under standard communication budgets (8 rounds), global FedAvg exhibits severe under-training (MAE: 0.0935 ± 0.0032). An IID-shuffled control (MAE: 0.0678 ± 0.0019) and matched-compute experiments (~14,790 gradient updates) reveal that optimization under-training accounts for the primary performance deficit rather than spatial heterogeneity alone.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via Compute Parity: </w:t>
      </w:r>
      <w:r>
        <w:t>Through compute step audits, round scaling, and an IID-shuffled federated control (MAE: 0.0678 ± 0.0019), our experimental decomposition reveals that under practical communication constraints (8 rounds, ~256 updates/client), 35.8% of the initial gap is attributable to statistical heterogeneity, while the remaining 64.2% reflects optimization under-training. Crucially, matched compute-parity experiments (15 rounds, ~14,790 client updates matching centralized 30 epochs) confirm that IID-shuffled FedAvg converges to 0.0384 ± 0.0010 (47.5 bays), reducing the optimization gap by 63.8% and indicating that non-IID client heterogeneity accounts for 73.9% of the residual deficit under this matched-compute protocol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communication-constrained protocol (R = 8). As investigated in Section 4.2 and Section 5.2 through matched compute-parity experiments (R = 15), extending training to matched gradient-step parity shifts this balance, indicating that non-IID heterogeneity accounts for 73.9% of the deficit once compute starvation is mitigated.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33.3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Compute-Parity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~7,888 steps)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~7,888 steps)</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Under-Training Deficit: 0.0461 (64.2%) | Total Gap: 0.0718</w:t>
            </w:r>
          </w:p>
        </w:tc>
      </w:tr>
      <w:tr>
        <w:tc>
          <w:tcPr>
            <w:tcW w:type="dxa" w:w="1656"/>
            <w:shd w:fill="F1F5F9"/>
            <w:tcMar>
              <w:top w:w="60" w:type="dxa"/>
              <w:bottom w:w="60" w:type="dxa"/>
              <w:left w:w="80" w:type="dxa"/>
              <w:right w:w="80" w:type="dxa"/>
            </w:tcMar>
          </w:tcPr>
          <w:p>
            <w:pPr>
              <w:jc w:val="left"/>
            </w:pPr>
            <w:r>
              <w:rPr>
                <w:sz w:val="16"/>
              </w:rPr>
              <w:t>Compute Parity (R=15, E=2, ~14,790 steps)</w:t>
            </w:r>
          </w:p>
        </w:tc>
        <w:tc>
          <w:tcPr>
            <w:tcW w:type="dxa" w:w="2232"/>
            <w:shd w:fill="F1F5F9"/>
            <w:tcMar>
              <w:top w:w="60" w:type="dxa"/>
              <w:bottom w:w="60" w:type="dxa"/>
              <w:left w:w="80" w:type="dxa"/>
              <w:right w:w="80" w:type="dxa"/>
            </w:tcMar>
          </w:tcPr>
          <w:p>
            <w:pPr>
              <w:jc w:val="left"/>
            </w:pPr>
            <w:r>
              <w:rPr>
                <w:sz w:val="16"/>
              </w:rPr>
              <w:t>Compute-Parity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Compute Parity (R=15, E=2, ~14,790 steps)</w:t>
            </w:r>
          </w:p>
        </w:tc>
        <w:tc>
          <w:tcPr>
            <w:tcW w:type="dxa" w:w="2232"/>
            <w:shd w:fill="F1F5F9"/>
            <w:tcMar>
              <w:top w:w="60" w:type="dxa"/>
              <w:bottom w:w="60" w:type="dxa"/>
              <w:left w:w="80" w:type="dxa"/>
              <w:right w:w="80" w:type="dxa"/>
            </w:tcMar>
          </w:tcPr>
          <w:p>
            <w:pPr>
              <w:jc w:val="left"/>
            </w:pPr>
            <w:r>
              <w:rPr>
                <w:sz w:val="16"/>
              </w:rPr>
              <w:t>Compute-Parity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Compute Parity (R=15, E=2, ~14,790 steps)</w:t>
            </w:r>
          </w:p>
        </w:tc>
        <w:tc>
          <w:tcPr>
            <w:tcW w:type="dxa" w:w="2232"/>
            <w:shd w:fill="F1F5F9"/>
            <w:tcMar>
              <w:top w:w="60" w:type="dxa"/>
              <w:bottom w:w="60" w:type="dxa"/>
              <w:left w:w="80" w:type="dxa"/>
              <w:right w:w="80" w:type="dxa"/>
            </w:tcMar>
          </w:tcPr>
          <w:p>
            <w:pPr>
              <w:jc w:val="left"/>
            </w:pPr>
            <w:r>
              <w:rPr>
                <w:b/>
                <w:sz w:val="16"/>
              </w:rPr>
              <w:t>Compute-Parity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Parity)</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The mathematical decomposition isolates heterogeneity and optimization effects via: Δ_total = MAE_Non-IID - MAE_Centralized (Centralized Attention-LSTM benchmark = 0.0217 ± 0.0004); Δ_heterogeneity = MAE_Non-IID - MAE_IID-Shuffled; Δ_optimization = MAE_IID-Shuffled - MAE_Centralized. Seed-level results: Panel 1 (R=8): Global FedAvg MAE = [0.0970 (seed 42), 0.0925 (seed 101), 0.0908 (seed 2024)]; IID-Shuffled FedAvg MAE = [0.0659, 0.0677, 0.0698]; Personalized FedAvg MAE = [0.0596, 0.0593, 0.0587]. Panel 2 (R=15 Compute Parity): Non-IID FedAvg MAE = [0.0857 (seed 42), 0.0874 (seed 101), 0.0844 (seed 2024)]; IID-Shuffled FedAvg MAE = [0.0372, 0.0389, 0.0390]; Personalized FedAvg MAE = [0.0535, 0.0558, 0.0551]. Under communication constraints (R=8), under-training accounts for 64.2% of the deficit; when scaled to matched compute parity (R=15), eliminating compute starvation allows IID FedAvg to converge to 0.0384 ± 0.0010, indicating that non-IID client heterogeneity accounts for 73.9% of the remaining deficit under this experimental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Compute-Parity Protocols: </w:t>
      </w:r>
      <w:r>
        <w:t>Under communication constraints (R = 8 rounds, ~256 local steps/client), Global FedAvg achieves an MAE of 0.0935 ± 0.0032. Eliminating statistical heterogeneity via IID shuffling reduces error to 0.0678 ± 0.0019. Relative to the centralized Attention-LSTM benchmark (0.0217), statistical heterogeneity accounts for 35.8% (0.0257) of the gap, while 64.2% (0.0461) reflects optimization under-training. Crucially, when scaled to matched compute parity (R = 15 rounds, E = 2, totaling 14,790 client updates matching the 30 centralized epochs = 14,370 steps), IID-Shuffled FedAvg converges rapidly to 0.0384 ± 0.0010 (47.5 bays), cutting the optimization gap by 63.8% (from 0.0461 to 0.0167). In contrast, Non-IID FedAvg at R = 15 reaches only 0.0858 ± 0.0015 (109.5 bays). Under matched compute parity, removing statistical heterogeneity closes 0.0474 of the 0.0641 gap—indicating that non-IID client statistical heterogeneity accounts for 73.9% (0.0474) of the performance deficit under this matched-compute protocol, while the residual optimization deficit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approximately 256 local Adam updates per client (7,888 total updates across the federation), compared to 14,370 optimization steps executed by the centralized model over 30 epochs. At this communication-constrained budget, the IID-shuffled control (Table 3) indicates that statistical heterogeneity accounts for 35.8% of the performance deficit, while the remaining 64.2% residual deficit reflects optimization under-training.</w:t>
      </w:r>
    </w:p>
    <w:p>
      <w:pPr>
        <w:spacing w:before="0" w:after="100" w:line="276" w:lineRule="auto"/>
        <w:jc w:val="both"/>
      </w:pPr>
      <w:r>
        <w:rPr>
          <w:rFonts w:ascii="Times New Roman" w:hAnsi="Times New Roman"/>
          <w:sz w:val="22"/>
        </w:rPr>
        <w:t>To investigate these distinct mechanisms under matched optimization volume, we conducted compute-parity experiments (Table 3, Panel 2) scaling federated training to R = 15 rounds (E = 2, B = 32), totaling exactly 14,790 client-side gradient updates across the federation and 30 local epochs per client—achieving exact compute and epoch parity with the 30 centralized epochs. At matched compute parity,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under-training is resolved through compute parity, eliminating non-IID client heterogeneity accounts for 73.9% of the remaining performance deficit (0.0474 out of 0.0641). These empirical findings indicate that while under-training accounts for the majority of the residual deficit under communication-constrained budgets (R = 8), non-IID client heterogeneity constitutes the dominant performance bottleneck (73.9% of the deficit) when compute parity is enforced.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under the 8-round communication budget; matched compute-parity experiments (15 rounds, ~14,790 updates) further indicate that when compute starvation is mitigated, non-IID client heterogeneity accounts for 73.9% of the remaining deficit under this experimental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