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DCDD" w14:textId="221D145B" w:rsidR="00C75883" w:rsidRDefault="00EF461E">
      <w:r>
        <w:t xml:space="preserve">Team-9 </w:t>
      </w:r>
      <w:proofErr w:type="gramStart"/>
      <w:r>
        <w:t>DSC  Final</w:t>
      </w:r>
      <w:proofErr w:type="gramEnd"/>
      <w:r>
        <w:t xml:space="preserve"> Corrections</w:t>
      </w:r>
    </w:p>
    <w:p w14:paraId="5715A3C6" w14:textId="77777777" w:rsidR="00EF461E" w:rsidRDefault="00EF461E"/>
    <w:p w14:paraId="31BACEC5" w14:textId="77777777" w:rsidR="00EF461E" w:rsidRPr="00EF461E" w:rsidRDefault="00EF461E" w:rsidP="00EF461E">
      <w:r w:rsidRPr="00EF461E">
        <w:rPr>
          <w:b/>
          <w:bCs/>
        </w:rPr>
        <w:t xml:space="preserve">a genuine turnaround. The original version was not publishable — its “personalized FL” headline was 2–5× worse than baselines it had omitted. This revision adopts exactly the honest reframe, and does it well: it now leads with persistence and a 5-parameter local-only linear model (which dominate everything), diagnoses </w:t>
      </w:r>
      <w:proofErr w:type="spellStart"/>
      <w:r w:rsidRPr="00EF461E">
        <w:rPr>
          <w:b/>
          <w:bCs/>
        </w:rPr>
        <w:t>FedAvg’s</w:t>
      </w:r>
      <w:proofErr w:type="spellEnd"/>
      <w:r w:rsidRPr="00EF461E">
        <w:rPr>
          <w:b/>
          <w:bCs/>
        </w:rPr>
        <w:t xml:space="preserve"> collapse as largely under-training rather than non-IID “spatial collapse,” refutes the bandwidth justification (74.6× overhead), corrects every dataset fact and reference error I flagged, adds an IID-shuffled control, multi-seed CIs, a leakage/interpolation audit, and a public repo. It is now an honest, reproducible benchmark / negative-result paper, publishable at a solid ITS/smart-city venue after minor polish. The one remaining soft spot is logical, not factual: the headline 35.8 %/64.2 % heterogeneity-vs-under-training split rests on an IID-shuffled control that is itself under-trained, so the decomposition isn’t clean — which the authors now hedge heavily but don’t yet resolve.</w:t>
      </w:r>
    </w:p>
    <w:p w14:paraId="669B2272" w14:textId="77777777" w:rsidR="00EF461E" w:rsidRPr="00EF461E" w:rsidRDefault="00EF461E" w:rsidP="00EF461E">
      <w:r w:rsidRPr="00EF461E">
        <w:rPr>
          <w:b/>
          <w:bCs/>
        </w:rPr>
        <w:t xml:space="preserve">What I checked (re-verified against the cloned Birmingham data; repo: </w:t>
      </w:r>
      <w:proofErr w:type="spellStart"/>
      <w:r w:rsidRPr="00EF461E">
        <w:rPr>
          <w:b/>
          <w:bCs/>
        </w:rPr>
        <w:t>ParkSense</w:t>
      </w:r>
      <w:proofErr w:type="spellEnd"/>
      <w:r w:rsidRPr="00EF461E">
        <w:rPr>
          <w:b/>
          <w:bCs/>
        </w:rPr>
        <w:t>-AI)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7"/>
        <w:gridCol w:w="5729"/>
      </w:tblGrid>
      <w:tr w:rsidR="00EF461E" w:rsidRPr="00EF461E" w14:paraId="3B3B43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5692C" w14:textId="77777777" w:rsidR="00EF461E" w:rsidRPr="00EF461E" w:rsidRDefault="00EF461E" w:rsidP="00EF461E">
            <w:pPr>
              <w:rPr>
                <w:b/>
                <w:bCs/>
              </w:rPr>
            </w:pPr>
            <w:r w:rsidRPr="00EF461E">
              <w:rPr>
                <w:b/>
                <w:bCs/>
              </w:rPr>
              <w:t>Earlier defect (original paper)</w:t>
            </w:r>
          </w:p>
        </w:tc>
        <w:tc>
          <w:tcPr>
            <w:tcW w:w="0" w:type="auto"/>
            <w:vAlign w:val="center"/>
            <w:hideMark/>
          </w:tcPr>
          <w:p w14:paraId="61209D31" w14:textId="77777777" w:rsidR="00EF461E" w:rsidRPr="00EF461E" w:rsidRDefault="00EF461E" w:rsidP="00EF461E">
            <w:pPr>
              <w:rPr>
                <w:b/>
                <w:bCs/>
              </w:rPr>
            </w:pPr>
            <w:r w:rsidRPr="00EF461E">
              <w:rPr>
                <w:b/>
                <w:bCs/>
              </w:rPr>
              <w:t>Status in this revision</w:t>
            </w:r>
          </w:p>
        </w:tc>
      </w:tr>
      <w:tr w:rsidR="00EF461E" w:rsidRPr="00EF461E" w14:paraId="47E5D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2E83F" w14:textId="77777777" w:rsidR="00EF461E" w:rsidRPr="00EF461E" w:rsidRDefault="00EF461E" w:rsidP="00EF461E">
            <w:r w:rsidRPr="00EF461E">
              <w:t>Missing persistence + local-only baselines</w:t>
            </w:r>
          </w:p>
        </w:tc>
        <w:tc>
          <w:tcPr>
            <w:tcW w:w="0" w:type="auto"/>
            <w:vAlign w:val="center"/>
            <w:hideMark/>
          </w:tcPr>
          <w:p w14:paraId="7DE4A6F4" w14:textId="77777777" w:rsidR="00EF461E" w:rsidRPr="00EF461E" w:rsidRDefault="00EF461E" w:rsidP="00EF461E">
            <w:r w:rsidRPr="00EF461E">
              <w:rPr>
                <w:rFonts w:ascii="Segoe UI Symbol" w:hAnsi="Segoe UI Symbol" w:cs="Segoe UI Symbol"/>
              </w:rPr>
              <w:t>✔</w:t>
            </w:r>
            <w:r w:rsidRPr="00EF461E">
              <w:t xml:space="preserve"> Both now lead Table 2; </w:t>
            </w:r>
            <w:r w:rsidRPr="00EF461E">
              <w:rPr>
                <w:b/>
                <w:bCs/>
              </w:rPr>
              <w:t>local-linear 0.0126 (13.9 bays) is the best model</w:t>
            </w:r>
            <w:r w:rsidRPr="00EF461E">
              <w:t>, beating Attention-LSTM (0.0217) and all FL — my independent re-run confirms 0.0145/17.4 bays</w:t>
            </w:r>
          </w:p>
        </w:tc>
      </w:tr>
      <w:tr w:rsidR="00EF461E" w:rsidRPr="00EF461E" w14:paraId="726EC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BA156" w14:textId="77777777" w:rsidR="00EF461E" w:rsidRPr="00EF461E" w:rsidRDefault="00EF461E" w:rsidP="00EF461E">
            <w:r w:rsidRPr="00EF461E">
              <w:t>“</w:t>
            </w:r>
            <w:proofErr w:type="spellStart"/>
            <w:r w:rsidRPr="00EF461E">
              <w:t>FedAvg</w:t>
            </w:r>
            <w:proofErr w:type="spellEnd"/>
            <w:r w:rsidRPr="00EF461E">
              <w:t xml:space="preserve"> collapse = non-IID heterogeneity”</w:t>
            </w:r>
          </w:p>
        </w:tc>
        <w:tc>
          <w:tcPr>
            <w:tcW w:w="0" w:type="auto"/>
            <w:vAlign w:val="center"/>
            <w:hideMark/>
          </w:tcPr>
          <w:p w14:paraId="6E5949BD" w14:textId="77777777" w:rsidR="00EF461E" w:rsidRPr="00EF461E" w:rsidRDefault="00EF461E" w:rsidP="00EF461E">
            <w:r w:rsidRPr="00EF461E">
              <w:rPr>
                <w:rFonts w:ascii="Segoe UI Symbol" w:hAnsi="Segoe UI Symbol" w:cs="Segoe UI Symbol"/>
              </w:rPr>
              <w:t>✔</w:t>
            </w:r>
            <w:r w:rsidRPr="00EF461E">
              <w:t xml:space="preserve"> Reframed as largely under-training; IID-shuffled control (0.0678) added; 35.8/64.2 decomposition with explicit “not definitive causal proof” hedging</w:t>
            </w:r>
          </w:p>
        </w:tc>
      </w:tr>
      <w:tr w:rsidR="00EF461E" w:rsidRPr="00EF461E" w14:paraId="3A444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C1B97" w14:textId="77777777" w:rsidR="00EF461E" w:rsidRPr="00EF461E" w:rsidRDefault="00EF461E" w:rsidP="00EF461E">
            <w:r w:rsidRPr="00EF461E">
              <w:t>Wrong capacities (claimed 387–1,912)</w:t>
            </w:r>
          </w:p>
        </w:tc>
        <w:tc>
          <w:tcPr>
            <w:tcW w:w="0" w:type="auto"/>
            <w:vAlign w:val="center"/>
            <w:hideMark/>
          </w:tcPr>
          <w:p w14:paraId="3FEB2056" w14:textId="77777777" w:rsidR="00EF461E" w:rsidRPr="00EF461E" w:rsidRDefault="00EF461E" w:rsidP="00EF461E">
            <w:r w:rsidRPr="00EF461E">
              <w:rPr>
                <w:rFonts w:ascii="Segoe UI Symbol" w:hAnsi="Segoe UI Symbol" w:cs="Segoe UI Symbol"/>
              </w:rPr>
              <w:t>✔</w:t>
            </w:r>
            <w:r w:rsidRPr="00EF461E">
              <w:t xml:space="preserve"> Now 220 (BHMEURBRD02) – 4,675 (Others-CCCPS133), mean 1,397.6, 7 lots &gt; 1,912 — </w:t>
            </w:r>
            <w:r w:rsidRPr="00EF461E">
              <w:rPr>
                <w:b/>
                <w:bCs/>
              </w:rPr>
              <w:t>matches my audit exactly</w:t>
            </w:r>
          </w:p>
        </w:tc>
      </w:tr>
      <w:tr w:rsidR="00EF461E" w:rsidRPr="00EF461E" w14:paraId="6E81B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37FFC" w14:textId="77777777" w:rsidR="00EF461E" w:rsidRPr="00EF461E" w:rsidRDefault="00EF461E" w:rsidP="00EF461E">
            <w:r w:rsidRPr="00EF461E">
              <w:t>88- and 162-record lots unhandled</w:t>
            </w:r>
          </w:p>
        </w:tc>
        <w:tc>
          <w:tcPr>
            <w:tcW w:w="0" w:type="auto"/>
            <w:vAlign w:val="center"/>
            <w:hideMark/>
          </w:tcPr>
          <w:p w14:paraId="6081CC26" w14:textId="77777777" w:rsidR="00EF461E" w:rsidRPr="00EF461E" w:rsidRDefault="00EF461E" w:rsidP="00EF461E">
            <w:r w:rsidRPr="00EF461E">
              <w:rPr>
                <w:rFonts w:ascii="Segoe UI Symbol" w:hAnsi="Segoe UI Symbol" w:cs="Segoe UI Symbol"/>
              </w:rPr>
              <w:t>✔</w:t>
            </w:r>
            <w:r w:rsidRPr="00EF461E">
              <w:t xml:space="preserve"> BHMBRTARC01 (88, 5 days), NIA North (162, 9 days) documented; NIA North flagged as worst personalized MAE (sparse)</w:t>
            </w:r>
          </w:p>
        </w:tc>
      </w:tr>
      <w:tr w:rsidR="00EF461E" w:rsidRPr="00EF461E" w14:paraId="35340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9A271" w14:textId="77777777" w:rsidR="00EF461E" w:rsidRPr="00EF461E" w:rsidRDefault="00EF461E" w:rsidP="00EF461E">
            <w:r w:rsidRPr="00EF461E">
              <w:t>Bandwidth-saving claim</w:t>
            </w:r>
          </w:p>
        </w:tc>
        <w:tc>
          <w:tcPr>
            <w:tcW w:w="0" w:type="auto"/>
            <w:vAlign w:val="center"/>
            <w:hideMark/>
          </w:tcPr>
          <w:p w14:paraId="52698584" w14:textId="77777777" w:rsidR="00EF461E" w:rsidRPr="00EF461E" w:rsidRDefault="00EF461E" w:rsidP="00EF461E">
            <w:r w:rsidRPr="00EF461E">
              <w:rPr>
                <w:rFonts w:ascii="Segoe UI Symbol" w:hAnsi="Segoe UI Symbol" w:cs="Segoe UI Symbol"/>
              </w:rPr>
              <w:t>✔</w:t>
            </w:r>
            <w:r w:rsidRPr="00EF461E">
              <w:t xml:space="preserve"> Refuted: 110.35 MB vs 1.48 MB raw CSV = 74.6× (byte count 1,479,909 confirmed)</w:t>
            </w:r>
          </w:p>
        </w:tc>
      </w:tr>
      <w:tr w:rsidR="00EF461E" w:rsidRPr="00EF461E" w14:paraId="59678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AC37" w14:textId="77777777" w:rsidR="00EF461E" w:rsidRPr="00EF461E" w:rsidRDefault="00EF461E" w:rsidP="00EF461E">
            <w:r w:rsidRPr="00EF461E">
              <w:t>Fabricated/wrong refs ([11],[13],[15],[16],[17],[22], UCI DOI)</w:t>
            </w:r>
          </w:p>
        </w:tc>
        <w:tc>
          <w:tcPr>
            <w:tcW w:w="0" w:type="auto"/>
            <w:vAlign w:val="center"/>
            <w:hideMark/>
          </w:tcPr>
          <w:p w14:paraId="604886C8" w14:textId="77777777" w:rsidR="00EF461E" w:rsidRPr="00EF461E" w:rsidRDefault="00EF461E" w:rsidP="00EF461E">
            <w:r w:rsidRPr="00EF461E">
              <w:rPr>
                <w:rFonts w:ascii="Segoe UI Symbol" w:hAnsi="Segoe UI Symbol" w:cs="Segoe UI Symbol"/>
              </w:rPr>
              <w:t>✔</w:t>
            </w:r>
            <w:r w:rsidRPr="00EF461E">
              <w:t xml:space="preserve"> All corrected: Du-Parking KDD’18 646–654; </w:t>
            </w:r>
            <w:proofErr w:type="spellStart"/>
            <w:r w:rsidRPr="00EF461E">
              <w:t>FedPark</w:t>
            </w:r>
            <w:proofErr w:type="spellEnd"/>
            <w:r w:rsidRPr="00EF461E">
              <w:t xml:space="preserve"> Access 13:99717; </w:t>
            </w:r>
            <w:proofErr w:type="spellStart"/>
            <w:r w:rsidRPr="00EF461E">
              <w:t>Sharma&amp;Kaur</w:t>
            </w:r>
            <w:proofErr w:type="spellEnd"/>
            <w:r w:rsidRPr="00EF461E">
              <w:t xml:space="preserve"> JNSM 32(2); </w:t>
            </w:r>
            <w:proofErr w:type="spellStart"/>
            <w:r w:rsidRPr="00EF461E">
              <w:t>FedFlow</w:t>
            </w:r>
            <w:proofErr w:type="spellEnd"/>
            <w:r w:rsidRPr="00EF461E">
              <w:t xml:space="preserve"> ML 114 art.166; UCI 10.24432/C51K5Z; attention now </w:t>
            </w:r>
            <w:proofErr w:type="spellStart"/>
            <w:r w:rsidRPr="00EF461E">
              <w:t>Bahdanau</w:t>
            </w:r>
            <w:proofErr w:type="spellEnd"/>
            <w:r w:rsidRPr="00EF461E">
              <w:t xml:space="preserve"> [5] not Vaswani</w:t>
            </w:r>
          </w:p>
        </w:tc>
      </w:tr>
      <w:tr w:rsidR="00EF461E" w:rsidRPr="00EF461E" w14:paraId="00FC1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4ADC7" w14:textId="77777777" w:rsidR="00EF461E" w:rsidRPr="00EF461E" w:rsidRDefault="00EF461E" w:rsidP="00EF461E">
            <w:r w:rsidRPr="00EF461E">
              <w:t>Single seed, no CIs</w:t>
            </w:r>
          </w:p>
        </w:tc>
        <w:tc>
          <w:tcPr>
            <w:tcW w:w="0" w:type="auto"/>
            <w:vAlign w:val="center"/>
            <w:hideMark/>
          </w:tcPr>
          <w:p w14:paraId="5B4BAB6B" w14:textId="77777777" w:rsidR="00EF461E" w:rsidRPr="00EF461E" w:rsidRDefault="00EF461E" w:rsidP="00EF461E">
            <w:r w:rsidRPr="00EF461E">
              <w:rPr>
                <w:rFonts w:ascii="Segoe UI Symbol" w:hAnsi="Segoe UI Symbol" w:cs="Segoe UI Symbol"/>
              </w:rPr>
              <w:t>✔</w:t>
            </w:r>
            <w:r w:rsidRPr="00EF461E">
              <w:t xml:space="preserve"> Table 3 multi-seed (3) </w:t>
            </w:r>
            <w:proofErr w:type="spellStart"/>
            <w:r w:rsidRPr="00EF461E">
              <w:t>mean±std</w:t>
            </w:r>
            <w:proofErr w:type="spellEnd"/>
            <w:r w:rsidRPr="00EF461E">
              <w:t>; though Table 2 headline still single-seed (42)</w:t>
            </w:r>
          </w:p>
        </w:tc>
      </w:tr>
      <w:tr w:rsidR="00EF461E" w:rsidRPr="00EF461E" w14:paraId="32733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B4C70" w14:textId="77777777" w:rsidR="00EF461E" w:rsidRPr="00EF461E" w:rsidRDefault="00EF461E" w:rsidP="00EF461E">
            <w:r w:rsidRPr="00EF461E">
              <w:t>No optimality/compute-parity</w:t>
            </w:r>
          </w:p>
        </w:tc>
        <w:tc>
          <w:tcPr>
            <w:tcW w:w="0" w:type="auto"/>
            <w:vAlign w:val="center"/>
            <w:hideMark/>
          </w:tcPr>
          <w:p w14:paraId="639050A9" w14:textId="77777777" w:rsidR="00EF461E" w:rsidRPr="00EF461E" w:rsidRDefault="00EF461E" w:rsidP="00EF461E">
            <w:r w:rsidRPr="00EF461E">
              <w:rPr>
                <w:rFonts w:ascii="Cambria Math" w:hAnsi="Cambria Math" w:cs="Cambria Math"/>
              </w:rPr>
              <w:t>◐</w:t>
            </w:r>
            <w:r w:rsidRPr="00EF461E">
              <w:t xml:space="preserve"> Compute-parity audit added (256 vs 14,370 steps, 1.78 %) but the parity </w:t>
            </w:r>
            <w:r w:rsidRPr="00EF461E">
              <w:rPr>
                <w:i/>
                <w:iCs/>
              </w:rPr>
              <w:t>experiment</w:t>
            </w:r>
            <w:r w:rsidRPr="00EF461E">
              <w:t xml:space="preserve"> is deferred</w:t>
            </w:r>
          </w:p>
        </w:tc>
      </w:tr>
      <w:tr w:rsidR="00EF461E" w:rsidRPr="00EF461E" w14:paraId="6B473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35A1" w14:textId="77777777" w:rsidR="00EF461E" w:rsidRPr="00EF461E" w:rsidRDefault="00EF461E" w:rsidP="00EF461E">
            <w:r w:rsidRPr="00EF461E">
              <w:lastRenderedPageBreak/>
              <w:t>Internal arithmetic</w:t>
            </w:r>
          </w:p>
        </w:tc>
        <w:tc>
          <w:tcPr>
            <w:tcW w:w="0" w:type="auto"/>
            <w:vAlign w:val="center"/>
            <w:hideMark/>
          </w:tcPr>
          <w:p w14:paraId="5C560694" w14:textId="77777777" w:rsidR="00EF461E" w:rsidRPr="00EF461E" w:rsidRDefault="00EF461E" w:rsidP="00EF461E">
            <w:r w:rsidRPr="00EF461E">
              <w:rPr>
                <w:rFonts w:ascii="Segoe UI Symbol" w:hAnsi="Segoe UI Symbol" w:cs="Segoe UI Symbol"/>
              </w:rPr>
              <w:t>✔</w:t>
            </w:r>
            <w:r w:rsidRPr="00EF461E">
              <w:t xml:space="preserve"> All recompute: 21,868 = 1,988×11; splits 15,299/3,246/3,263/60; 36.7 %, 47.8 %, 50.6 %, 51.2 %, 74.6×, 57,474 params all exact</w:t>
            </w:r>
          </w:p>
        </w:tc>
      </w:tr>
    </w:tbl>
    <w:p w14:paraId="255EF2CD" w14:textId="77777777" w:rsidR="00EF461E" w:rsidRPr="00EF461E" w:rsidRDefault="00EF461E" w:rsidP="00EF461E">
      <w:r w:rsidRPr="00EF461E">
        <w:rPr>
          <w:b/>
          <w:bCs/>
        </w:rPr>
        <w:t>Remaining must-fix (one substantive, rest polish)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7713"/>
        <w:gridCol w:w="1126"/>
      </w:tblGrid>
      <w:tr w:rsidR="00EF461E" w:rsidRPr="00EF461E" w14:paraId="0D52F6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57591" w14:textId="77777777" w:rsidR="00EF461E" w:rsidRPr="00EF461E" w:rsidRDefault="00EF461E" w:rsidP="00EF461E">
            <w:pPr>
              <w:rPr>
                <w:b/>
                <w:bCs/>
              </w:rPr>
            </w:pPr>
            <w:r w:rsidRPr="00EF461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ECC265F" w14:textId="77777777" w:rsidR="00EF461E" w:rsidRPr="00EF461E" w:rsidRDefault="00EF461E" w:rsidP="00EF461E">
            <w:pPr>
              <w:rPr>
                <w:b/>
                <w:bCs/>
              </w:rPr>
            </w:pPr>
            <w:r w:rsidRPr="00EF461E">
              <w:rPr>
                <w:b/>
                <w:bCs/>
              </w:rPr>
              <w:t>Fix</w:t>
            </w:r>
          </w:p>
        </w:tc>
        <w:tc>
          <w:tcPr>
            <w:tcW w:w="0" w:type="auto"/>
            <w:vAlign w:val="center"/>
            <w:hideMark/>
          </w:tcPr>
          <w:p w14:paraId="28E8FD87" w14:textId="77777777" w:rsidR="00EF461E" w:rsidRPr="00EF461E" w:rsidRDefault="00EF461E" w:rsidP="00EF461E">
            <w:pPr>
              <w:rPr>
                <w:b/>
                <w:bCs/>
              </w:rPr>
            </w:pPr>
            <w:r w:rsidRPr="00EF461E">
              <w:rPr>
                <w:b/>
                <w:bCs/>
              </w:rPr>
              <w:t>Effort</w:t>
            </w:r>
          </w:p>
        </w:tc>
      </w:tr>
      <w:tr w:rsidR="00EF461E" w:rsidRPr="00EF461E" w14:paraId="60AE1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24AC" w14:textId="77777777" w:rsidR="00EF461E" w:rsidRPr="00EF461E" w:rsidRDefault="00EF461E" w:rsidP="00EF461E">
            <w:r w:rsidRPr="00EF461E">
              <w:t>1</w:t>
            </w:r>
          </w:p>
        </w:tc>
        <w:tc>
          <w:tcPr>
            <w:tcW w:w="0" w:type="auto"/>
            <w:vAlign w:val="center"/>
            <w:hideMark/>
          </w:tcPr>
          <w:p w14:paraId="45BDAF61" w14:textId="77777777" w:rsidR="00EF461E" w:rsidRPr="00EF461E" w:rsidRDefault="00EF461E" w:rsidP="00EF461E">
            <w:r w:rsidRPr="00EF461E">
              <w:rPr>
                <w:b/>
                <w:bCs/>
              </w:rPr>
              <w:t>The decomposition’s logical gap:</w:t>
            </w:r>
            <w:r w:rsidRPr="00EF461E">
              <w:t xml:space="preserve"> the IID-shuffled control is itself under-trained (256 steps), so “35.8 % heterogeneity / 64.2 % residual” conflates the two. Run IID-shuffled </w:t>
            </w:r>
            <w:r w:rsidRPr="00EF461E">
              <w:rPr>
                <w:i/>
                <w:iCs/>
              </w:rPr>
              <w:t>and</w:t>
            </w:r>
            <w:r w:rsidRPr="00EF461E">
              <w:t xml:space="preserve"> non-IID to compute-parity (≈14,370-equivalent steps), or state the 64.2 % is an upper bound and 35.8 % is “heterogeneity at fixed under-training.” This is the single experiment that would make the diagnosis definitive</w:t>
            </w:r>
          </w:p>
        </w:tc>
        <w:tc>
          <w:tcPr>
            <w:tcW w:w="0" w:type="auto"/>
            <w:vAlign w:val="center"/>
            <w:hideMark/>
          </w:tcPr>
          <w:p w14:paraId="18FDEE5D" w14:textId="77777777" w:rsidR="00EF461E" w:rsidRPr="00EF461E" w:rsidRDefault="00EF461E" w:rsidP="00EF461E">
            <w:r w:rsidRPr="00EF461E">
              <w:t>1–2 days</w:t>
            </w:r>
          </w:p>
        </w:tc>
      </w:tr>
      <w:tr w:rsidR="00EF461E" w:rsidRPr="00EF461E" w14:paraId="35A28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EBD7" w14:textId="77777777" w:rsidR="00EF461E" w:rsidRPr="00EF461E" w:rsidRDefault="00EF461E" w:rsidP="00EF461E">
            <w:r w:rsidRPr="00EF461E">
              <w:t>2</w:t>
            </w:r>
          </w:p>
        </w:tc>
        <w:tc>
          <w:tcPr>
            <w:tcW w:w="0" w:type="auto"/>
            <w:vAlign w:val="center"/>
            <w:hideMark/>
          </w:tcPr>
          <w:p w14:paraId="2A2A651C" w14:textId="77777777" w:rsidR="00EF461E" w:rsidRPr="00EF461E" w:rsidRDefault="00EF461E" w:rsidP="00EF461E">
            <w:r w:rsidRPr="00EF461E">
              <w:t>Make the headline fully multi-seed (promote all Table 2 models to ≥3, ideally 5, seeds); stop mixing single-seed (Table 2) and multi-seed (Table 3) in the abstract</w:t>
            </w:r>
          </w:p>
        </w:tc>
        <w:tc>
          <w:tcPr>
            <w:tcW w:w="0" w:type="auto"/>
            <w:vAlign w:val="center"/>
            <w:hideMark/>
          </w:tcPr>
          <w:p w14:paraId="37759A05" w14:textId="77777777" w:rsidR="00EF461E" w:rsidRPr="00EF461E" w:rsidRDefault="00EF461E" w:rsidP="00EF461E">
            <w:r w:rsidRPr="00EF461E">
              <w:t>Hours (compute)</w:t>
            </w:r>
          </w:p>
        </w:tc>
      </w:tr>
      <w:tr w:rsidR="00EF461E" w:rsidRPr="00EF461E" w14:paraId="54A81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B004A" w14:textId="77777777" w:rsidR="00EF461E" w:rsidRPr="00EF461E" w:rsidRDefault="00EF461E" w:rsidP="00EF461E">
            <w:r w:rsidRPr="00EF461E">
              <w:t>3</w:t>
            </w:r>
          </w:p>
        </w:tc>
        <w:tc>
          <w:tcPr>
            <w:tcW w:w="0" w:type="auto"/>
            <w:vAlign w:val="center"/>
            <w:hideMark/>
          </w:tcPr>
          <w:p w14:paraId="5066F5F7" w14:textId="77777777" w:rsidR="00EF461E" w:rsidRPr="00EF461E" w:rsidRDefault="00EF461E" w:rsidP="00EF461E">
            <w:r w:rsidRPr="00EF461E">
              <w:t>Cut the ~400-word single-paragraph abstract to ~200; fix Table 1 cell misalignment (the Rong/Zhao rows are shifted across columns)</w:t>
            </w:r>
          </w:p>
        </w:tc>
        <w:tc>
          <w:tcPr>
            <w:tcW w:w="0" w:type="auto"/>
            <w:vAlign w:val="center"/>
            <w:hideMark/>
          </w:tcPr>
          <w:p w14:paraId="18F6F1D4" w14:textId="77777777" w:rsidR="00EF461E" w:rsidRPr="00EF461E" w:rsidRDefault="00EF461E" w:rsidP="00EF461E">
            <w:r w:rsidRPr="00EF461E">
              <w:t>Hours</w:t>
            </w:r>
          </w:p>
        </w:tc>
      </w:tr>
      <w:tr w:rsidR="00EF461E" w:rsidRPr="00EF461E" w14:paraId="4D406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6568" w14:textId="77777777" w:rsidR="00EF461E" w:rsidRPr="00EF461E" w:rsidRDefault="00EF461E" w:rsidP="00EF461E">
            <w:r w:rsidRPr="00EF461E">
              <w:t>4</w:t>
            </w:r>
          </w:p>
        </w:tc>
        <w:tc>
          <w:tcPr>
            <w:tcW w:w="0" w:type="auto"/>
            <w:vAlign w:val="center"/>
            <w:hideMark/>
          </w:tcPr>
          <w:p w14:paraId="4AD42890" w14:textId="77777777" w:rsidR="00EF461E" w:rsidRPr="00EF461E" w:rsidRDefault="00EF461E" w:rsidP="00EF461E">
            <w:r w:rsidRPr="00EF461E">
              <w:t xml:space="preserve">Drop “(Ours)” from Personalized </w:t>
            </w:r>
            <w:proofErr w:type="spellStart"/>
            <w:r w:rsidRPr="00EF461E">
              <w:t>FedAvg</w:t>
            </w:r>
            <w:proofErr w:type="spellEnd"/>
            <w:r w:rsidRPr="00EF461E">
              <w:t xml:space="preserve"> — the paper’s own recommendation is the local-linear model; frame that as the finding, not the FL variant</w:t>
            </w:r>
          </w:p>
        </w:tc>
        <w:tc>
          <w:tcPr>
            <w:tcW w:w="0" w:type="auto"/>
            <w:vAlign w:val="center"/>
            <w:hideMark/>
          </w:tcPr>
          <w:p w14:paraId="4824F7BA" w14:textId="77777777" w:rsidR="00EF461E" w:rsidRPr="00EF461E" w:rsidRDefault="00EF461E" w:rsidP="00EF461E">
            <w:r w:rsidRPr="00EF461E">
              <w:t>Text</w:t>
            </w:r>
          </w:p>
        </w:tc>
      </w:tr>
      <w:tr w:rsidR="00EF461E" w:rsidRPr="00EF461E" w14:paraId="723DF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4C33" w14:textId="77777777" w:rsidR="00EF461E" w:rsidRPr="00EF461E" w:rsidRDefault="00EF461E" w:rsidP="00EF461E">
            <w:r w:rsidRPr="00EF461E">
              <w:t>5</w:t>
            </w:r>
          </w:p>
        </w:tc>
        <w:tc>
          <w:tcPr>
            <w:tcW w:w="0" w:type="auto"/>
            <w:vAlign w:val="center"/>
            <w:hideMark/>
          </w:tcPr>
          <w:p w14:paraId="1A9C169F" w14:textId="77777777" w:rsidR="00EF461E" w:rsidRPr="00EF461E" w:rsidRDefault="00EF461E" w:rsidP="00EF461E">
            <w:r w:rsidRPr="00EF461E">
              <w:t>State the interpolation caveat you already audited (bilateral within-day imputation uses future readings) as a one-line limitation in the abstract, not only §3.2.1</w:t>
            </w:r>
          </w:p>
        </w:tc>
        <w:tc>
          <w:tcPr>
            <w:tcW w:w="0" w:type="auto"/>
            <w:vAlign w:val="center"/>
            <w:hideMark/>
          </w:tcPr>
          <w:p w14:paraId="711CA049" w14:textId="77777777" w:rsidR="00EF461E" w:rsidRPr="00EF461E" w:rsidRDefault="00EF461E" w:rsidP="00EF461E">
            <w:r w:rsidRPr="00EF461E">
              <w:t>Text</w:t>
            </w:r>
          </w:p>
        </w:tc>
      </w:tr>
    </w:tbl>
    <w:p w14:paraId="4E65855F" w14:textId="77777777" w:rsidR="00EF461E" w:rsidRPr="00EF461E" w:rsidRDefault="00EF461E" w:rsidP="00EF461E">
      <w:r w:rsidRPr="00EF461E">
        <w:rPr>
          <w:b/>
          <w:bCs/>
        </w:rPr>
        <w:t>Decision tree:</w:t>
      </w:r>
      <w:r w:rsidRPr="00EF461E">
        <w:t xml:space="preserve"> fixes 2–5 → submit now (IEEE Access / Smart Cities / Future Internet tier) · + fix 1 → the under-training diagnosis becomes definitive and the paper is competitive at JITS / IET ITS, with an outside shot at IEEE T-ITS as a rigorous negative benchmark.</w:t>
      </w:r>
    </w:p>
    <w:p w14:paraId="27BA76F0" w14:textId="77777777" w:rsidR="00EF461E" w:rsidRPr="00EF461E" w:rsidRDefault="00EF461E" w:rsidP="00EF461E">
      <w:r w:rsidRPr="00EF461E">
        <w:rPr>
          <w:b/>
          <w:bCs/>
        </w:rPr>
        <w:t xml:space="preserve">Journals (quartiles from memory — confirm on </w:t>
      </w:r>
      <w:proofErr w:type="spellStart"/>
      <w:r w:rsidRPr="00EF461E">
        <w:rPr>
          <w:b/>
          <w:bCs/>
        </w:rPr>
        <w:t>SCImago</w:t>
      </w:r>
      <w:proofErr w:type="spellEnd"/>
      <w:r w:rsidRPr="00EF461E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9"/>
        <w:gridCol w:w="814"/>
        <w:gridCol w:w="1042"/>
        <w:gridCol w:w="3801"/>
      </w:tblGrid>
      <w:tr w:rsidR="00EF461E" w:rsidRPr="00EF461E" w14:paraId="751617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19E78" w14:textId="77777777" w:rsidR="00EF461E" w:rsidRPr="00EF461E" w:rsidRDefault="00EF461E" w:rsidP="00EF461E">
            <w:pPr>
              <w:rPr>
                <w:b/>
                <w:bCs/>
              </w:rPr>
            </w:pPr>
            <w:r w:rsidRPr="00EF461E">
              <w:rPr>
                <w:b/>
                <w:bCs/>
              </w:rPr>
              <w:t>Journal</w:t>
            </w:r>
          </w:p>
        </w:tc>
        <w:tc>
          <w:tcPr>
            <w:tcW w:w="0" w:type="auto"/>
            <w:vAlign w:val="center"/>
            <w:hideMark/>
          </w:tcPr>
          <w:p w14:paraId="1CD92DCC" w14:textId="77777777" w:rsidR="00EF461E" w:rsidRPr="00EF461E" w:rsidRDefault="00EF461E" w:rsidP="00EF461E">
            <w:pPr>
              <w:rPr>
                <w:b/>
                <w:bCs/>
              </w:rPr>
            </w:pPr>
            <w:r w:rsidRPr="00EF461E">
              <w:rPr>
                <w:b/>
                <w:bCs/>
              </w:rPr>
              <w:t>Quartile</w:t>
            </w:r>
          </w:p>
        </w:tc>
        <w:tc>
          <w:tcPr>
            <w:tcW w:w="0" w:type="auto"/>
            <w:vAlign w:val="center"/>
            <w:hideMark/>
          </w:tcPr>
          <w:p w14:paraId="52BEBA88" w14:textId="77777777" w:rsidR="00EF461E" w:rsidRPr="00EF461E" w:rsidRDefault="00EF461E" w:rsidP="00EF461E">
            <w:pPr>
              <w:rPr>
                <w:b/>
                <w:bCs/>
              </w:rPr>
            </w:pPr>
            <w:r w:rsidRPr="00EF461E">
              <w:rPr>
                <w:b/>
                <w:bCs/>
              </w:rPr>
              <w:t>APC</w:t>
            </w:r>
          </w:p>
        </w:tc>
        <w:tc>
          <w:tcPr>
            <w:tcW w:w="0" w:type="auto"/>
            <w:vAlign w:val="center"/>
            <w:hideMark/>
          </w:tcPr>
          <w:p w14:paraId="7A06E1EC" w14:textId="77777777" w:rsidR="00EF461E" w:rsidRPr="00EF461E" w:rsidRDefault="00EF461E" w:rsidP="00EF461E">
            <w:pPr>
              <w:rPr>
                <w:b/>
                <w:bCs/>
              </w:rPr>
            </w:pPr>
            <w:r w:rsidRPr="00EF461E">
              <w:rPr>
                <w:b/>
                <w:bCs/>
              </w:rPr>
              <w:t>Fit</w:t>
            </w:r>
          </w:p>
        </w:tc>
      </w:tr>
      <w:tr w:rsidR="00EF461E" w:rsidRPr="00EF461E" w14:paraId="242ED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E604F" w14:textId="77777777" w:rsidR="00EF461E" w:rsidRPr="00EF461E" w:rsidRDefault="00EF461E" w:rsidP="00EF461E">
            <w:r w:rsidRPr="00EF461E">
              <w:t>IEEE Access</w:t>
            </w:r>
          </w:p>
        </w:tc>
        <w:tc>
          <w:tcPr>
            <w:tcW w:w="0" w:type="auto"/>
            <w:vAlign w:val="center"/>
            <w:hideMark/>
          </w:tcPr>
          <w:p w14:paraId="35E1AD9D" w14:textId="77777777" w:rsidR="00EF461E" w:rsidRPr="00EF461E" w:rsidRDefault="00EF461E" w:rsidP="00EF461E">
            <w:r w:rsidRPr="00EF461E">
              <w:t>Q1/Q2</w:t>
            </w:r>
          </w:p>
        </w:tc>
        <w:tc>
          <w:tcPr>
            <w:tcW w:w="0" w:type="auto"/>
            <w:vAlign w:val="center"/>
            <w:hideMark/>
          </w:tcPr>
          <w:p w14:paraId="2DCE1DB4" w14:textId="77777777" w:rsidR="00EF461E" w:rsidRPr="00EF461E" w:rsidRDefault="00EF461E" w:rsidP="00EF461E">
            <w:r w:rsidRPr="00EF461E">
              <w:t>~US$2,000</w:t>
            </w:r>
          </w:p>
        </w:tc>
        <w:tc>
          <w:tcPr>
            <w:tcW w:w="0" w:type="auto"/>
            <w:vAlign w:val="center"/>
            <w:hideMark/>
          </w:tcPr>
          <w:p w14:paraId="575648AC" w14:textId="77777777" w:rsidR="00EF461E" w:rsidRPr="00EF461E" w:rsidRDefault="00EF461E" w:rsidP="00EF461E">
            <w:r w:rsidRPr="00EF461E">
              <w:t>Explicitly accepts benchmark/negative results with public code; best immediate fit</w:t>
            </w:r>
          </w:p>
        </w:tc>
      </w:tr>
      <w:tr w:rsidR="00EF461E" w:rsidRPr="00EF461E" w14:paraId="50B6D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90BC" w14:textId="77777777" w:rsidR="00EF461E" w:rsidRPr="00EF461E" w:rsidRDefault="00EF461E" w:rsidP="00EF461E">
            <w:r w:rsidRPr="00EF461E">
              <w:t>Smart Cities (MDPI)</w:t>
            </w:r>
          </w:p>
        </w:tc>
        <w:tc>
          <w:tcPr>
            <w:tcW w:w="0" w:type="auto"/>
            <w:vAlign w:val="center"/>
            <w:hideMark/>
          </w:tcPr>
          <w:p w14:paraId="6EBE5BD4" w14:textId="77777777" w:rsidR="00EF461E" w:rsidRPr="00EF461E" w:rsidRDefault="00EF461E" w:rsidP="00EF461E">
            <w:r w:rsidRPr="00EF461E">
              <w:t>Q2</w:t>
            </w:r>
          </w:p>
        </w:tc>
        <w:tc>
          <w:tcPr>
            <w:tcW w:w="0" w:type="auto"/>
            <w:vAlign w:val="center"/>
            <w:hideMark/>
          </w:tcPr>
          <w:p w14:paraId="17D5C490" w14:textId="77777777" w:rsidR="00EF461E" w:rsidRPr="00EF461E" w:rsidRDefault="00EF461E" w:rsidP="00EF461E">
            <w:r w:rsidRPr="00EF461E">
              <w:t>~CHF 1,800</w:t>
            </w:r>
          </w:p>
        </w:tc>
        <w:tc>
          <w:tcPr>
            <w:tcW w:w="0" w:type="auto"/>
            <w:vAlign w:val="center"/>
            <w:hideMark/>
          </w:tcPr>
          <w:p w14:paraId="7EE27531" w14:textId="77777777" w:rsidR="00EF461E" w:rsidRPr="00EF461E" w:rsidRDefault="00EF461E" w:rsidP="00EF461E">
            <w:r w:rsidRPr="00EF461E">
              <w:t>Smart-parking + governance framing</w:t>
            </w:r>
          </w:p>
        </w:tc>
      </w:tr>
      <w:tr w:rsidR="00EF461E" w:rsidRPr="00EF461E" w14:paraId="1A96E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D7A40" w14:textId="77777777" w:rsidR="00EF461E" w:rsidRPr="00EF461E" w:rsidRDefault="00EF461E" w:rsidP="00EF461E">
            <w:r w:rsidRPr="00EF461E">
              <w:t>Future Internet (MDPI)</w:t>
            </w:r>
          </w:p>
        </w:tc>
        <w:tc>
          <w:tcPr>
            <w:tcW w:w="0" w:type="auto"/>
            <w:vAlign w:val="center"/>
            <w:hideMark/>
          </w:tcPr>
          <w:p w14:paraId="1E97A472" w14:textId="77777777" w:rsidR="00EF461E" w:rsidRPr="00EF461E" w:rsidRDefault="00EF461E" w:rsidP="00EF461E">
            <w:r w:rsidRPr="00EF461E">
              <w:t>Q2</w:t>
            </w:r>
          </w:p>
        </w:tc>
        <w:tc>
          <w:tcPr>
            <w:tcW w:w="0" w:type="auto"/>
            <w:vAlign w:val="center"/>
            <w:hideMark/>
          </w:tcPr>
          <w:p w14:paraId="3A8C6FEC" w14:textId="77777777" w:rsidR="00EF461E" w:rsidRPr="00EF461E" w:rsidRDefault="00EF461E" w:rsidP="00EF461E">
            <w:r w:rsidRPr="00EF461E">
              <w:t>~CHF 1,600</w:t>
            </w:r>
          </w:p>
        </w:tc>
        <w:tc>
          <w:tcPr>
            <w:tcW w:w="0" w:type="auto"/>
            <w:vAlign w:val="center"/>
            <w:hideMark/>
          </w:tcPr>
          <w:p w14:paraId="38AE87A7" w14:textId="77777777" w:rsidR="00EF461E" w:rsidRPr="00EF461E" w:rsidRDefault="00EF461E" w:rsidP="00EF461E">
            <w:r w:rsidRPr="00EF461E">
              <w:t>FL-for-ITS scope; fast</w:t>
            </w:r>
          </w:p>
        </w:tc>
      </w:tr>
      <w:tr w:rsidR="00EF461E" w:rsidRPr="00EF461E" w14:paraId="67ABB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BF8F" w14:textId="77777777" w:rsidR="00EF461E" w:rsidRPr="00EF461E" w:rsidRDefault="00EF461E" w:rsidP="00EF461E">
            <w:r w:rsidRPr="00EF461E">
              <w:t>Journal of Intelligent Transportation Systems (T&amp;F)</w:t>
            </w:r>
          </w:p>
        </w:tc>
        <w:tc>
          <w:tcPr>
            <w:tcW w:w="0" w:type="auto"/>
            <w:vAlign w:val="center"/>
            <w:hideMark/>
          </w:tcPr>
          <w:p w14:paraId="68619090" w14:textId="77777777" w:rsidR="00EF461E" w:rsidRPr="00EF461E" w:rsidRDefault="00EF461E" w:rsidP="00EF461E">
            <w:r w:rsidRPr="00EF461E">
              <w:t>Q2</w:t>
            </w:r>
          </w:p>
        </w:tc>
        <w:tc>
          <w:tcPr>
            <w:tcW w:w="0" w:type="auto"/>
            <w:vAlign w:val="center"/>
            <w:hideMark/>
          </w:tcPr>
          <w:p w14:paraId="01F3C653" w14:textId="77777777" w:rsidR="00EF461E" w:rsidRPr="00EF461E" w:rsidRDefault="00EF461E" w:rsidP="00EF461E">
            <w:r w:rsidRPr="00EF461E">
              <w:t>hybrid</w:t>
            </w:r>
          </w:p>
        </w:tc>
        <w:tc>
          <w:tcPr>
            <w:tcW w:w="0" w:type="auto"/>
            <w:vAlign w:val="center"/>
            <w:hideMark/>
          </w:tcPr>
          <w:p w14:paraId="000C01BF" w14:textId="77777777" w:rsidR="00EF461E" w:rsidRPr="00EF461E" w:rsidRDefault="00EF461E" w:rsidP="00EF461E">
            <w:r w:rsidRPr="00EF461E">
              <w:t>Methods/benchmark on public ITS data</w:t>
            </w:r>
          </w:p>
        </w:tc>
      </w:tr>
      <w:tr w:rsidR="00EF461E" w:rsidRPr="00EF461E" w14:paraId="73AC8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1A776" w14:textId="77777777" w:rsidR="00EF461E" w:rsidRPr="00EF461E" w:rsidRDefault="00EF461E" w:rsidP="00EF461E">
            <w:r w:rsidRPr="00EF461E">
              <w:t>IET Intelligent Transport Systems</w:t>
            </w:r>
          </w:p>
        </w:tc>
        <w:tc>
          <w:tcPr>
            <w:tcW w:w="0" w:type="auto"/>
            <w:vAlign w:val="center"/>
            <w:hideMark/>
          </w:tcPr>
          <w:p w14:paraId="202231C3" w14:textId="77777777" w:rsidR="00EF461E" w:rsidRPr="00EF461E" w:rsidRDefault="00EF461E" w:rsidP="00EF461E">
            <w:r w:rsidRPr="00EF461E">
              <w:t>Q2</w:t>
            </w:r>
          </w:p>
        </w:tc>
        <w:tc>
          <w:tcPr>
            <w:tcW w:w="0" w:type="auto"/>
            <w:vAlign w:val="center"/>
            <w:hideMark/>
          </w:tcPr>
          <w:p w14:paraId="5ADBBBC9" w14:textId="77777777" w:rsidR="00EF461E" w:rsidRPr="00EF461E" w:rsidRDefault="00EF461E" w:rsidP="00EF461E">
            <w:r w:rsidRPr="00EF461E">
              <w:t>OA (Wiley)</w:t>
            </w:r>
          </w:p>
        </w:tc>
        <w:tc>
          <w:tcPr>
            <w:tcW w:w="0" w:type="auto"/>
            <w:vAlign w:val="center"/>
            <w:hideMark/>
          </w:tcPr>
          <w:p w14:paraId="3AC005D5" w14:textId="77777777" w:rsidR="00EF461E" w:rsidRPr="00EF461E" w:rsidRDefault="00EF461E" w:rsidP="00EF461E">
            <w:r w:rsidRPr="00EF461E">
              <w:t>Parking forecasting is core scope</w:t>
            </w:r>
          </w:p>
        </w:tc>
      </w:tr>
      <w:tr w:rsidR="00EF461E" w:rsidRPr="00EF461E" w14:paraId="6DF7F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878E0" w14:textId="77777777" w:rsidR="00EF461E" w:rsidRPr="00EF461E" w:rsidRDefault="00EF461E" w:rsidP="00EF461E">
            <w:r w:rsidRPr="00EF461E">
              <w:lastRenderedPageBreak/>
              <w:t>IEEE Open Journal of ITS</w:t>
            </w:r>
          </w:p>
        </w:tc>
        <w:tc>
          <w:tcPr>
            <w:tcW w:w="0" w:type="auto"/>
            <w:vAlign w:val="center"/>
            <w:hideMark/>
          </w:tcPr>
          <w:p w14:paraId="7AA1F413" w14:textId="77777777" w:rsidR="00EF461E" w:rsidRPr="00EF461E" w:rsidRDefault="00EF461E" w:rsidP="00EF461E">
            <w:r w:rsidRPr="00EF461E">
              <w:t>new, OA</w:t>
            </w:r>
          </w:p>
        </w:tc>
        <w:tc>
          <w:tcPr>
            <w:tcW w:w="0" w:type="auto"/>
            <w:vAlign w:val="center"/>
            <w:hideMark/>
          </w:tcPr>
          <w:p w14:paraId="321D80C7" w14:textId="77777777" w:rsidR="00EF461E" w:rsidRPr="00EF461E" w:rsidRDefault="00EF461E" w:rsidP="00EF461E">
            <w:r w:rsidRPr="00EF461E">
              <w:t>OA</w:t>
            </w:r>
          </w:p>
        </w:tc>
        <w:tc>
          <w:tcPr>
            <w:tcW w:w="0" w:type="auto"/>
            <w:vAlign w:val="center"/>
            <w:hideMark/>
          </w:tcPr>
          <w:p w14:paraId="30E22025" w14:textId="77777777" w:rsidR="00EF461E" w:rsidRPr="00EF461E" w:rsidRDefault="00EF461E" w:rsidP="00EF461E">
            <w:r w:rsidRPr="00EF461E">
              <w:t>Benchmark + honest-appraisal papers</w:t>
            </w:r>
          </w:p>
        </w:tc>
      </w:tr>
      <w:tr w:rsidR="00EF461E" w:rsidRPr="00EF461E" w14:paraId="51C32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A1F10" w14:textId="77777777" w:rsidR="00EF461E" w:rsidRPr="00EF461E" w:rsidRDefault="00EF461E" w:rsidP="00EF461E">
            <w:r w:rsidRPr="00EF461E">
              <w:t>Data (MDPI)</w:t>
            </w:r>
          </w:p>
        </w:tc>
        <w:tc>
          <w:tcPr>
            <w:tcW w:w="0" w:type="auto"/>
            <w:vAlign w:val="center"/>
            <w:hideMark/>
          </w:tcPr>
          <w:p w14:paraId="656687E5" w14:textId="77777777" w:rsidR="00EF461E" w:rsidRPr="00EF461E" w:rsidRDefault="00EF461E" w:rsidP="00EF461E">
            <w:r w:rsidRPr="00EF461E">
              <w:t>Q2/Q3</w:t>
            </w:r>
          </w:p>
        </w:tc>
        <w:tc>
          <w:tcPr>
            <w:tcW w:w="0" w:type="auto"/>
            <w:vAlign w:val="center"/>
            <w:hideMark/>
          </w:tcPr>
          <w:p w14:paraId="2978494A" w14:textId="77777777" w:rsidR="00EF461E" w:rsidRPr="00EF461E" w:rsidRDefault="00EF461E" w:rsidP="00EF461E">
            <w:r w:rsidRPr="00EF461E">
              <w:t>~CHF 1,600</w:t>
            </w:r>
          </w:p>
        </w:tc>
        <w:tc>
          <w:tcPr>
            <w:tcW w:w="0" w:type="auto"/>
            <w:vAlign w:val="center"/>
            <w:hideMark/>
          </w:tcPr>
          <w:p w14:paraId="06A06158" w14:textId="77777777" w:rsidR="00EF461E" w:rsidRPr="00EF461E" w:rsidRDefault="00EF461E" w:rsidP="00EF461E">
            <w:r w:rsidRPr="00EF461E">
              <w:t>Values the reproducible benchmark + released pipeline</w:t>
            </w:r>
          </w:p>
        </w:tc>
      </w:tr>
      <w:tr w:rsidR="00EF461E" w:rsidRPr="00EF461E" w14:paraId="0035A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10DDE" w14:textId="77777777" w:rsidR="00EF461E" w:rsidRPr="00EF461E" w:rsidRDefault="00EF461E" w:rsidP="00EF461E">
            <w:r w:rsidRPr="00EF461E">
              <w:t>Transactions on Emerging Telecommunications Technologies (Wiley)</w:t>
            </w:r>
          </w:p>
        </w:tc>
        <w:tc>
          <w:tcPr>
            <w:tcW w:w="0" w:type="auto"/>
            <w:vAlign w:val="center"/>
            <w:hideMark/>
          </w:tcPr>
          <w:p w14:paraId="05ADD911" w14:textId="77777777" w:rsidR="00EF461E" w:rsidRPr="00EF461E" w:rsidRDefault="00EF461E" w:rsidP="00EF461E">
            <w:r w:rsidRPr="00EF461E">
              <w:t>Q2</w:t>
            </w:r>
          </w:p>
        </w:tc>
        <w:tc>
          <w:tcPr>
            <w:tcW w:w="0" w:type="auto"/>
            <w:vAlign w:val="center"/>
            <w:hideMark/>
          </w:tcPr>
          <w:p w14:paraId="796D055D" w14:textId="77777777" w:rsidR="00EF461E" w:rsidRPr="00EF461E" w:rsidRDefault="00EF461E" w:rsidP="00EF461E">
            <w:r w:rsidRPr="00EF461E">
              <w:t>hybrid</w:t>
            </w:r>
          </w:p>
        </w:tc>
        <w:tc>
          <w:tcPr>
            <w:tcW w:w="0" w:type="auto"/>
            <w:vAlign w:val="center"/>
            <w:hideMark/>
          </w:tcPr>
          <w:p w14:paraId="6673B6B8" w14:textId="77777777" w:rsidR="00EF461E" w:rsidRPr="00EF461E" w:rsidRDefault="00EF461E" w:rsidP="00EF461E">
            <w:r w:rsidRPr="00EF461E">
              <w:t>FL + IoT-stream framing</w:t>
            </w:r>
          </w:p>
        </w:tc>
      </w:tr>
    </w:tbl>
    <w:p w14:paraId="264BF13E" w14:textId="77777777" w:rsidR="00EF461E" w:rsidRPr="00EF461E" w:rsidRDefault="00EF461E" w:rsidP="00EF461E">
      <w:r w:rsidRPr="00EF461E">
        <w:t xml:space="preserve">Stretch after fix 1: IEEE Transactions on Intelligent Transportation Systems (Q1), IEEE Internet of Things Journal (Q1 — would want the deferred edge-hardware profiling). Conference route: IEEE ITSC or IEEE </w:t>
      </w:r>
      <w:proofErr w:type="spellStart"/>
      <w:r w:rsidRPr="00EF461E">
        <w:t>SmartComp</w:t>
      </w:r>
      <w:proofErr w:type="spellEnd"/>
      <w:r w:rsidRPr="00EF461E">
        <w:t>.</w:t>
      </w:r>
    </w:p>
    <w:p w14:paraId="415DCFD7" w14:textId="77777777" w:rsidR="00EF461E" w:rsidRDefault="00EF461E"/>
    <w:sectPr w:rsidR="00EF4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1E"/>
    <w:rsid w:val="00B700F3"/>
    <w:rsid w:val="00C75883"/>
    <w:rsid w:val="00EE4CDC"/>
    <w:rsid w:val="00EF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A0A44"/>
  <w15:chartTrackingRefBased/>
  <w15:docId w15:val="{DA1985F7-ECFD-4610-B1B0-13B9EFEBB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6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745</Words>
  <Characters>4248</Characters>
  <Application>Microsoft Office Word</Application>
  <DocSecurity>0</DocSecurity>
  <Lines>35</Lines>
  <Paragraphs>9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DrKalaavathi Buvaneshwaran</dc:creator>
  <cp:keywords/>
  <dc:description/>
  <cp:lastModifiedBy>DrKalaavathi Buvaneshwaran</cp:lastModifiedBy>
  <cp:revision>1</cp:revision>
  <dcterms:created xsi:type="dcterms:W3CDTF">2026-10-29T11:16:00Z</dcterms:created>
  <dcterms:modified xsi:type="dcterms:W3CDTF">2026-10-29T11:19:00Z</dcterms:modified>
</cp:coreProperties>
</file>