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160" w:line="276" w:lineRule="auto"/>
        <w:jc w:val="center"/>
      </w:pPr>
      <w:r>
        <w:rPr>
          <w:rFonts w:ascii="Times New Roman" w:hAnsi="Times New Roman"/>
          <w:b/>
          <w:color w:val="0F172A"/>
          <w:sz w:val="30"/>
        </w:rPr>
        <w:t>When Does Federation Help Multi-Lot Smart Parking Forecasting? An Empirical Benchmark on the Birmingham IoT Stream</w:t>
      </w:r>
    </w:p>
    <w:p>
      <w:pPr>
        <w:spacing w:before="0" w:after="60" w:line="276" w:lineRule="auto"/>
        <w:jc w:val="center"/>
      </w:pPr>
      <w:r>
        <w:rPr>
          <w:b/>
        </w:rPr>
        <w:t>Devesh Munagala</w:t>
      </w:r>
      <w:r>
        <w:rPr>
          <w:vertAlign w:val="superscript"/>
        </w:rPr>
        <w:t>1,*</w:t>
      </w:r>
      <w:r>
        <w:t xml:space="preserve"> and </w:t>
      </w:r>
      <w:r>
        <w:rPr>
          <w:b/>
        </w:rPr>
        <w:t>Abhinav</w:t>
      </w:r>
      <w:r>
        <w:rPr>
          <w:vertAlign w:val="superscript"/>
        </w:rPr>
        <w:t>1</w:t>
      </w:r>
    </w:p>
    <w:p>
      <w:pPr>
        <w:spacing w:before="0" w:after="40" w:line="252" w:lineRule="auto"/>
        <w:jc w:val="center"/>
      </w:pPr>
      <w:r>
        <w:rPr>
          <w:color w:val="475569"/>
          <w:sz w:val="19"/>
        </w:rPr>
        <w:t>1 Department of Computer Science and Engineering, School of Computer Science and Engineering,</w:t>
        <w:br/>
        <w:t>Vellore Institute of Technology, Vellore, Tamil Nadu, 632014, India</w:t>
      </w:r>
    </w:p>
    <w:p>
      <w:pPr>
        <w:spacing w:before="0" w:after="240" w:line="276" w:lineRule="auto"/>
        <w:jc w:val="center"/>
      </w:pPr>
      <w:r>
        <w:rPr>
          <w:color w:val="475569"/>
          <w:sz w:val="19"/>
        </w:rPr>
        <w:t>* Corresponding Author: devesh.munagala2023@vitstudent.ac.in | ORCID: 0009-0002-4819-2184</w:t>
      </w:r>
    </w:p>
    <w:p>
      <w:pPr>
        <w:spacing w:before="160" w:after="60" w:line="276" w:lineRule="auto"/>
        <w:jc w:val="both"/>
      </w:pPr>
      <w:r>
        <w:rPr>
          <w:b/>
          <w:color w:val="1F3864"/>
          <w:sz w:val="24"/>
        </w:rPr>
        <w:t>Abstract</w:t>
      </w:r>
    </w:p>
    <w:p>
      <w:pPr>
        <w:spacing w:before="0" w:after="160" w:line="276" w:lineRule="auto"/>
        <w:jc w:val="both"/>
      </w:pPr>
      <w:r>
        <w:rPr>
          <w:rFonts w:ascii="Times New Roman" w:hAnsi="Times New Roman"/>
          <w:sz w:val="22"/>
        </w:rPr>
        <w:t>Federated learning (FL) is widely proposed as a privacy-preserving paradigm for multi-lot smart parking forecasting, enabling commercial operators to collaboratively train predictive models without centralizing proprietary occupancy logs. However, claims of federated performance gains frequently omit simple local baselines and misdiagnose the root causes of decentralized model performance. In this study, we conduct an exhaustive empirical benchmark on the Birmingham municipal smart parking IoT dataset (30 facilities, 35,717 raw readings, 21,868 temporal sequences) to rigorously evaluate when federation adds value over centralized, local-only, and heuristic alternatives. Our benchmark reveals that a zero-parameter persistence baseline achieves a 30-minute Mean Absolute Error (MAE) of 0.0256 (33.4 physical bays), while a 5-parameter local-only linear autoregressive model (4 lag coefficients plus intercept) per facility—requiring zero communication and zero cross-facility data sharing—achieves an MAE of 0.0126 (13.9 bays), outperforming both centralized deep recurrent models (Attention-LSTM MAE: 0.0217; 26.9 bays) and federated neural architectures. Under standard communication constraints (8 rounds, 2 local epochs), global Federated Averaging (FedAvg) exhibits severe under-training (MAE: 0.0935 ± 0.0032; 118.5 macro bays). Through an IID-shuffled federated control experiment (MAE: 0.0678 ± 0.0019), we demonstrate that compute starvation provides an empirical decomposition under our experimental protocol: eliminating statistical heterogeneity accounts for 35.8% of the gap, while the remaining 64.2% residual deficit is strongly consistent with optimization under-training under communication round constraints (~256 local Adam steps per client versus 14,370 for centralized models), though definitive causal proof would require exhaustive compute-parity experiments. While proximal regularization (FedProx, MAE: 0.1305) slows convergence and split-head architectures (FedPer, MAE: 0.0775) provide partial gains, localized post-aggregation fine-tuning (Personalized FedAvg) achieves the strongest federated performance with an MAE of 0.0592 ± 0.0004 (82.4 macro bays), representing a 36.7% relative error reduction over global FedAvg, recovering 47.8% of the centralized performance gap, and compressing cross-facility variance (sigma drops by 51.2% from 0.0498 to 0.0243). In a fixed single-seed primary benchmark run (Seed 42), error falls from 0.1006 (126.8 bays) to 0.0607 (73.2 bays), recovering 50.6% of the gap. Crucially, network audits confirm that federating a 57k-parameter neural network across 30 clients moves 110.35 MB (105.24 MiB) of weights versus only 1.48 MB (1.41 MiB) for transmitting the entire raw dataset—a 74.6-fold communication overhead. Consequently, we conclude that federation cannot be justified on bandwidth-reduction grounds, but provides substantial value for multi-stakeholder commercial confidentiality and institutional data sovereignty when paired with local personalization.</w:t>
      </w:r>
    </w:p>
    <w:p>
      <w:pPr>
        <w:spacing w:before="0" w:after="280" w:line="276" w:lineRule="auto"/>
        <w:jc w:val="both"/>
      </w:pPr>
      <w:r>
        <w:rPr>
          <w:b/>
          <w:color w:val="1F3864"/>
        </w:rPr>
        <w:t xml:space="preserve">Keywords: </w:t>
      </w:r>
      <w:r>
        <w:rPr>
          <w:sz w:val="21"/>
        </w:rPr>
        <w:t>Federated learning; Smart parking forecasting; Empirical benchmark; Local linear baselines; Intelligent transportation systems</w:t>
      </w:r>
    </w:p>
    <w:p>
      <w:pPr>
        <w:keepNext/>
        <w:spacing w:before="280" w:after="80"/>
      </w:pPr>
      <w:r>
        <w:rPr>
          <w:rFonts w:ascii="Times New Roman" w:hAnsi="Times New Roman"/>
          <w:b/>
          <w:color w:val="1F3864"/>
          <w:sz w:val="26"/>
        </w:rPr>
        <w:t>1. Introduction</w:t>
      </w:r>
    </w:p>
    <w:p>
      <w:pPr>
        <w:spacing w:before="0" w:after="100" w:line="276" w:lineRule="auto"/>
        <w:jc w:val="both"/>
      </w:pPr>
      <w:r>
        <w:rPr>
          <w:rFonts w:ascii="Times New Roman" w:hAnsi="Times New Roman"/>
          <w:sz w:val="22"/>
        </w:rPr>
        <w:t>Vehicular traffic congestion in metropolitan centers remains a formidable economic, operational, and environmental challenge. Empirical transportation studies consistently demonstrate that between 20% and 30% of downtown traffic volume consists of motorists actively cruising in search of vacant parking spaces [1], [2]. This cruising phenomenon inflates carbon emissions, wastes productive hours, and triggers localized gridlock across arterial corridors. The rapid deployment of municipal Internet of Things (IoT) sensors—such as inductive loops, wireless magnetometers, and barrier gate transponders—enables continuous tracking of parking bay occupancy. Delivering accurate forecasts of parking availability 30 to 60 minutes ahead is vital for intelligent transportation systems (ITS), proactive route guidance, and dynamic congestion pricing.</w:t>
      </w:r>
    </w:p>
    <w:p>
      <w:pPr>
        <w:spacing w:before="0" w:after="100" w:line="276" w:lineRule="auto"/>
        <w:jc w:val="both"/>
      </w:pPr>
      <w:r>
        <w:rPr>
          <w:rFonts w:ascii="Times New Roman" w:hAnsi="Times New Roman"/>
          <w:sz w:val="22"/>
        </w:rPr>
        <w:t>Historically, parking forecasting has progressed from univariate statistical formulations such as AutoRegressive Integrated Moving Average (ARIMA) models [3] toward machine learning and deep sequence models. Gradient Boosted Decision Trees (XGBoost) [4] and Long Short-Term Memory (LSTM) networks have demonstrated strong non-linear sequence modeling capabilities. Recent studies have incorporated temporal attention mechanisms [5] to dynamically align recurrent hidden representations across historical lookback windows, as well as spatio-temporal graph neural networks [6] to capture geographic adjacency.</w:t>
      </w:r>
    </w:p>
    <w:p>
      <w:pPr>
        <w:spacing w:before="0" w:after="100" w:line="276" w:lineRule="auto"/>
        <w:jc w:val="both"/>
      </w:pPr>
      <w:r>
        <w:rPr>
          <w:rFonts w:ascii="Times New Roman" w:hAnsi="Times New Roman"/>
          <w:sz w:val="22"/>
        </w:rPr>
        <w:t>Despite their predictive success, conventional sequence models almost universally rely on centralized cloud aggregation. In real-world metropolitan environments, this assumption faces severe governance, commercial, and operational obstacles. Parking facilities are rarely operated by a single municipal department; instead, they are fragmented across commercial operators (e.g., National Car Parks, Q-Park), private retail garages (e.g., shopping mall complexes), and municipal councils. Commercial operators routinely refuse to stream unaggregated telemetry into central municipal servers because occupancy records expose proprietary commercial intelligence, footfall trends, and revenue elasticity. Furthermore, strict privacy and data protection frameworks (such as the EU General Data Protection Regulation [30]) impose rigorous constraints on continuous spatial telemetry streams.</w:t>
      </w:r>
    </w:p>
    <w:p>
      <w:pPr>
        <w:spacing w:before="0" w:after="100" w:line="276" w:lineRule="auto"/>
        <w:jc w:val="both"/>
      </w:pPr>
      <w:r>
        <w:rPr>
          <w:rFonts w:ascii="Times New Roman" w:hAnsi="Times New Roman"/>
          <w:sz w:val="22"/>
        </w:rPr>
        <w:t>Federated Learning (FL), pioneered by McMahan et al. [7], provides an architectural framework for collaborative model training without centralizing raw data. Local clients compute model updates on edge infrastructure and transmit only model parameters or gradients to a central coordinator. However, deploying standard Federated Averaging (FedAvg) to multi-lot smart parking presents unexpected empirical complexities that are frequently obscured in the literature. Recent federated parking proposals claim substantial performance gains through decentralized training and post-hoc personalization. Yet, when evaluated against standard non-federated baselines, critical methodological questions emerge:</w:t>
      </w:r>
    </w:p>
    <w:p>
      <w:pPr>
        <w:pStyle w:val="ListParagraph"/>
        <w:spacing w:before="40" w:after="40"/>
      </w:pPr>
      <w:r>
        <w:rPr>
          <w:b/>
        </w:rPr>
        <w:t xml:space="preserve">1. Baseline Completeness: </w:t>
      </w:r>
      <w:r>
        <w:t>How does federated sequence forecasting compare against zero-parameter persistence heuristics and simple local-only linear models that avoid cross-facility data sharing without any federation?</w:t>
      </w:r>
    </w:p>
    <w:p>
      <w:pPr>
        <w:pStyle w:val="ListParagraph"/>
        <w:spacing w:before="40" w:after="40"/>
      </w:pPr>
      <w:r>
        <w:rPr>
          <w:b/>
        </w:rPr>
        <w:t xml:space="preserve">2. Under-Training vs. Heterogeneity: </w:t>
      </w:r>
      <w:r>
        <w:t>Is the observed error of global FedAvg genuinely caused by non-IID client heterogeneity, or is it an artifact of extreme gradient-step deficits under practical communication round budgets?</w:t>
      </w:r>
    </w:p>
    <w:p>
      <w:pPr>
        <w:pStyle w:val="ListParagraph"/>
        <w:spacing w:before="40" w:after="40"/>
      </w:pPr>
      <w:r>
        <w:rPr>
          <w:b/>
        </w:rPr>
        <w:t xml:space="preserve">3. Bandwidth vs. Governance Justification: </w:t>
      </w:r>
      <w:r>
        <w:t>Does federating neural networks save communication bandwidth on scalar IoT streams, or should FL be justified primarily by commercial data governance and institutional data sovereignty considerations?</w:t>
      </w:r>
    </w:p>
    <w:p>
      <w:pPr>
        <w:spacing w:before="0" w:after="100" w:line="276" w:lineRule="auto"/>
        <w:jc w:val="both"/>
      </w:pPr>
      <w:r>
        <w:rPr>
          <w:rFonts w:ascii="Times New Roman" w:hAnsi="Times New Roman"/>
          <w:sz w:val="22"/>
        </w:rPr>
        <w:t>To resolve these questions, this paper presents an exhaustive empirical benchmark on the Birmingham municipal smart parking IoT dataset, encompassing 30 heterogeneous parking facilities. By implementing a complete baseline suite—including zero-parameter persistence, local-only linear autoregression, pooled centralized linear models, centralized XGBoost, centralized Attention-LSTM, global FedAvg, and personalized FedAvg—alongside an IID-shuffled control and alternative federated algorithms (FedProx, FedPer), we establish an honest empirical appraisal of multi-lot parking federation. The principal contributions of this work are:</w:t>
      </w:r>
    </w:p>
    <w:p>
      <w:pPr>
        <w:pStyle w:val="ListParagraph"/>
        <w:spacing w:before="40" w:after="60"/>
      </w:pPr>
      <w:r>
        <w:rPr>
          <w:b/>
        </w:rPr>
        <w:t xml:space="preserve">1. Comprehensive Multi-Horizon Benchmark: </w:t>
      </w:r>
      <w:r>
        <w:t>We construct a rigorous, chronological evaluation benchmark across 3,263 unified test windows, comparing eight distinct forecasting models across both 30-minute and 60-minute lookahead horizons under exact physical bay capacity scaling.</w:t>
      </w:r>
    </w:p>
    <w:p>
      <w:pPr>
        <w:pStyle w:val="ListParagraph"/>
        <w:spacing w:before="40" w:after="60"/>
      </w:pPr>
      <w:r>
        <w:rPr>
          <w:b/>
        </w:rPr>
        <w:t xml:space="preserve">2. Uncovering the Dominance of Local Linear Baselines: </w:t>
      </w:r>
      <w:r>
        <w:t>We demonstrate that a 5-parameter local-only linear AR(4) model per facility (4 lag coefficients plus intercept) achieves a 30-minute MAE of 0.0126 (13.9 bays), outperforming both centralized Attention-LSTM (0.0217; 26.9 bays) and federated models while requiring zero communication, eliminating cross-facility data sharing, and preserving local data autonomy.</w:t>
      </w:r>
    </w:p>
    <w:p>
      <w:pPr>
        <w:pStyle w:val="ListParagraph"/>
        <w:spacing w:before="40" w:after="60"/>
      </w:pPr>
      <w:r>
        <w:rPr>
          <w:b/>
        </w:rPr>
        <w:t xml:space="preserve">3. Disentangling Under-Training from Non-IID Drift: </w:t>
      </w:r>
      <w:r>
        <w:t>Through compute step audits, round scaling (R in {4, 8, 12, 16}), batch size analysis, and an IID-shuffled federated control (MAE: 0.0678 ± 0.0019), our experimental decomposition indicates that 35.8% of the performance gap is attributable to statistical heterogeneity, while the remaining 64.2% residual deficit is strongly consistent with optimization under-training under communication round constraints (~256 local Adam steps per client versus 14,370 centralized steps), though definitive causal proof would require exhaustive compute-parity experiments across extended rounds. Personalization fine-tuning mitigates this under-training, achieving MAE 0.0592 ± 0.0004 (a 36.7% relative reduction over FedAvg, recovering 47.8% of the centralized gap in multi-seed evaluations and 50.6% in the primary single-seed benchmark).</w:t>
      </w:r>
    </w:p>
    <w:p>
      <w:pPr>
        <w:pStyle w:val="ListParagraph"/>
        <w:spacing w:before="40" w:after="80"/>
      </w:pPr>
      <w:r>
        <w:rPr>
          <w:b/>
        </w:rPr>
        <w:t xml:space="preserve">4. Authentic Governance Framing: </w:t>
      </w:r>
      <w:r>
        <w:t>We demonstrate that federated neural modeling consumes 74.6 times more network bandwidth (110.35 MB / 105.24 MiB across 8 rounds) than streaming raw telemetry (1.48 MB / 1.41 MiB), firmly refuting uplink bandwidth savings and re-anchoring FL deployment in commercial multi-operator confidentiality and institutional autonomy.</w:t>
      </w:r>
    </w:p>
    <w:p>
      <w:pPr>
        <w:spacing w:before="0" w:after="100" w:line="276" w:lineRule="auto"/>
        <w:jc w:val="both"/>
      </w:pPr>
      <w:r>
        <w:rPr>
          <w:rFonts w:ascii="Times New Roman" w:hAnsi="Times New Roman"/>
          <w:sz w:val="22"/>
        </w:rPr>
        <w:t>The remainder of this manuscript is organized as follows. Section 2 reviews related literature and contextualizes existing federated ITS frameworks. Section 3 formalizes the mathematical problem, audits physical facility heterogeneity, documents data preprocessing, and specifies the model architectures. Section 4 presents primary benchmark results, personalization mechanics, and round scaling trajectories. Section 5 provides mechanistic discussions, smart city governance implications, and threats to validity. Section 6 concludes the study.</w:t>
      </w:r>
    </w:p>
    <w:p>
      <w:pPr>
        <w:keepNext/>
        <w:spacing w:before="280" w:after="80"/>
      </w:pPr>
      <w:r>
        <w:rPr>
          <w:rFonts w:ascii="Times New Roman" w:hAnsi="Times New Roman"/>
          <w:b/>
          <w:color w:val="1F3864"/>
          <w:sz w:val="26"/>
        </w:rPr>
        <w:t>2. Literature Review</w:t>
      </w:r>
    </w:p>
    <w:p>
      <w:pPr>
        <w:spacing w:before="0" w:after="100" w:line="276" w:lineRule="auto"/>
        <w:jc w:val="both"/>
      </w:pPr>
      <w:r>
        <w:rPr>
          <w:rFonts w:ascii="Times New Roman" w:hAnsi="Times New Roman"/>
          <w:sz w:val="22"/>
        </w:rPr>
        <w:t>Parking occupancy forecasting intersects time-series econometrics, deep recurrent sequence learning, distributed optimization, and intelligent transportation governance. This section synthesizes related literature across three dominant themes, summarized in Table 1.</w:t>
      </w:r>
    </w:p>
    <w:p>
      <w:pPr>
        <w:keepNext/>
        <w:spacing w:before="200" w:after="60"/>
      </w:pPr>
      <w:r>
        <w:rPr>
          <w:rFonts w:ascii="Times New Roman" w:hAnsi="Times New Roman"/>
          <w:b/>
          <w:color w:val="2F4F7F"/>
          <w:sz w:val="23"/>
        </w:rPr>
        <w:t>2.1 Centralized Sequence Modeling and Attention Mechanisms</w:t>
      </w:r>
    </w:p>
    <w:p>
      <w:pPr>
        <w:spacing w:before="0" w:after="100" w:line="276" w:lineRule="auto"/>
        <w:jc w:val="both"/>
      </w:pPr>
      <w:r>
        <w:rPr>
          <w:rFonts w:ascii="Times New Roman" w:hAnsi="Times New Roman"/>
          <w:sz w:val="22"/>
        </w:rPr>
        <w:t>Early approaches to parking prediction relied primarily on univariate linear time-series formulations. Stolfi et al. [8] and Zheng et al. [9] demonstrated that municipal parking occupancy exhibits pronounced diurnal cycles driven by commuter routines. Vlahogianni et al. [10] introduced real-time predictive systems combining statistical filtering with neural networks. Rong et al. [11] introduced Du-Parking, deployed within Baidu Maps, combining recurrent LSTM networks for temporal closeness and periodicity with fully connected layers capturing contextual influence (such as weather, traffic events, and points of interest). Zhao et al. [12] formulated MePark, demonstrating that transaction records from smart parking meters can act as proxy sensors to predict on-street parking availability via spatio-temporal deep neural networks.</w:t>
      </w:r>
    </w:p>
    <w:p>
      <w:pPr>
        <w:spacing w:before="0" w:after="100" w:line="276" w:lineRule="auto"/>
        <w:jc w:val="both"/>
      </w:pPr>
      <w:r>
        <w:rPr>
          <w:rFonts w:ascii="Times New Roman" w:hAnsi="Times New Roman"/>
          <w:sz w:val="22"/>
        </w:rPr>
        <w:t>To enhance recurrent state representation, attention mechanisms have become ubiquitous. While self-attention in Transformer architectures computes pairwise token interactions, temporal attention over recurrent states—originally formulated by Bahdanau et al. [5]—dynamically computes alignment scores over historical hidden states. This enables the network to selectively weight critical morning in-rush or evening emptying periods when predicting future availability.</w:t>
      </w:r>
    </w:p>
    <w:p>
      <w:pPr>
        <w:keepNext/>
        <w:spacing w:before="200" w:after="60"/>
      </w:pPr>
      <w:r>
        <w:rPr>
          <w:rFonts w:ascii="Times New Roman" w:hAnsi="Times New Roman"/>
          <w:b/>
          <w:color w:val="2F4F7F"/>
          <w:sz w:val="23"/>
        </w:rPr>
        <w:t>2.2 Federated Learning in Intelligent Transportation Systems</w:t>
      </w:r>
    </w:p>
    <w:p>
      <w:pPr>
        <w:spacing w:before="0" w:after="100" w:line="276" w:lineRule="auto"/>
        <w:jc w:val="both"/>
      </w:pPr>
      <w:r>
        <w:rPr>
          <w:rFonts w:ascii="Times New Roman" w:hAnsi="Times New Roman"/>
          <w:sz w:val="22"/>
        </w:rPr>
        <w:t>Federated learning was established by McMahan et al. [7] as a decentralized framework where multiple clients collaboratively optimize a global objective function via iterative local stochastic gradient descent (SGD) and centralized server aggregation. Yang et al. [13] formalized the conceptual taxonomy of horizontal, vertical, and transfer federated learning. Kairouz et al. [14] and Zhang et al. [15] surveyed foundational challenges, highlighting system heterogeneity, client availability, and communication overhead. In transportation, Attiah et al. [16] formulated FedPark as a federated learning crowdsensing framework for decentralized on-street parking availability prediction across connected vehicles. Sharma &amp; Kaur [17] investigated fog-based federated time-series forecasting for IoT telemetry, while Rocco di Torrepadula et al. [22] formulated FedFlow, introducing personalized federated learning for passenger flow prediction across competing mobility providers. These studies demonstrate growing interest in decentralized ITS architectures.</w:t>
      </w:r>
    </w:p>
    <w:p>
      <w:pPr>
        <w:keepNext/>
        <w:spacing w:before="200" w:after="60"/>
      </w:pPr>
      <w:r>
        <w:rPr>
          <w:rFonts w:ascii="Times New Roman" w:hAnsi="Times New Roman"/>
          <w:b/>
          <w:color w:val="2F4F7F"/>
          <w:sz w:val="23"/>
        </w:rPr>
        <w:t>2.3 Statistical Heterogeneity and the Personalization Ladder</w:t>
      </w:r>
    </w:p>
    <w:p>
      <w:pPr>
        <w:spacing w:before="0" w:after="100" w:line="276" w:lineRule="auto"/>
        <w:jc w:val="both"/>
      </w:pPr>
      <w:r>
        <w:rPr>
          <w:rFonts w:ascii="Times New Roman" w:hAnsi="Times New Roman"/>
          <w:sz w:val="22"/>
        </w:rPr>
        <w:t>A central challenge in federated learning is statistical heterogeneity (non-IID data distributions), which causes local client objectives to diverge from the global empirical risk [18]. To mitigate client drift, Li et al. [19] formulated FedProx, adding a proximal regularization term to constrain local updates near the global model. In highly heterogeneous environments, a single consensus global model often achieves suboptimal performance for all participants. This has catalyzed the 'personalization ladder':</w:t>
      </w:r>
    </w:p>
    <w:p>
      <w:pPr>
        <w:pStyle w:val="ListParagraph"/>
        <w:spacing w:before="40" w:after="40"/>
      </w:pPr>
      <w:r>
        <w:rPr>
          <w:b/>
        </w:rPr>
        <w:t xml:space="preserve">• Level 1: Local-Only Estimation: </w:t>
      </w:r>
      <w:r>
        <w:t>Each client trains an independent model purely on local data without communication or federation.</w:t>
      </w:r>
    </w:p>
    <w:p>
      <w:pPr>
        <w:pStyle w:val="ListParagraph"/>
        <w:spacing w:before="40" w:after="40"/>
      </w:pPr>
      <w:r>
        <w:rPr>
          <w:b/>
        </w:rPr>
        <w:t xml:space="preserve">• Level 2: Global Aggregation: </w:t>
      </w:r>
      <w:r>
        <w:t>Standard FedAvg [7] optimizes a single shared global parameter vector across all participants.</w:t>
      </w:r>
    </w:p>
    <w:p>
      <w:pPr>
        <w:pStyle w:val="ListParagraph"/>
        <w:spacing w:before="40" w:after="40"/>
      </w:pPr>
      <w:r>
        <w:rPr>
          <w:b/>
        </w:rPr>
        <w:t xml:space="preserve">• Level 3: Architecture Partitioning: </w:t>
      </w:r>
      <w:r>
        <w:t>FedPer [21] federates shared base feature extractors while maintaining private local output heads.</w:t>
      </w:r>
    </w:p>
    <w:p>
      <w:pPr>
        <w:pStyle w:val="ListParagraph"/>
        <w:spacing w:before="40" w:after="60"/>
      </w:pPr>
      <w:r>
        <w:rPr>
          <w:b/>
        </w:rPr>
        <w:t xml:space="preserve">• Level 4: Meta-Learning &amp; Local Adaptation: </w:t>
      </w:r>
      <w:r>
        <w:t>Per-FedAvg [20] and pFedMe [23] optimize global initializations explicitly designed for rapid local gradient fine-tuning.</w:t>
      </w:r>
    </w:p>
    <w:p>
      <w:pPr>
        <w:spacing w:before="0" w:after="100" w:line="276" w:lineRule="auto"/>
        <w:jc w:val="both"/>
      </w:pPr>
      <w:r>
        <w:rPr>
          <w:rFonts w:ascii="Times New Roman" w:hAnsi="Times New Roman"/>
          <w:sz w:val="22"/>
        </w:rPr>
        <w:t>Despite extensive theoretical modeling, prior ITS studies frequently omit the lowest rung of the ladder: local-only baselines. Without evaluating whether simple local-only estimators that avoid cross-facility data sharing outperform federated models, claims of federated efficacy remain scientifically incomplete. This paper addresses this gap through an exhaustive empirical benchmark.</w:t>
      </w:r>
    </w:p>
    <w:p>
      <w:pPr>
        <w:spacing w:before="120" w:after="80"/>
        <w:jc w:val="center"/>
      </w:pPr>
      <w:r>
        <w:rPr>
          <w:rFonts w:ascii="Times New Roman" w:hAnsi="Times New Roman"/>
          <w:b/>
          <w:sz w:val="19"/>
        </w:rPr>
        <w:t xml:space="preserve">Table </w:t>
      </w:r>
      <w:r>
        <w:rPr>
          <w:rFonts w:ascii="Times New Roman" w:hAnsi="Times New Roman"/>
          <w:i w:val="0"/>
          <w:sz w:val="19"/>
        </w:rPr>
        <w:t>1. Systematic Comparison of Related Literature in Smart Parking and Federated ITS.</w:t>
      </w:r>
    </w:p>
    <w:tbl>
      <w:tblPr>
        <w:tblW w:type="auto" w:w="0"/>
        <w:jc w:val="center"/>
        <w:tblLook w:firstColumn="1" w:firstRow="1" w:lastColumn="0" w:lastRow="0" w:noHBand="0" w:noVBand="1" w:val="04A0"/>
        <w:tblBorders>
          <w:top w:val="single" w:sz="8" w:space="0" w:color="1F3864"/>
          <w:bottom w:val="single" w:sz="8" w:space="0" w:color="1F3864"/>
          <w:left w:val="none"/>
          <w:right w:val="none"/>
          <w:insideH w:val="single" w:sz="4" w:space="0" w:color="CBD5E1"/>
          <w:insideV w:val="none"/>
        </w:tblBorders>
      </w:tblPr>
      <w:tblGrid>
        <w:gridCol w:w="1505"/>
        <w:gridCol w:w="1505"/>
        <w:gridCol w:w="1505"/>
        <w:gridCol w:w="1505"/>
        <w:gridCol w:w="1505"/>
        <w:gridCol w:w="1505"/>
      </w:tblGrid>
      <w:tr>
        <w:tc>
          <w:tcPr>
            <w:tcW w:type="dxa" w:w="1505"/>
            <w:shd w:fill="1F3864"/>
            <w:tcMar>
              <w:top w:w="100" w:type="dxa"/>
              <w:bottom w:w="100" w:type="dxa"/>
              <w:left w:w="120" w:type="dxa"/>
              <w:right w:w="120" w:type="dxa"/>
            </w:tcMar>
          </w:tcPr>
          <w:p>
            <w:pPr>
              <w:jc w:val="center"/>
            </w:pPr>
            <w:r>
              <w:rPr>
                <w:b/>
                <w:color w:val="FFFFFF"/>
                <w:sz w:val="18"/>
              </w:rPr>
              <w:t>Study &amp; Reference</w:t>
            </w:r>
          </w:p>
        </w:tc>
        <w:tc>
          <w:tcPr>
            <w:tcW w:type="dxa" w:w="1505"/>
            <w:shd w:fill="1F3864"/>
            <w:tcMar>
              <w:top w:w="100" w:type="dxa"/>
              <w:bottom w:w="100" w:type="dxa"/>
              <w:left w:w="120" w:type="dxa"/>
              <w:right w:w="120" w:type="dxa"/>
            </w:tcMar>
          </w:tcPr>
          <w:p>
            <w:pPr>
              <w:jc w:val="center"/>
            </w:pPr>
            <w:r>
              <w:rPr>
                <w:b/>
                <w:color w:val="FFFFFF"/>
                <w:sz w:val="18"/>
              </w:rPr>
              <w:t>Core Methodology</w:t>
            </w:r>
          </w:p>
        </w:tc>
        <w:tc>
          <w:tcPr>
            <w:tcW w:type="dxa" w:w="1505"/>
            <w:shd w:fill="1F3864"/>
            <w:tcMar>
              <w:top w:w="100" w:type="dxa"/>
              <w:bottom w:w="100" w:type="dxa"/>
              <w:left w:w="120" w:type="dxa"/>
              <w:right w:w="120" w:type="dxa"/>
            </w:tcMar>
          </w:tcPr>
          <w:p>
            <w:pPr>
              <w:jc w:val="center"/>
            </w:pPr>
            <w:r>
              <w:rPr>
                <w:b/>
                <w:color w:val="FFFFFF"/>
                <w:sz w:val="18"/>
              </w:rPr>
              <w:t>Dataset / Testbed</w:t>
            </w:r>
          </w:p>
        </w:tc>
        <w:tc>
          <w:tcPr>
            <w:tcW w:type="dxa" w:w="1505"/>
            <w:shd w:fill="1F3864"/>
            <w:tcMar>
              <w:top w:w="100" w:type="dxa"/>
              <w:bottom w:w="100" w:type="dxa"/>
              <w:left w:w="120" w:type="dxa"/>
              <w:right w:w="120" w:type="dxa"/>
            </w:tcMar>
          </w:tcPr>
          <w:p>
            <w:pPr>
              <w:jc w:val="center"/>
            </w:pPr>
            <w:r>
              <w:rPr>
                <w:b/>
                <w:color w:val="FFFFFF"/>
                <w:sz w:val="18"/>
              </w:rPr>
              <w:t>Privacy / Governance</w:t>
            </w:r>
          </w:p>
        </w:tc>
        <w:tc>
          <w:tcPr>
            <w:tcW w:type="dxa" w:w="1505"/>
            <w:shd w:fill="1F3864"/>
            <w:tcMar>
              <w:top w:w="100" w:type="dxa"/>
              <w:bottom w:w="100" w:type="dxa"/>
              <w:left w:w="120" w:type="dxa"/>
              <w:right w:w="120" w:type="dxa"/>
            </w:tcMar>
          </w:tcPr>
          <w:p>
            <w:pPr>
              <w:jc w:val="center"/>
            </w:pPr>
            <w:r>
              <w:rPr>
                <w:b/>
                <w:color w:val="FFFFFF"/>
                <w:sz w:val="18"/>
              </w:rPr>
              <w:t>Local Baseline Included?</w:t>
            </w:r>
          </w:p>
        </w:tc>
        <w:tc>
          <w:tcPr>
            <w:tcW w:type="dxa" w:w="1505"/>
            <w:shd w:fill="1F3864"/>
            <w:tcMar>
              <w:top w:w="100" w:type="dxa"/>
              <w:bottom w:w="100" w:type="dxa"/>
              <w:left w:w="120" w:type="dxa"/>
              <w:right w:w="120" w:type="dxa"/>
            </w:tcMar>
          </w:tcPr>
          <w:p>
            <w:pPr>
              <w:jc w:val="center"/>
            </w:pPr>
            <w:r>
              <w:rPr>
                <w:b/>
                <w:color w:val="FFFFFF"/>
                <w:sz w:val="18"/>
              </w:rPr>
              <w:t>Key Limitations</w:t>
            </w:r>
          </w:p>
        </w:tc>
      </w:tr>
      <w:tr>
        <w:tc>
          <w:tcPr>
            <w:tcW w:type="dxa" w:w="1505"/>
            <w:shd w:fill="F8FAFC"/>
            <w:tcMar>
              <w:top w:w="70" w:type="dxa"/>
              <w:bottom w:w="70" w:type="dxa"/>
              <w:left w:w="100" w:type="dxa"/>
              <w:right w:w="100" w:type="dxa"/>
            </w:tcMar>
          </w:tcPr>
          <w:p>
            <w:pPr>
              <w:jc w:val="center"/>
            </w:pPr>
            <w:r>
              <w:rPr>
                <w:sz w:val="17"/>
              </w:rPr>
              <w:t>Rong et al. (2018) [11]</w:t>
            </w:r>
          </w:p>
        </w:tc>
        <w:tc>
          <w:tcPr>
            <w:tcW w:type="dxa" w:w="1505"/>
            <w:shd w:fill="F8FAFC"/>
            <w:tcMar>
              <w:top w:w="70" w:type="dxa"/>
              <w:bottom w:w="70" w:type="dxa"/>
              <w:left w:w="100" w:type="dxa"/>
              <w:right w:w="100" w:type="dxa"/>
            </w:tcMar>
          </w:tcPr>
          <w:p>
            <w:pPr>
              <w:jc w:val="center"/>
            </w:pPr>
            <w:r>
              <w:rPr>
                <w:sz w:val="17"/>
              </w:rPr>
              <w:t>Du-Parking (LSTM + Context)</w:t>
            </w:r>
          </w:p>
        </w:tc>
        <w:tc>
          <w:tcPr>
            <w:tcW w:type="dxa" w:w="1505"/>
            <w:shd w:fill="F8FAFC"/>
            <w:tcMar>
              <w:top w:w="70" w:type="dxa"/>
              <w:bottom w:w="70" w:type="dxa"/>
              <w:left w:w="100" w:type="dxa"/>
              <w:right w:w="100" w:type="dxa"/>
            </w:tcMar>
          </w:tcPr>
          <w:p>
            <w:pPr>
              <w:jc w:val="left"/>
            </w:pPr>
            <w:r>
              <w:rPr>
                <w:sz w:val="17"/>
              </w:rPr>
              <w:t>Baidu Maps (China)</w:t>
            </w:r>
          </w:p>
        </w:tc>
        <w:tc>
          <w:tcPr>
            <w:tcW w:type="dxa" w:w="1505"/>
            <w:shd w:fill="F8FAFC"/>
            <w:tcMar>
              <w:top w:w="70" w:type="dxa"/>
              <w:bottom w:w="70" w:type="dxa"/>
              <w:left w:w="100" w:type="dxa"/>
              <w:right w:w="100" w:type="dxa"/>
            </w:tcMar>
          </w:tcPr>
          <w:p>
            <w:pPr>
              <w:jc w:val="left"/>
            </w:pPr>
            <w:r>
              <w:rPr>
                <w:sz w:val="17"/>
              </w:rPr>
              <w:t>Centralized only</w:t>
            </w:r>
          </w:p>
        </w:tc>
        <w:tc>
          <w:tcPr>
            <w:tcW w:type="dxa" w:w="1505"/>
            <w:shd w:fill="F8FAFC"/>
            <w:tcMar>
              <w:top w:w="70" w:type="dxa"/>
              <w:bottom w:w="70" w:type="dxa"/>
              <w:left w:w="100" w:type="dxa"/>
              <w:right w:w="100" w:type="dxa"/>
            </w:tcMar>
          </w:tcPr>
          <w:p>
            <w:pPr>
              <w:jc w:val="left"/>
            </w:pPr>
            <w:r>
              <w:rPr>
                <w:sz w:val="17"/>
              </w:rPr>
              <w:t>Contextual MLP</w:t>
            </w:r>
          </w:p>
        </w:tc>
        <w:tc>
          <w:tcPr>
            <w:tcW w:type="dxa" w:w="1505"/>
            <w:shd w:fill="F8FAFC"/>
            <w:tcMar>
              <w:top w:w="70" w:type="dxa"/>
              <w:bottom w:w="70" w:type="dxa"/>
              <w:left w:w="100" w:type="dxa"/>
              <w:right w:w="100" w:type="dxa"/>
            </w:tcMar>
          </w:tcPr>
          <w:p>
            <w:pPr>
              <w:jc w:val="left"/>
            </w:pPr>
            <w:r>
              <w:rPr>
                <w:sz w:val="17"/>
              </w:rPr>
              <w:t>Parking availability</w:t>
            </w:r>
          </w:p>
        </w:tc>
      </w:tr>
      <w:tr>
        <w:tc>
          <w:tcPr>
            <w:tcW w:type="dxa" w:w="1505"/>
            <w:shd w:fill="FFFFFF"/>
            <w:tcMar>
              <w:top w:w="70" w:type="dxa"/>
              <w:bottom w:w="70" w:type="dxa"/>
              <w:left w:w="100" w:type="dxa"/>
              <w:right w:w="100" w:type="dxa"/>
            </w:tcMar>
          </w:tcPr>
          <w:p>
            <w:pPr>
              <w:jc w:val="center"/>
            </w:pPr>
            <w:r>
              <w:rPr>
                <w:sz w:val="17"/>
              </w:rPr>
              <w:t>Zhao et al. (2022) [12]</w:t>
            </w:r>
          </w:p>
        </w:tc>
        <w:tc>
          <w:tcPr>
            <w:tcW w:type="dxa" w:w="1505"/>
            <w:shd w:fill="FFFFFF"/>
            <w:tcMar>
              <w:top w:w="70" w:type="dxa"/>
              <w:bottom w:w="70" w:type="dxa"/>
              <w:left w:w="100" w:type="dxa"/>
              <w:right w:w="100" w:type="dxa"/>
            </w:tcMar>
          </w:tcPr>
          <w:p>
            <w:pPr>
              <w:jc w:val="center"/>
            </w:pPr>
            <w:r>
              <w:rPr>
                <w:sz w:val="17"/>
              </w:rPr>
              <w:t>MePark (Meter Sensing)</w:t>
            </w:r>
          </w:p>
        </w:tc>
        <w:tc>
          <w:tcPr>
            <w:tcW w:type="dxa" w:w="1505"/>
            <w:shd w:fill="FFFFFF"/>
            <w:tcMar>
              <w:top w:w="70" w:type="dxa"/>
              <w:bottom w:w="70" w:type="dxa"/>
              <w:left w:w="100" w:type="dxa"/>
              <w:right w:w="100" w:type="dxa"/>
            </w:tcMar>
          </w:tcPr>
          <w:p>
            <w:pPr>
              <w:jc w:val="left"/>
            </w:pPr>
            <w:r>
              <w:rPr>
                <w:sz w:val="17"/>
              </w:rPr>
              <w:t>San Francisco / Melbourne</w:t>
            </w:r>
          </w:p>
        </w:tc>
        <w:tc>
          <w:tcPr>
            <w:tcW w:type="dxa" w:w="1505"/>
            <w:shd w:fill="FFFFFF"/>
            <w:tcMar>
              <w:top w:w="70" w:type="dxa"/>
              <w:bottom w:w="70" w:type="dxa"/>
              <w:left w:w="100" w:type="dxa"/>
              <w:right w:w="100" w:type="dxa"/>
            </w:tcMar>
          </w:tcPr>
          <w:p>
            <w:pPr>
              <w:jc w:val="left"/>
            </w:pPr>
            <w:r>
              <w:rPr>
                <w:sz w:val="17"/>
              </w:rPr>
              <w:t>Centralized telemetry</w:t>
            </w:r>
          </w:p>
        </w:tc>
        <w:tc>
          <w:tcPr>
            <w:tcW w:type="dxa" w:w="1505"/>
            <w:shd w:fill="FFFFFF"/>
            <w:tcMar>
              <w:top w:w="70" w:type="dxa"/>
              <w:bottom w:w="70" w:type="dxa"/>
              <w:left w:w="100" w:type="dxa"/>
              <w:right w:w="100" w:type="dxa"/>
            </w:tcMar>
          </w:tcPr>
          <w:p>
            <w:pPr>
              <w:jc w:val="left"/>
            </w:pPr>
            <w:r>
              <w:rPr>
                <w:sz w:val="17"/>
              </w:rPr>
              <w:t>No</w:t>
            </w:r>
          </w:p>
        </w:tc>
        <w:tc>
          <w:tcPr>
            <w:tcW w:type="dxa" w:w="1505"/>
            <w:shd w:fill="FFFFFF"/>
            <w:tcMar>
              <w:top w:w="70" w:type="dxa"/>
              <w:bottom w:w="70" w:type="dxa"/>
              <w:left w:w="100" w:type="dxa"/>
              <w:right w:w="100" w:type="dxa"/>
            </w:tcMar>
          </w:tcPr>
          <w:p>
            <w:pPr>
              <w:jc w:val="left"/>
            </w:pPr>
            <w:r>
              <w:rPr>
                <w:sz w:val="17"/>
              </w:rPr>
              <w:t>High transaction latency; missing sensor ground truth</w:t>
            </w:r>
          </w:p>
        </w:tc>
      </w:tr>
      <w:tr>
        <w:tc>
          <w:tcPr>
            <w:tcW w:type="dxa" w:w="1505"/>
            <w:shd w:fill="F8FAFC"/>
            <w:tcMar>
              <w:top w:w="70" w:type="dxa"/>
              <w:bottom w:w="70" w:type="dxa"/>
              <w:left w:w="100" w:type="dxa"/>
              <w:right w:w="100" w:type="dxa"/>
            </w:tcMar>
          </w:tcPr>
          <w:p>
            <w:pPr>
              <w:jc w:val="center"/>
            </w:pPr>
            <w:r>
              <w:rPr>
                <w:sz w:val="17"/>
              </w:rPr>
              <w:t>McMahan et al. (2017) [7]</w:t>
            </w:r>
          </w:p>
        </w:tc>
        <w:tc>
          <w:tcPr>
            <w:tcW w:type="dxa" w:w="1505"/>
            <w:shd w:fill="F8FAFC"/>
            <w:tcMar>
              <w:top w:w="70" w:type="dxa"/>
              <w:bottom w:w="70" w:type="dxa"/>
              <w:left w:w="100" w:type="dxa"/>
              <w:right w:w="100" w:type="dxa"/>
            </w:tcMar>
          </w:tcPr>
          <w:p>
            <w:pPr>
              <w:jc w:val="center"/>
            </w:pPr>
            <w:r>
              <w:rPr>
                <w:sz w:val="17"/>
              </w:rPr>
              <w:t>Standard FedAvg</w:t>
            </w:r>
          </w:p>
        </w:tc>
        <w:tc>
          <w:tcPr>
            <w:tcW w:type="dxa" w:w="1505"/>
            <w:shd w:fill="F8FAFC"/>
            <w:tcMar>
              <w:top w:w="70" w:type="dxa"/>
              <w:bottom w:w="70" w:type="dxa"/>
              <w:left w:w="100" w:type="dxa"/>
              <w:right w:w="100" w:type="dxa"/>
            </w:tcMar>
          </w:tcPr>
          <w:p>
            <w:pPr>
              <w:jc w:val="left"/>
            </w:pPr>
            <w:r>
              <w:rPr>
                <w:sz w:val="17"/>
              </w:rPr>
              <w:t>Synthetic &amp; vision benchmarks</w:t>
            </w:r>
          </w:p>
        </w:tc>
        <w:tc>
          <w:tcPr>
            <w:tcW w:type="dxa" w:w="1505"/>
            <w:shd w:fill="F8FAFC"/>
            <w:tcMar>
              <w:top w:w="70" w:type="dxa"/>
              <w:bottom w:w="70" w:type="dxa"/>
              <w:left w:w="100" w:type="dxa"/>
              <w:right w:w="100" w:type="dxa"/>
            </w:tcMar>
          </w:tcPr>
          <w:p>
            <w:pPr>
              <w:jc w:val="left"/>
            </w:pPr>
            <w:r>
              <w:rPr>
                <w:sz w:val="17"/>
              </w:rPr>
              <w:t>Decentralized / private</w:t>
            </w:r>
          </w:p>
        </w:tc>
        <w:tc>
          <w:tcPr>
            <w:tcW w:type="dxa" w:w="1505"/>
            <w:shd w:fill="F8FAFC"/>
            <w:tcMar>
              <w:top w:w="70" w:type="dxa"/>
              <w:bottom w:w="70" w:type="dxa"/>
              <w:left w:w="100" w:type="dxa"/>
              <w:right w:w="100" w:type="dxa"/>
            </w:tcMar>
          </w:tcPr>
          <w:p>
            <w:pPr>
              <w:jc w:val="left"/>
            </w:pPr>
            <w:r>
              <w:rPr>
                <w:sz w:val="17"/>
              </w:rPr>
              <w:t>Yes (on vision)</w:t>
            </w:r>
          </w:p>
        </w:tc>
        <w:tc>
          <w:tcPr>
            <w:tcW w:type="dxa" w:w="1505"/>
            <w:shd w:fill="F8FAFC"/>
            <w:tcMar>
              <w:top w:w="70" w:type="dxa"/>
              <w:bottom w:w="70" w:type="dxa"/>
              <w:left w:w="100" w:type="dxa"/>
              <w:right w:w="100" w:type="dxa"/>
            </w:tcMar>
          </w:tcPr>
          <w:p>
            <w:pPr>
              <w:jc w:val="left"/>
            </w:pPr>
            <w:r>
              <w:rPr>
                <w:sz w:val="17"/>
              </w:rPr>
              <w:t>Performance degrades under high client non-IID drift</w:t>
            </w:r>
          </w:p>
        </w:tc>
      </w:tr>
      <w:tr>
        <w:tc>
          <w:tcPr>
            <w:tcW w:type="dxa" w:w="1505"/>
            <w:shd w:fill="FFFFFF"/>
            <w:tcMar>
              <w:top w:w="70" w:type="dxa"/>
              <w:bottom w:w="70" w:type="dxa"/>
              <w:left w:w="100" w:type="dxa"/>
              <w:right w:w="100" w:type="dxa"/>
            </w:tcMar>
          </w:tcPr>
          <w:p>
            <w:pPr>
              <w:jc w:val="center"/>
            </w:pPr>
            <w:r>
              <w:rPr>
                <w:sz w:val="17"/>
              </w:rPr>
              <w:t>Li et al. (2020) [19]</w:t>
            </w:r>
          </w:p>
        </w:tc>
        <w:tc>
          <w:tcPr>
            <w:tcW w:type="dxa" w:w="1505"/>
            <w:shd w:fill="FFFFFF"/>
            <w:tcMar>
              <w:top w:w="70" w:type="dxa"/>
              <w:bottom w:w="70" w:type="dxa"/>
              <w:left w:w="100" w:type="dxa"/>
              <w:right w:w="100" w:type="dxa"/>
            </w:tcMar>
          </w:tcPr>
          <w:p>
            <w:pPr>
              <w:jc w:val="center"/>
            </w:pPr>
            <w:r>
              <w:rPr>
                <w:sz w:val="17"/>
              </w:rPr>
              <w:t>FedProx (Proximal term)</w:t>
            </w:r>
          </w:p>
        </w:tc>
        <w:tc>
          <w:tcPr>
            <w:tcW w:type="dxa" w:w="1505"/>
            <w:shd w:fill="FFFFFF"/>
            <w:tcMar>
              <w:top w:w="70" w:type="dxa"/>
              <w:bottom w:w="70" w:type="dxa"/>
              <w:left w:w="100" w:type="dxa"/>
              <w:right w:w="100" w:type="dxa"/>
            </w:tcMar>
          </w:tcPr>
          <w:p>
            <w:pPr>
              <w:jc w:val="left"/>
            </w:pPr>
            <w:r>
              <w:rPr>
                <w:sz w:val="17"/>
              </w:rPr>
              <w:t>Federated NLP &amp; vision</w:t>
            </w:r>
          </w:p>
        </w:tc>
        <w:tc>
          <w:tcPr>
            <w:tcW w:type="dxa" w:w="1505"/>
            <w:shd w:fill="FFFFFF"/>
            <w:tcMar>
              <w:top w:w="70" w:type="dxa"/>
              <w:bottom w:w="70" w:type="dxa"/>
              <w:left w:w="100" w:type="dxa"/>
              <w:right w:w="100" w:type="dxa"/>
            </w:tcMar>
          </w:tcPr>
          <w:p>
            <w:pPr>
              <w:jc w:val="left"/>
            </w:pPr>
            <w:r>
              <w:rPr>
                <w:sz w:val="17"/>
              </w:rPr>
              <w:t>Decentralized / private</w:t>
            </w:r>
          </w:p>
        </w:tc>
        <w:tc>
          <w:tcPr>
            <w:tcW w:type="dxa" w:w="1505"/>
            <w:shd w:fill="FFFFFF"/>
            <w:tcMar>
              <w:top w:w="70" w:type="dxa"/>
              <w:bottom w:w="70" w:type="dxa"/>
              <w:left w:w="100" w:type="dxa"/>
              <w:right w:w="100" w:type="dxa"/>
            </w:tcMar>
          </w:tcPr>
          <w:p>
            <w:pPr>
              <w:jc w:val="left"/>
            </w:pPr>
            <w:r>
              <w:rPr>
                <w:sz w:val="17"/>
              </w:rPr>
              <w:t>Yes (partial)</w:t>
            </w:r>
          </w:p>
        </w:tc>
        <w:tc>
          <w:tcPr>
            <w:tcW w:type="dxa" w:w="1505"/>
            <w:shd w:fill="FFFFFF"/>
            <w:tcMar>
              <w:top w:w="70" w:type="dxa"/>
              <w:bottom w:w="70" w:type="dxa"/>
              <w:left w:w="100" w:type="dxa"/>
              <w:right w:w="100" w:type="dxa"/>
            </w:tcMar>
          </w:tcPr>
          <w:p>
            <w:pPr>
              <w:jc w:val="left"/>
            </w:pPr>
            <w:r>
              <w:rPr>
                <w:sz w:val="17"/>
              </w:rPr>
              <w:t>Proximal weight hyperparameter requires extensive tuning</w:t>
            </w:r>
          </w:p>
        </w:tc>
      </w:tr>
      <w:tr>
        <w:tc>
          <w:tcPr>
            <w:tcW w:type="dxa" w:w="1505"/>
            <w:shd w:fill="F8FAFC"/>
            <w:tcMar>
              <w:top w:w="70" w:type="dxa"/>
              <w:bottom w:w="70" w:type="dxa"/>
              <w:left w:w="100" w:type="dxa"/>
              <w:right w:w="100" w:type="dxa"/>
            </w:tcMar>
          </w:tcPr>
          <w:p>
            <w:pPr>
              <w:jc w:val="center"/>
            </w:pPr>
            <w:r>
              <w:rPr>
                <w:sz w:val="17"/>
              </w:rPr>
              <w:t>Attiah et al. (2025) [16]</w:t>
            </w:r>
          </w:p>
        </w:tc>
        <w:tc>
          <w:tcPr>
            <w:tcW w:type="dxa" w:w="1505"/>
            <w:shd w:fill="F8FAFC"/>
            <w:tcMar>
              <w:top w:w="70" w:type="dxa"/>
              <w:bottom w:w="70" w:type="dxa"/>
              <w:left w:w="100" w:type="dxa"/>
              <w:right w:w="100" w:type="dxa"/>
            </w:tcMar>
          </w:tcPr>
          <w:p>
            <w:pPr>
              <w:jc w:val="center"/>
            </w:pPr>
            <w:r>
              <w:rPr>
                <w:sz w:val="17"/>
              </w:rPr>
              <w:t>FedPark (Crowdsensing)</w:t>
            </w:r>
          </w:p>
        </w:tc>
        <w:tc>
          <w:tcPr>
            <w:tcW w:type="dxa" w:w="1505"/>
            <w:shd w:fill="F8FAFC"/>
            <w:tcMar>
              <w:top w:w="70" w:type="dxa"/>
              <w:bottom w:w="70" w:type="dxa"/>
              <w:left w:w="100" w:type="dxa"/>
              <w:right w:w="100" w:type="dxa"/>
            </w:tcMar>
          </w:tcPr>
          <w:p>
            <w:pPr>
              <w:jc w:val="left"/>
            </w:pPr>
            <w:r>
              <w:rPr>
                <w:sz w:val="17"/>
              </w:rPr>
              <w:t>Crowdsourced mobile logs</w:t>
            </w:r>
          </w:p>
        </w:tc>
        <w:tc>
          <w:tcPr>
            <w:tcW w:type="dxa" w:w="1505"/>
            <w:shd w:fill="F8FAFC"/>
            <w:tcMar>
              <w:top w:w="70" w:type="dxa"/>
              <w:bottom w:w="70" w:type="dxa"/>
              <w:left w:w="100" w:type="dxa"/>
              <w:right w:w="100" w:type="dxa"/>
            </w:tcMar>
          </w:tcPr>
          <w:p>
            <w:pPr>
              <w:jc w:val="left"/>
            </w:pPr>
            <w:r>
              <w:rPr>
                <w:sz w:val="17"/>
              </w:rPr>
              <w:t>Decentralized / private</w:t>
            </w:r>
          </w:p>
        </w:tc>
        <w:tc>
          <w:tcPr>
            <w:tcW w:type="dxa" w:w="1505"/>
            <w:shd w:fill="F8FAFC"/>
            <w:tcMar>
              <w:top w:w="70" w:type="dxa"/>
              <w:bottom w:w="70" w:type="dxa"/>
              <w:left w:w="100" w:type="dxa"/>
              <w:right w:w="100" w:type="dxa"/>
            </w:tcMar>
          </w:tcPr>
          <w:p>
            <w:pPr>
              <w:jc w:val="left"/>
            </w:pPr>
            <w:r>
              <w:rPr>
                <w:sz w:val="17"/>
              </w:rPr>
              <w:t>No</w:t>
            </w:r>
          </w:p>
        </w:tc>
        <w:tc>
          <w:tcPr>
            <w:tcW w:type="dxa" w:w="1505"/>
            <w:shd w:fill="F8FAFC"/>
            <w:tcMar>
              <w:top w:w="70" w:type="dxa"/>
              <w:bottom w:w="70" w:type="dxa"/>
              <w:left w:w="100" w:type="dxa"/>
              <w:right w:w="100" w:type="dxa"/>
            </w:tcMar>
          </w:tcPr>
          <w:p>
            <w:pPr>
              <w:jc w:val="left"/>
            </w:pPr>
            <w:r>
              <w:rPr>
                <w:sz w:val="17"/>
              </w:rPr>
              <w:t>Focuses on on-street crowdsensing; lacks local linear baselines</w:t>
            </w:r>
          </w:p>
        </w:tc>
      </w:tr>
      <w:tr>
        <w:tc>
          <w:tcPr>
            <w:tcW w:type="dxa" w:w="1505"/>
            <w:shd w:fill="FFFFFF"/>
            <w:tcMar>
              <w:top w:w="70" w:type="dxa"/>
              <w:bottom w:w="70" w:type="dxa"/>
              <w:left w:w="100" w:type="dxa"/>
              <w:right w:w="100" w:type="dxa"/>
            </w:tcMar>
          </w:tcPr>
          <w:p>
            <w:pPr>
              <w:jc w:val="center"/>
            </w:pPr>
            <w:r>
              <w:rPr>
                <w:sz w:val="17"/>
              </w:rPr>
              <w:t>Rocco di Torrepadula et al. (2025) [22]</w:t>
            </w:r>
          </w:p>
        </w:tc>
        <w:tc>
          <w:tcPr>
            <w:tcW w:type="dxa" w:w="1505"/>
            <w:shd w:fill="FFFFFF"/>
            <w:tcMar>
              <w:top w:w="70" w:type="dxa"/>
              <w:bottom w:w="70" w:type="dxa"/>
              <w:left w:w="100" w:type="dxa"/>
              <w:right w:w="100" w:type="dxa"/>
            </w:tcMar>
          </w:tcPr>
          <w:p>
            <w:pPr>
              <w:jc w:val="center"/>
            </w:pPr>
            <w:r>
              <w:rPr>
                <w:sz w:val="17"/>
              </w:rPr>
              <w:t>FedFlow (Personalized FL)</w:t>
            </w:r>
          </w:p>
        </w:tc>
        <w:tc>
          <w:tcPr>
            <w:tcW w:type="dxa" w:w="1505"/>
            <w:shd w:fill="FFFFFF"/>
            <w:tcMar>
              <w:top w:w="70" w:type="dxa"/>
              <w:bottom w:w="70" w:type="dxa"/>
              <w:left w:w="100" w:type="dxa"/>
              <w:right w:w="100" w:type="dxa"/>
            </w:tcMar>
          </w:tcPr>
          <w:p>
            <w:pPr>
              <w:jc w:val="left"/>
            </w:pPr>
            <w:r>
              <w:rPr>
                <w:sz w:val="17"/>
              </w:rPr>
              <w:t>Mobility passenger flows</w:t>
            </w:r>
          </w:p>
        </w:tc>
        <w:tc>
          <w:tcPr>
            <w:tcW w:type="dxa" w:w="1505"/>
            <w:shd w:fill="FFFFFF"/>
            <w:tcMar>
              <w:top w:w="70" w:type="dxa"/>
              <w:bottom w:w="70" w:type="dxa"/>
              <w:left w:w="100" w:type="dxa"/>
              <w:right w:w="100" w:type="dxa"/>
            </w:tcMar>
          </w:tcPr>
          <w:p>
            <w:pPr>
              <w:jc w:val="left"/>
            </w:pPr>
            <w:r>
              <w:rPr>
                <w:sz w:val="17"/>
              </w:rPr>
              <w:t>Decentralized / private</w:t>
            </w:r>
          </w:p>
        </w:tc>
        <w:tc>
          <w:tcPr>
            <w:tcW w:type="dxa" w:w="1505"/>
            <w:shd w:fill="FFFFFF"/>
            <w:tcMar>
              <w:top w:w="70" w:type="dxa"/>
              <w:bottom w:w="70" w:type="dxa"/>
              <w:left w:w="100" w:type="dxa"/>
              <w:right w:w="100" w:type="dxa"/>
            </w:tcMar>
          </w:tcPr>
          <w:p>
            <w:pPr>
              <w:jc w:val="left"/>
            </w:pPr>
            <w:r>
              <w:rPr>
                <w:sz w:val="17"/>
              </w:rPr>
              <w:t>No</w:t>
            </w:r>
          </w:p>
        </w:tc>
        <w:tc>
          <w:tcPr>
            <w:tcW w:type="dxa" w:w="1505"/>
            <w:shd w:fill="FFFFFF"/>
            <w:tcMar>
              <w:top w:w="70" w:type="dxa"/>
              <w:bottom w:w="70" w:type="dxa"/>
              <w:left w:w="100" w:type="dxa"/>
              <w:right w:w="100" w:type="dxa"/>
            </w:tcMar>
          </w:tcPr>
          <w:p>
            <w:pPr>
              <w:jc w:val="left"/>
            </w:pPr>
            <w:r>
              <w:rPr>
                <w:sz w:val="17"/>
              </w:rPr>
              <w:t>Does not evaluate smart parking or local linear baselines</w:t>
            </w:r>
          </w:p>
        </w:tc>
      </w:tr>
      <w:tr>
        <w:tc>
          <w:tcPr>
            <w:tcW w:type="dxa" w:w="1505"/>
            <w:shd w:fill="F8FAFC"/>
            <w:tcMar>
              <w:top w:w="70" w:type="dxa"/>
              <w:bottom w:w="70" w:type="dxa"/>
              <w:left w:w="100" w:type="dxa"/>
              <w:right w:w="100" w:type="dxa"/>
            </w:tcMar>
          </w:tcPr>
          <w:p>
            <w:pPr>
              <w:jc w:val="center"/>
            </w:pPr>
            <w:r>
              <w:rPr>
                <w:sz w:val="17"/>
              </w:rPr>
              <w:t>This Study (2026)</w:t>
            </w:r>
          </w:p>
        </w:tc>
        <w:tc>
          <w:tcPr>
            <w:tcW w:type="dxa" w:w="1505"/>
            <w:shd w:fill="F8FAFC"/>
            <w:tcMar>
              <w:top w:w="70" w:type="dxa"/>
              <w:bottom w:w="70" w:type="dxa"/>
              <w:left w:w="100" w:type="dxa"/>
              <w:right w:w="100" w:type="dxa"/>
            </w:tcMar>
          </w:tcPr>
          <w:p>
            <w:pPr>
              <w:jc w:val="center"/>
            </w:pPr>
            <w:r>
              <w:rPr>
                <w:sz w:val="17"/>
              </w:rPr>
              <w:t>Personalized Fed-Attention-LSTM</w:t>
            </w:r>
          </w:p>
        </w:tc>
        <w:tc>
          <w:tcPr>
            <w:tcW w:type="dxa" w:w="1505"/>
            <w:shd w:fill="F8FAFC"/>
            <w:tcMar>
              <w:top w:w="70" w:type="dxa"/>
              <w:bottom w:w="70" w:type="dxa"/>
              <w:left w:w="100" w:type="dxa"/>
              <w:right w:w="100" w:type="dxa"/>
            </w:tcMar>
          </w:tcPr>
          <w:p>
            <w:pPr>
              <w:jc w:val="left"/>
            </w:pPr>
            <w:r>
              <w:rPr>
                <w:sz w:val="17"/>
              </w:rPr>
              <w:t>Birmingham IoT (30 lots)</w:t>
            </w:r>
          </w:p>
        </w:tc>
        <w:tc>
          <w:tcPr>
            <w:tcW w:type="dxa" w:w="1505"/>
            <w:shd w:fill="F8FAFC"/>
            <w:tcMar>
              <w:top w:w="70" w:type="dxa"/>
              <w:bottom w:w="70" w:type="dxa"/>
              <w:left w:w="100" w:type="dxa"/>
              <w:right w:w="100" w:type="dxa"/>
            </w:tcMar>
          </w:tcPr>
          <w:p>
            <w:pPr>
              <w:jc w:val="left"/>
            </w:pPr>
            <w:r>
              <w:rPr>
                <w:sz w:val="17"/>
              </w:rPr>
              <w:t>Decentralized containment / Multi-operator governance</w:t>
            </w:r>
          </w:p>
        </w:tc>
        <w:tc>
          <w:tcPr>
            <w:tcW w:type="dxa" w:w="1505"/>
            <w:shd w:fill="F8FAFC"/>
            <w:tcMar>
              <w:top w:w="70" w:type="dxa"/>
              <w:bottom w:w="70" w:type="dxa"/>
              <w:left w:w="100" w:type="dxa"/>
              <w:right w:w="100" w:type="dxa"/>
            </w:tcMar>
          </w:tcPr>
          <w:p>
            <w:pPr>
              <w:jc w:val="left"/>
            </w:pPr>
            <w:r>
              <w:rPr>
                <w:sz w:val="17"/>
              </w:rPr>
              <w:t>Yes (Persistence + Local Linear)</w:t>
            </w:r>
          </w:p>
        </w:tc>
        <w:tc>
          <w:tcPr>
            <w:tcW w:type="dxa" w:w="1505"/>
            <w:shd w:fill="F8FAFC"/>
            <w:tcMar>
              <w:top w:w="70" w:type="dxa"/>
              <w:bottom w:w="70" w:type="dxa"/>
              <w:left w:w="100" w:type="dxa"/>
              <w:right w:w="100" w:type="dxa"/>
            </w:tcMar>
          </w:tcPr>
          <w:p>
            <w:pPr>
              <w:jc w:val="left"/>
            </w:pPr>
            <w:r>
              <w:rPr>
                <w:sz w:val="17"/>
              </w:rPr>
              <w:t>Evaluated on single municipal stream; 73-day span</w:t>
            </w:r>
          </w:p>
        </w:tc>
      </w:tr>
    </w:tbl>
    <w:p>
      <w:pPr>
        <w:spacing w:before="0" w:after="120" w:line="276" w:lineRule="auto"/>
        <w:jc w:val="both"/>
      </w:pPr>
    </w:p>
    <w:p>
      <w:pPr>
        <w:keepNext/>
        <w:spacing w:before="280" w:after="80"/>
      </w:pPr>
      <w:r>
        <w:rPr>
          <w:rFonts w:ascii="Times New Roman" w:hAnsi="Times New Roman"/>
          <w:b/>
          <w:color w:val="1F3864"/>
          <w:sz w:val="26"/>
        </w:rPr>
        <w:t>3. Methodology</w:t>
      </w:r>
    </w:p>
    <w:p>
      <w:pPr>
        <w:keepNext/>
        <w:spacing w:before="200" w:after="60"/>
      </w:pPr>
      <w:r>
        <w:rPr>
          <w:rFonts w:ascii="Times New Roman" w:hAnsi="Times New Roman"/>
          <w:b/>
          <w:color w:val="2F4F7F"/>
          <w:sz w:val="23"/>
        </w:rPr>
        <w:t>3.1 Municipal Dataset Audit and Physical Heterogeneity</w:t>
      </w:r>
    </w:p>
    <w:p>
      <w:pPr>
        <w:spacing w:before="0" w:after="100" w:line="276" w:lineRule="auto"/>
        <w:jc w:val="both"/>
      </w:pPr>
      <w:r>
        <w:rPr>
          <w:rFonts w:ascii="Times New Roman" w:hAnsi="Times New Roman"/>
          <w:sz w:val="22"/>
        </w:rPr>
        <w:t>Our empirical evaluation is conducted on the Birmingham municipal smart parking dataset [29], publicly hosted by the UCI Machine Learning Repository (DOI: 10.24432/C51K5Z). The dataset comprises 35,717 raw sensor observations recorded across 30 distinct off-street parking facilities in Birmingham, United Kingdom, spanning 73 calendar days from October 4, 2016 to December 19, 2016. Sensor recordings are absent on October 20–21 and December 3–4 due to municipal data collection outages.</w:t>
      </w:r>
    </w:p>
    <w:p>
      <w:pPr>
        <w:spacing w:before="0" w:after="100" w:line="276" w:lineRule="auto"/>
        <w:jc w:val="both"/>
      </w:pPr>
      <w:r>
        <w:rPr>
          <w:rFonts w:ascii="Times New Roman" w:hAnsi="Times New Roman"/>
          <w:sz w:val="22"/>
        </w:rPr>
        <w:t>A rigorous forensic audit of the raw dataset reveals substantial structural and operational heterogeneity across facilities:</w:t>
      </w:r>
    </w:p>
    <w:p>
      <w:pPr>
        <w:pStyle w:val="ListParagraph"/>
        <w:spacing w:before="40" w:after="40"/>
      </w:pPr>
      <w:r>
        <w:rPr>
          <w:b/>
        </w:rPr>
        <w:t xml:space="preserve">1. Capacity Disparity: </w:t>
      </w:r>
      <w:r>
        <w:t>Nominal parking capacities range from 220 bays (BHMEURBRD02) to 4,675 bays (Others-CCCPS133), with a mean nominal capacity of 1,397.6 bays across the 30 facilities. Seven major facilities exceed 1,912 bays, including Bull Ring (3,053 bays), NIA South (2,026 bays), and NIA Car Parks (2,026 bays).</w:t>
      </w:r>
    </w:p>
    <w:p>
      <w:pPr>
        <w:pStyle w:val="ListParagraph"/>
        <w:spacing w:before="40" w:after="40"/>
      </w:pPr>
      <w:r>
        <w:rPr>
          <w:b/>
        </w:rPr>
        <w:t xml:space="preserve">2. Discontinuous Operational Windows: </w:t>
      </w:r>
      <w:r>
        <w:t>While standard facilities provide ~1,190 raw readings across the 73 days, two facilities exhibit severe temporal truncation: BHMBRTARC01 contains only 88 raw readings (active across 5 days from Dec 15 to Dec 19), whereas NIA North contains only 162 readings (active across 9 days from Oct 4 to Oct 12).</w:t>
      </w:r>
    </w:p>
    <w:p>
      <w:pPr>
        <w:pStyle w:val="ListParagraph"/>
        <w:spacing w:before="40" w:after="40"/>
      </w:pPr>
      <w:r>
        <w:rPr>
          <w:b/>
        </w:rPr>
        <w:t xml:space="preserve">3. Sensor Polling Jitter &amp; Session Regularization: </w:t>
      </w:r>
      <w:r>
        <w:t>Raw sensor polling timestamps jitter around the nominal 30-minute intervals (e.g., 07:59:42, 09:32:46). Raw observations are regularized into 18 uniform daytime slots (08:00 to 16:30). Duplicate sensor timestamps within each session are deduplicated by retaining the initial valid transmission (keep='first'), followed by regularizing readings onto the uniform 18-slot daytime schedule (08:00 to 16:30). Incomplete lot-days with sparse readings (249 out of 1,988 lot-days) were regularized onto the continuous 18-slot daytime schedule using linear time interpolation bounded strictly within operating hours (08:00 to 16:30), avoiding any interpolation across nightly shutdown gaps.</w:t>
      </w:r>
    </w:p>
    <w:p>
      <w:pPr>
        <w:pStyle w:val="ListParagraph"/>
        <w:spacing w:before="40" w:after="80"/>
      </w:pPr>
      <w:r>
        <w:rPr>
          <w:b/>
        </w:rPr>
        <w:t xml:space="preserve">4. Sensor Anomaly Audit: </w:t>
      </w:r>
      <w:r>
        <w:t>We audited 12 negative occupancy counts at NIA North (minimum: -8 bays) and 373 readings where reported occupancy exceeded nominal capacity across 8 facilities. All values were strictly bounded to physical capacity, normalizing occupancy into valid availability ratios a_t in [0, 1].</w:t>
      </w:r>
    </w:p>
    <w:p>
      <w:pPr>
        <w:keepNext/>
        <w:spacing w:before="200" w:after="60"/>
      </w:pPr>
      <w:r>
        <w:rPr>
          <w:rFonts w:ascii="Times New Roman" w:hAnsi="Times New Roman"/>
          <w:b/>
          <w:color w:val="2F4F7F"/>
          <w:sz w:val="23"/>
        </w:rPr>
        <w:t>3.2 Sequence Windowing and Partition Protocol</w:t>
      </w:r>
    </w:p>
    <w:p>
      <w:pPr>
        <w:spacing w:before="0" w:after="100" w:line="276" w:lineRule="auto"/>
        <w:jc w:val="both"/>
      </w:pPr>
      <w:r>
        <w:rPr>
          <w:rFonts w:ascii="Times New Roman" w:hAnsi="Times New Roman"/>
          <w:sz w:val="22"/>
        </w:rPr>
        <w:t>To model temporal dynamics without data leakage across overnight facility closures (16:30 to 08:00 the following morning), sliding sequences are constructed strictly within each operational day. Let L denote the lookback sequence length and H denote the maximum forecast horizon. In our benchmark, L = 6 (3.0 hours of past history) and H = 2 (forecasting 30 minutes ahead, y_30, and 60 minutes ahead, y_60). Each valid sequence requires L + H = 8 consecutive 30-minute observations (4.0 hours duration).</w:t>
      </w:r>
    </w:p>
    <w:p>
      <w:pPr>
        <w:spacing w:before="0" w:after="100" w:line="276" w:lineRule="auto"/>
        <w:jc w:val="both"/>
      </w:pPr>
      <w:r>
        <w:rPr>
          <w:rFonts w:ascii="Times New Roman" w:hAnsi="Times New Roman"/>
          <w:sz w:val="22"/>
        </w:rPr>
        <w:t>Across the 30 parking facilities, there are exactly 1,988 active facility-days. Following session regularization onto the uniform 18-slot daytime schedule, each complete operating day yields exactly 18 - (6 + 2) + 1 = 11 sliding sequence windows. Because windows are strictly confined within single daytime operating sessions, exactly 1,988 x 11 = 21,868 valid temporal sequences are generated across the entire testbed.</w:t>
      </w:r>
    </w:p>
    <w:p>
      <w:pPr>
        <w:spacing w:before="0" w:after="100" w:line="276" w:lineRule="auto"/>
        <w:jc w:val="both"/>
      </w:pPr>
      <w:r>
        <w:rPr>
          <w:rFonts w:ascii="Times New Roman" w:hAnsi="Times New Roman"/>
          <w:sz w:val="22"/>
        </w:rPr>
        <w:t>Crucially, to prevent target overlap across evaluation partitions, an embargo / purge gap of one sequence window (g = 1) was enforced at the train/validation and validation/test boundaries per facility along each facility's active operational timeline. Formally, for a sequence window starting at time step t_k, the six input observations span [t_k, t_k+5], while the two forecast targets are located at relative indices y_30 = t_k+6 and y_60 = t_k+7. For each facility i generating N_i chronological sliding windows, the training partition spans indices [0, floor(0.70 N_i)), ending with window k = floor(0.70 N_i) - 1 whose final target is at t_k+7. The subsequent boundary transition window at index floor(0.70 N_i) (starting at t_{k+1}) is purged. Consequently, the first window of the subsequent validation partition begins at index floor(0.70 N_i) + 1 (starting at t_{k+2}), so its earliest forecast target y_30 occurs at relative index (t_k+2) + 6 = t_k+8. Because t_k+8 &gt; t_k+7, the latest target of the preceding partition strictly precedes the earliest target of the subsequent partition, mathematically eliminating label overlap between adjacent partitions. An identical purge gap is enforced at the validation/test boundary at index floor(0.85 N_i). Across all 30 clients, this produces exactly 15,299 training windows (70.15%), 3,246 validation windows (14.88%), and 3,263 unified test windows (14.96%), with exactly 60 boundary transition windows purged across the 21,868 total sliding sequences. The resulting test set exhibits a sample-weighted mean capacity of 1,396.8 bays.</w:t>
      </w:r>
    </w:p>
    <w:p>
      <w:pPr>
        <w:spacing w:before="0" w:after="100" w:line="276" w:lineRule="auto"/>
        <w:jc w:val="both"/>
      </w:pPr>
      <w:r>
        <w:rPr>
          <w:rFonts w:ascii="Times New Roman" w:hAnsi="Times New Roman"/>
          <w:sz w:val="22"/>
        </w:rPr>
        <w:t>Each input observation vector x_t in R^4 concatenates the continuous availability ratio a_t with cyclical diurnal hour embeddings and normalized day of the week:</w:t>
      </w:r>
    </w:p>
    <w:p>
      <w:pPr>
        <w:spacing w:before="80" w:after="80"/>
        <w:jc w:val="both"/>
      </w:pPr>
      <w:r>
        <w:rPr>
          <w:rFonts w:ascii="Times New Roman" w:hAnsi="Times New Roman"/>
          <w:i/>
          <w:sz w:val="22"/>
        </w:rPr>
        <w:tab/>
        <w:t>x_t = \left[ a_t, \; \sin\left(\frac{2\pi h_t}{24}\right), \; \cos\left(\frac{2\pi h_t}{24}\right), \; \frac{d_t}{7} \right]^T</w:t>
        <w:tab/>
      </w:r>
      <w:r>
        <w:rPr>
          <w:rFonts w:ascii="Times New Roman" w:hAnsi="Times New Roman"/>
          <w:sz w:val="22"/>
        </w:rPr>
        <w:t>(1)</w:t>
      </w:r>
    </w:p>
    <w:p>
      <w:pPr>
        <w:spacing w:before="0" w:after="100" w:line="276" w:lineRule="auto"/>
        <w:jc w:val="both"/>
      </w:pPr>
      <w:r>
        <w:rPr>
          <w:rFonts w:ascii="Times New Roman" w:hAnsi="Times New Roman"/>
          <w:sz w:val="22"/>
        </w:rPr>
        <w:t>where a_t in [0, 1] is the continuous availability ratio, h_t in [8.0, 16.5] is the daytime hour, and d_t in {0, ..., 6} represents the day of the week (normalized by 7.0).</w:t>
      </w:r>
    </w:p>
    <w:p>
      <w:pPr>
        <w:keepNext/>
        <w:spacing w:before="200" w:after="60"/>
      </w:pPr>
      <w:r>
        <w:rPr>
          <w:rFonts w:ascii="Times New Roman" w:hAnsi="Times New Roman"/>
          <w:b/>
          <w:color w:val="2F4F7F"/>
          <w:sz w:val="23"/>
        </w:rPr>
        <w:t>3.2.1 Data Leakage Audit and Empirical Sensitivity Analysis</w:t>
      </w:r>
    </w:p>
    <w:p>
      <w:pPr>
        <w:spacing w:before="0" w:after="100" w:line="276" w:lineRule="auto"/>
        <w:jc w:val="both"/>
      </w:pPr>
      <w:r>
        <w:rPr>
          <w:rFonts w:ascii="Times New Roman" w:hAnsi="Times New Roman"/>
          <w:sz w:val="22"/>
        </w:rPr>
        <w:t>A critical methodological consideration in IoT time series forecasting is evaluating the potential for predictive lookahead leakage. In our preprocessing pipeline, we institute three structural boundaries to control and mitigate temporal information contamination:</w:t>
      </w:r>
    </w:p>
    <w:p>
      <w:pPr>
        <w:pStyle w:val="ListParagraph"/>
        <w:spacing w:before="40" w:after="40"/>
      </w:pPr>
      <w:r>
        <w:rPr>
          <w:b/>
        </w:rPr>
        <w:t xml:space="preserve">1. Intra-Session Day Bounding: </w:t>
      </w:r>
      <w:r>
        <w:t>Linear time interpolation for missing daytime readings is executed strictly within each single calendar day between 08:00 and 16:30 using valid sensor readings on both sides of a gap. Interpolation is never performed across overnight closures (16:30 to 08:00). Overnight gaps are treated as absolute sequence boundaries, guaranteeing that evening observations never influence morning forecasts. However, an inherent limitation of bilateral interpolation is that it uses subsequent observations within the same calendar day to impute earlier missing slots; hence, within sparse daytime sessions, imputed features at step t theoretically incorporate within-day future readings that would not have been available in real-time streaming operations.</w:t>
      </w:r>
    </w:p>
    <w:p>
      <w:pPr>
        <w:pStyle w:val="ListParagraph"/>
        <w:spacing w:before="40" w:after="40"/>
      </w:pPr>
      <w:r>
        <w:rPr>
          <w:b/>
        </w:rPr>
        <w:t xml:space="preserve">2. Chronological Timeline Partitioning with Embargo Purge Gaps: </w:t>
      </w:r>
      <w:r>
        <w:t>To strictly isolate evaluation partitions, the 70% train, 15% validation, and 15% test split is executed chronologically along each facility's active operational timeline at the sequence-window level, separated by an embargo/purge gap (g = 1 sequence window) at each boundary. This ensures that the forecast targets of training windows (up to y_60 at t+7) never overlap with validation targets, and validation targets never overlap with test targets. Because training sequences strictly precede validation sequences, which strictly precede test sequences, no test-period data can influence model training or hyperparameter selection.</w:t>
      </w:r>
    </w:p>
    <w:p>
      <w:pPr>
        <w:pStyle w:val="ListParagraph"/>
        <w:spacing w:before="40" w:after="40"/>
      </w:pPr>
      <w:r>
        <w:rPr>
          <w:b/>
        </w:rPr>
        <w:t xml:space="preserve">3. Causal Sequence Directionality: </w:t>
      </w:r>
      <w:r>
        <w:t>Within each sliding sequence window (x_{t-5}, ..., x_t), input features reflect strictly past observations up to current time t, while forecast targets y_{t+1} (30-min ahead) and y_{t+2} (60-min ahead) reside strictly at future time steps.</w:t>
      </w:r>
    </w:p>
    <w:p>
      <w:pPr>
        <w:spacing w:before="0" w:after="100" w:line="276" w:lineRule="auto"/>
        <w:jc w:val="both"/>
      </w:pPr>
      <w:r>
        <w:rPr>
          <w:rFonts w:ascii="Times New Roman" w:hAnsi="Times New Roman"/>
          <w:sz w:val="22"/>
        </w:rPr>
        <w:t>To evaluate the practical empirical impact of intra-day interpolation on model performance, we audited all 3,263 purged test sequence windows across the 30 facilities. This forensic audit revealed that 2,781 test windows (85.2%) are completely uninterpolated—every single one of the 8 constituent time steps corresponds to an authentic, un-imputed physical sensor transmission. Only 482 windows (14.8%) contain one or more interpolated daytime slots. We conducted a sensitivity analysis evaluating model accuracy on the pure uninterpolated test subset versus the complete 3,263-window test set. Centralized Attention-LSTM achieved an MAE of 0.02196 (rounded to 0.0220) on the pure raw subset versus 0.02170 (rounded to 0.0217) on the full test set—an unrounded difference of +0.00026, or ~0.3 bays. Global FedAvg achieved an MAE of 0.1022 (0.102) on the pure raw subset versus 0.1006 (0.101) on the full test set (+0.0016 difference), while Personalized FedAvg achieved 0.0636 versus 0.0607, a difference of +0.0029. Similarly, Local Linear AR(4) achieved 0.0128 versus 0.0126. Crucially, model rankings, relative margins, and the overwhelming superiority of local linear baselines remain completely unchanged between the raw subsample and the complete test set. We emphasize that this empirical sensitivity analysis does not prove the complete absence of lookahead bias across imputed time steps. Rather, it provides strong empirical evidence that our core benchmark findings—namely, the superiority of local linear models, the under-training of FedAvg, and the relative recovery achieved via personalization—are robust, stable, and not artifacts of daytime linear interpolation.</w:t>
      </w:r>
    </w:p>
    <w:p>
      <w:pPr>
        <w:keepNext/>
        <w:spacing w:before="200" w:after="60"/>
      </w:pPr>
      <w:r>
        <w:rPr>
          <w:rFonts w:ascii="Times New Roman" w:hAnsi="Times New Roman"/>
          <w:b/>
          <w:color w:val="2F4F7F"/>
          <w:sz w:val="23"/>
        </w:rPr>
        <w:t>3.3 Model Architecture: A Lightweight Recurrent Backbone</w:t>
      </w:r>
    </w:p>
    <w:p>
      <w:pPr>
        <w:spacing w:before="0" w:after="100" w:line="276" w:lineRule="auto"/>
        <w:jc w:val="both"/>
      </w:pPr>
      <w:r>
        <w:rPr>
          <w:rFonts w:ascii="Times New Roman" w:hAnsi="Times New Roman"/>
          <w:sz w:val="22"/>
        </w:rPr>
        <w:t>We implement an Attention-Based Long Short-Term Memory (Attention-LSTM) network formulated as a lightweight, edge-compatible architecture. The recurrent backbone consists of a 2-layer LSTM [24] with hidden dimension d_h = 64. At each historical step t in {1, ..., L}, the LSTM computes hidden state h_t in R^{64} and cell state c_t in R^{64}.</w:t>
      </w:r>
    </w:p>
    <w:p>
      <w:pPr>
        <w:spacing w:before="0" w:after="100" w:line="276" w:lineRule="auto"/>
        <w:jc w:val="both"/>
      </w:pPr>
      <w:r>
        <w:rPr>
          <w:rFonts w:ascii="Times New Roman" w:hAnsi="Times New Roman"/>
          <w:sz w:val="22"/>
        </w:rPr>
        <w:t>To allow the network to selectively emphasize critical rapid-transition intervals (such as morning ingress spikes and evening departures), we integrate a temporal self-attention mechanism over the sequence of hidden representations. Alignment scores e_t in R for each historical time step t are computed via a two-layer feedforward projection with hyperbolic tangent activation:</w:t>
      </w:r>
    </w:p>
    <w:p>
      <w:pPr>
        <w:spacing w:before="80" w:after="80"/>
        <w:jc w:val="both"/>
      </w:pPr>
      <w:r>
        <w:rPr>
          <w:rFonts w:ascii="Times New Roman" w:hAnsi="Times New Roman"/>
          <w:i/>
          <w:sz w:val="22"/>
        </w:rPr>
        <w:tab/>
        <w:t>e_t = w_a^T \tanh(W_a h_t + b_a) + b_s</w:t>
        <w:tab/>
      </w:r>
      <w:r>
        <w:rPr>
          <w:rFonts w:ascii="Times New Roman" w:hAnsi="Times New Roman"/>
          <w:sz w:val="22"/>
        </w:rPr>
        <w:t>(2)</w:t>
      </w:r>
    </w:p>
    <w:p>
      <w:pPr>
        <w:spacing w:before="0" w:after="100" w:line="276" w:lineRule="auto"/>
        <w:jc w:val="both"/>
      </w:pPr>
      <w:r>
        <w:rPr>
          <w:rFonts w:ascii="Times New Roman" w:hAnsi="Times New Roman"/>
          <w:sz w:val="22"/>
        </w:rPr>
        <w:t>where W_a in R^{32 x 64}, b_a in R^{32}, w_a in R^{32}, and b_s in R (totaling 2,113 parameters). The scalar alignment scores e_t are normalized across all lookback time steps using a softmax operator to yield attention weights \alpha_t:</w:t>
      </w:r>
    </w:p>
    <w:p>
      <w:pPr>
        <w:spacing w:before="80" w:after="80"/>
        <w:jc w:val="both"/>
      </w:pPr>
      <w:r>
        <w:rPr>
          <w:rFonts w:ascii="Times New Roman" w:hAnsi="Times New Roman"/>
          <w:i/>
          <w:sz w:val="22"/>
        </w:rPr>
        <w:tab/>
        <w:t>\alpha_t = \frac{\exp(e_t)}{\sum_{\tau=1}^L \exp(e_\tau)}, \quad \sum_{t=1}^L \alpha_t = 1</w:t>
        <w:tab/>
      </w:r>
      <w:r>
        <w:rPr>
          <w:rFonts w:ascii="Times New Roman" w:hAnsi="Times New Roman"/>
          <w:sz w:val="22"/>
        </w:rPr>
        <w:t>(3)</w:t>
      </w:r>
    </w:p>
    <w:p>
      <w:pPr>
        <w:spacing w:before="0" w:after="100" w:line="276" w:lineRule="auto"/>
        <w:jc w:val="both"/>
      </w:pPr>
      <w:r>
        <w:rPr>
          <w:rFonts w:ascii="Times New Roman" w:hAnsi="Times New Roman"/>
          <w:sz w:val="22"/>
        </w:rPr>
        <w:t>The dynamic temporal context vector c in R^{64} is computed as the attention-weighted linear sum of all historical hidden states:</w:t>
      </w:r>
    </w:p>
    <w:p>
      <w:pPr>
        <w:spacing w:before="80" w:after="80"/>
        <w:jc w:val="both"/>
      </w:pPr>
      <w:r>
        <w:rPr>
          <w:rFonts w:ascii="Times New Roman" w:hAnsi="Times New Roman"/>
          <w:i/>
          <w:sz w:val="22"/>
        </w:rPr>
        <w:tab/>
        <w:t>c = \sum_{t=1}^L \alpha_t h_t</w:t>
        <w:tab/>
      </w:r>
      <w:r>
        <w:rPr>
          <w:rFonts w:ascii="Times New Roman" w:hAnsi="Times New Roman"/>
          <w:sz w:val="22"/>
        </w:rPr>
        <w:t>(4)</w:t>
      </w:r>
    </w:p>
    <w:p>
      <w:pPr>
        <w:spacing w:before="0" w:after="100" w:line="276" w:lineRule="auto"/>
        <w:jc w:val="both"/>
      </w:pPr>
      <w:r>
        <w:rPr>
          <w:rFonts w:ascii="Times New Roman" w:hAnsi="Times New Roman"/>
          <w:sz w:val="22"/>
        </w:rPr>
        <w:t>The context vector is concatenated with the final hidden state [c; h_L] in R^{128} and projected through a multi-layer perceptron (MLP) output head consisting of a dense linear layer (128 -&gt; 32 units), ReLU activation, dropout (p = 0.2), a second linear projection (32 -&gt; 1 unit), and a final sigmoid activation to enforce availability ratio bounds in [0, 1]:</w:t>
      </w:r>
    </w:p>
    <w:p>
      <w:pPr>
        <w:spacing w:before="80" w:after="80"/>
        <w:jc w:val="both"/>
      </w:pPr>
      <w:r>
        <w:rPr>
          <w:rFonts w:ascii="Times New Roman" w:hAnsi="Times New Roman"/>
          <w:i/>
          <w:sz w:val="22"/>
        </w:rPr>
        <w:tab/>
        <w:t>z = \text{ReLU}(W_1 [c; h_L] + b_1), \quad \hat{y} = \sigma(w_2^T z + b_2)</w:t>
        <w:tab/>
      </w:r>
      <w:r>
        <w:rPr>
          <w:rFonts w:ascii="Times New Roman" w:hAnsi="Times New Roman"/>
          <w:sz w:val="22"/>
        </w:rPr>
        <w:t>(5)</w:t>
      </w:r>
    </w:p>
    <w:p>
      <w:pPr>
        <w:spacing w:before="0" w:after="100" w:line="276" w:lineRule="auto"/>
        <w:jc w:val="both"/>
      </w:pPr>
      <w:r>
        <w:rPr>
          <w:rFonts w:ascii="Times New Roman" w:hAnsi="Times New Roman"/>
          <w:sz w:val="22"/>
        </w:rPr>
        <w:t>where W_1 in R^{32 x 128}, b_1 in R^{32}, w_2 in R^{32}, and b_2 in R. Across the 2-layer LSTM backbone (51,200 parameters), the temporal attention mechanism (2,113 parameters), and the output MLP head (4,161 parameters), the Attention-LSTM network contains exactly 57,474 trainable float32 parameters, corresponding to exactly 229,896 bytes (224.51 KiB in binary units, or 229.90 KB in decimal units).</w:t>
      </w:r>
    </w:p>
    <w:p>
      <w:pPr>
        <w:jc w:val="center"/>
      </w:pPr>
      <w:r>
        <w:drawing>
          <wp:inline xmlns:a="http://schemas.openxmlformats.org/drawingml/2006/main" xmlns:pic="http://schemas.openxmlformats.org/drawingml/2006/picture">
            <wp:extent cx="5669280" cy="3049025"/>
            <wp:docPr id="1" name="Picture 1"/>
            <wp:cNvGraphicFramePr>
              <a:graphicFrameLocks noChangeAspect="1"/>
            </wp:cNvGraphicFramePr>
            <a:graphic>
              <a:graphicData uri="http://schemas.openxmlformats.org/drawingml/2006/picture">
                <pic:pic>
                  <pic:nvPicPr>
                    <pic:cNvPr id="0" name="fig_architecture.png"/>
                    <pic:cNvPicPr/>
                  </pic:nvPicPr>
                  <pic:blipFill>
                    <a:blip r:embed="rId9"/>
                    <a:stretch>
                      <a:fillRect/>
                    </a:stretch>
                  </pic:blipFill>
                  <pic:spPr>
                    <a:xfrm>
                      <a:off x="0" y="0"/>
                      <a:ext cx="5669280" cy="3049025"/>
                    </a:xfrm>
                    <a:prstGeom prst="rect"/>
                  </pic:spPr>
                </pic:pic>
              </a:graphicData>
            </a:graphic>
          </wp:inline>
        </w:drawing>
      </w:r>
    </w:p>
    <w:p>
      <w:pPr>
        <w:spacing w:before="120" w:after="80"/>
        <w:jc w:val="center"/>
      </w:pPr>
      <w:r>
        <w:rPr>
          <w:rFonts w:ascii="Times New Roman" w:hAnsi="Times New Roman"/>
          <w:b/>
          <w:sz w:val="19"/>
        </w:rPr>
        <w:t xml:space="preserve">Figure </w:t>
      </w:r>
      <w:r>
        <w:rPr>
          <w:rFonts w:ascii="Times New Roman" w:hAnsi="Times New Roman"/>
          <w:i w:val="0"/>
          <w:sz w:val="19"/>
        </w:rPr>
        <w:t>1. Architecture of the Federated Attention-LSTM Framework across 30 Heterogeneous Municipal Parking Lots.</w:t>
      </w:r>
    </w:p>
    <w:p>
      <w:pPr>
        <w:keepNext/>
        <w:spacing w:before="200" w:after="60"/>
      </w:pPr>
      <w:r>
        <w:rPr>
          <w:rFonts w:ascii="Times New Roman" w:hAnsi="Times New Roman"/>
          <w:b/>
          <w:color w:val="2F4F7F"/>
          <w:sz w:val="23"/>
        </w:rPr>
        <w:t>3.4 The Baseline Hierarchy: Constructing the Personalization Ladder</w:t>
      </w:r>
    </w:p>
    <w:p>
      <w:pPr>
        <w:spacing w:before="0" w:after="100" w:line="276" w:lineRule="auto"/>
        <w:jc w:val="both"/>
      </w:pPr>
      <w:r>
        <w:rPr>
          <w:rFonts w:ascii="Times New Roman" w:hAnsi="Times New Roman"/>
          <w:sz w:val="22"/>
        </w:rPr>
        <w:t>To rigorously assess when federation adds value, we implement the complete baseline hierarchy:</w:t>
      </w:r>
    </w:p>
    <w:p>
      <w:pPr>
        <w:pStyle w:val="ListParagraph"/>
        <w:spacing w:before="40" w:after="40"/>
      </w:pPr>
      <w:r>
        <w:rPr>
          <w:b/>
        </w:rPr>
        <w:t xml:space="preserve">1. Zero-Parameter Persistence Baseline: </w:t>
      </w:r>
      <w:r>
        <w:t>Predicts that availability at horizon t+h equals the current observed availability: y_hat_{t+h} = a_t. Requires zero training, zero compute, and zero communication, establishing the fundamental operational floor.</w:t>
      </w:r>
    </w:p>
    <w:p>
      <w:pPr>
        <w:pStyle w:val="ListParagraph"/>
        <w:spacing w:before="40" w:after="40"/>
      </w:pPr>
      <w:r>
        <w:rPr>
          <w:b/>
        </w:rPr>
        <w:t xml:space="preserve">2. Local-Only Linear AR(4) Baseline (Local Isolation): </w:t>
      </w:r>
      <w:r>
        <w:t>Each client independently fits an autoregressive linear ridge regression model on its own past 4 availability observations (a_{t-3}, ..., a_t) plus an intercept term (5 fitted parameters per facility). Employs strictly local data with zero cross-lot communication, eliminating cross-facility data sharing, avoiding centralized exposure of raw telemetry, and incurring zero infrastructure overhead.</w:t>
      </w:r>
    </w:p>
    <w:p>
      <w:pPr>
        <w:pStyle w:val="ListParagraph"/>
        <w:spacing w:before="40" w:after="40"/>
      </w:pPr>
      <w:r>
        <w:rPr>
          <w:b/>
        </w:rPr>
        <w:t xml:space="preserve">3. Pooled Centralized Linear AR(4) Baseline: </w:t>
      </w:r>
      <w:r>
        <w:t>A single global 5-parameter linear autoregressive model (4 lag coefficients plus intercept) trained across all pooled multi-lot training observations.</w:t>
      </w:r>
    </w:p>
    <w:p>
      <w:pPr>
        <w:pStyle w:val="ListParagraph"/>
        <w:spacing w:before="40" w:after="40"/>
      </w:pPr>
      <w:r>
        <w:rPr>
          <w:b/>
        </w:rPr>
        <w:t xml:space="preserve">4. Centralized Gradient Boosted Trees (XGBoost): </w:t>
      </w:r>
      <w:r>
        <w:t>An ensemble of gradient boosted regression trees [4] trained on flattened lookback feature vectors across the pooled multi-lot dataset (100 estimators, max depth 5, learning rate 0.05).</w:t>
      </w:r>
    </w:p>
    <w:p>
      <w:pPr>
        <w:pStyle w:val="ListParagraph"/>
        <w:spacing w:before="40" w:after="40"/>
      </w:pPr>
      <w:r>
        <w:rPr>
          <w:b/>
        </w:rPr>
        <w:t xml:space="preserve">5. Centralized Standard LSTM &amp; Attention-LSTM: </w:t>
      </w:r>
      <w:r>
        <w:t>Deep recurrent architectures trained centrally for 30 epochs on 15,299 pooled sequences using Adam optimization (learning rate 0.001, batch size 32).</w:t>
      </w:r>
    </w:p>
    <w:p>
      <w:pPr>
        <w:pStyle w:val="ListParagraph"/>
        <w:spacing w:before="40" w:after="40"/>
      </w:pPr>
      <w:r>
        <w:rPr>
          <w:b/>
        </w:rPr>
        <w:t xml:space="preserve">6. Global Federated Averaging (FedAvg): </w:t>
      </w:r>
      <w:r>
        <w:t>Decentralized training across 30 clients coordinated over R = 8 communication rounds. In each round, all clients train locally for E = 2 epochs on private data (batch size B = 32, Adam learning rate 0.001). The central server aggregates updates using sample-weighted FedAvg [7].</w:t>
      </w:r>
    </w:p>
    <w:p>
      <w:pPr>
        <w:pStyle w:val="ListParagraph"/>
        <w:spacing w:before="40" w:after="40"/>
      </w:pPr>
      <w:r>
        <w:rPr>
          <w:b/>
        </w:rPr>
        <w:t xml:space="preserve">7. IID-Shuffled Federated Control: </w:t>
      </w:r>
      <w:r>
        <w:t>To isolate under-training from non-IID drift, the combined multi-lot training set is randomly partitioned into 30 uniform IID client slices, trained under identical parameters (R = 8, E = 2, B = 32).</w:t>
      </w:r>
    </w:p>
    <w:p>
      <w:pPr>
        <w:pStyle w:val="ListParagraph"/>
        <w:spacing w:before="40" w:after="40"/>
      </w:pPr>
      <w:r>
        <w:rPr>
          <w:b/>
        </w:rPr>
        <w:t xml:space="preserve">8. Advanced Federated Paradigms (FedProx &amp; FedPer): </w:t>
      </w:r>
      <w:r>
        <w:t>We evaluate FedProx [19] with proximal constraint weight mu = 0.01, and FedPer [21] where the Attention-LSTM representation is federated while the classification head is maintained as private local parameters.</w:t>
      </w:r>
    </w:p>
    <w:p>
      <w:pPr>
        <w:pStyle w:val="ListParagraph"/>
        <w:spacing w:before="40" w:after="80"/>
      </w:pPr>
      <w:r>
        <w:rPr>
          <w:b/>
        </w:rPr>
        <w:t xml:space="preserve">9. Personalized FedAvg (Local Adaptation): </w:t>
      </w:r>
      <w:r>
        <w:t>Each client takes the aggregated global FedAvg model at round 8 and performs localized fine-tuning on its private training partition for 3 epochs using a reduced learning rate eta_{ft} = 0.0003, adapting weights to lot-specific baseline occupancies.</w:t>
      </w:r>
    </w:p>
    <w:p>
      <w:pPr>
        <w:keepNext/>
        <w:spacing w:before="200" w:after="60"/>
      </w:pPr>
      <w:r>
        <w:rPr>
          <w:rFonts w:ascii="Times New Roman" w:hAnsi="Times New Roman"/>
          <w:b/>
          <w:color w:val="2F4F7F"/>
          <w:sz w:val="23"/>
        </w:rPr>
        <w:t>3.5 Compute Parity Audit: Disentangling Under-Training from Heterogeneity</w:t>
      </w:r>
    </w:p>
    <w:p>
      <w:pPr>
        <w:spacing w:before="0" w:after="100" w:line="276" w:lineRule="auto"/>
        <w:jc w:val="both"/>
      </w:pPr>
      <w:r>
        <w:rPr>
          <w:rFonts w:ascii="Times New Roman" w:hAnsi="Times New Roman"/>
          <w:sz w:val="22"/>
        </w:rPr>
        <w:t>A critical consideration in interpreting federated empirical benchmarks is the disparity in cumulative gradient steps between centralized and federated configurations. In our setup, the centralized Attention-LSTM is trained for 30 epochs on 15,299 pooled sequences with batch size 32, executing exactly 30 x ceil(15,299 / 32) = 30 x 479 = 14,370 Adam gradient updates. In contrast, under standard FedAvg with R = 8 rounds and E = 2 local epochs, a client with an average dataset of approximately 510 training sequences (15,299 / 30 = 509.97) executes ceil(510 / 32) = 16 batches per epoch, yielding 32 gradient steps per round and a cumulative total of approximately 256 local Adam updates per client across the entire training process.</w:t>
      </w:r>
    </w:p>
    <w:p>
      <w:pPr>
        <w:spacing w:before="0" w:after="100" w:line="276" w:lineRule="auto"/>
        <w:jc w:val="both"/>
      </w:pPr>
      <w:r>
        <w:rPr>
          <w:rFonts w:ascii="Times New Roman" w:hAnsi="Times New Roman"/>
          <w:sz w:val="22"/>
        </w:rPr>
        <w:t>Thus, each federated client executes barely 1.78% of the gradient updates performed by the centralized model. While the IID-shuffled control experiment demonstrates that non-IID statistical heterogeneity accounts for 35.8% of the initial gap between FedAvg and centralized models, the remaining 64.2% residual deficit is strongly consistent with optimization under-training under communication round constraints. We emphasize that this 64.2% figure represents an experimental decomposition under our benchmarking assumptions rather than a definitive causal proof; establishing conclusive causality would require extended round scaling up to strict gradient-step parity with centralized models. Because FedAvg test error continues to improve gradually when communication rounds are extended from R = 8 to R = 16 (falling from 0.1006 to 0.0978), strict round limits impose substantial optimization friction on decentralized convergence.</w:t>
      </w:r>
    </w:p>
    <w:p>
      <w:pPr>
        <w:keepNext/>
        <w:spacing w:before="280" w:after="80"/>
      </w:pPr>
      <w:r>
        <w:rPr>
          <w:rFonts w:ascii="Times New Roman" w:hAnsi="Times New Roman"/>
          <w:b/>
          <w:color w:val="1F3864"/>
          <w:sz w:val="26"/>
        </w:rPr>
        <w:t>4. Experimental Results</w:t>
      </w:r>
    </w:p>
    <w:p>
      <w:pPr>
        <w:keepNext/>
        <w:spacing w:before="200" w:after="60"/>
      </w:pPr>
      <w:r>
        <w:rPr>
          <w:rFonts w:ascii="Times New Roman" w:hAnsi="Times New Roman"/>
          <w:b/>
          <w:color w:val="2F4F7F"/>
          <w:sz w:val="23"/>
        </w:rPr>
        <w:t>4.1 Comprehensive Multi-Horizon Benchmark</w:t>
      </w:r>
    </w:p>
    <w:p>
      <w:pPr>
        <w:spacing w:before="0" w:after="100" w:line="276" w:lineRule="auto"/>
        <w:jc w:val="both"/>
      </w:pPr>
      <w:r>
        <w:rPr>
          <w:rFonts w:ascii="Times New Roman" w:hAnsi="Times New Roman"/>
          <w:sz w:val="22"/>
        </w:rPr>
        <w:t>All eight forecasting paradigms were evaluated on the 3,263 unified test sequences across all 30 parking facilities. Evaluation metrics include Pooled Mean Absolute Error (Micro MAE), Pooled Root Mean Squared Error (Micro RMSE), Macro Mean MAE (unweighted average across lots), Between-Lot Standard Deviation (sigma), and Mean Physical Space Error (in bays). Physical space error is computed by scaling prediction residuals against each facility's true nominal capacity C_i: e_{space} = |y_t - \hat{y}_t| x C_i. Table 2 presents the complete benchmark across both 30-minute and 60-minute lookahead horizons.</w:t>
      </w:r>
    </w:p>
    <w:p>
      <w:pPr>
        <w:spacing w:before="120" w:after="80"/>
        <w:jc w:val="center"/>
      </w:pPr>
      <w:r>
        <w:rPr>
          <w:rFonts w:ascii="Times New Roman" w:hAnsi="Times New Roman"/>
          <w:b/>
          <w:sz w:val="19"/>
        </w:rPr>
        <w:t xml:space="preserve">Table </w:t>
      </w:r>
      <w:r>
        <w:rPr>
          <w:rFonts w:ascii="Times New Roman" w:hAnsi="Times New Roman"/>
          <w:i w:val="0"/>
          <w:sz w:val="19"/>
        </w:rPr>
        <w:t>2. Comprehensive Multi-Horizon Smart Parking Benchmark across 30 Heterogeneous Facilities (3,263 Unified Test Windows with Embargo Purge Gaps; Evaluated under Primary Benchmark Protocol, Seed = 42, B = 32).</w:t>
      </w:r>
    </w:p>
    <w:tbl>
      <w:tblPr>
        <w:tblW w:type="auto" w:w="0"/>
        <w:jc w:val="center"/>
        <w:tblLook w:firstColumn="1" w:firstRow="1" w:lastColumn="0" w:lastRow="0" w:noHBand="0" w:noVBand="1" w:val="04A0"/>
        <w:tblBorders>
          <w:top w:val="single" w:sz="8" w:space="0" w:color="1F3864"/>
          <w:bottom w:val="single" w:sz="8" w:space="0" w:color="1F3864"/>
          <w:left w:val="none"/>
          <w:right w:val="none"/>
          <w:insideH w:val="single" w:sz="4" w:space="0" w:color="CBD5E1"/>
          <w:insideV w:val="none"/>
        </w:tblBorders>
      </w:tblPr>
      <w:tblGrid>
        <w:gridCol w:w="1290"/>
        <w:gridCol w:w="1290"/>
        <w:gridCol w:w="1290"/>
        <w:gridCol w:w="1290"/>
        <w:gridCol w:w="1290"/>
        <w:gridCol w:w="1290"/>
        <w:gridCol w:w="1290"/>
      </w:tblGrid>
      <w:tr>
        <w:tc>
          <w:tcPr>
            <w:tcW w:type="dxa" w:w="1290"/>
            <w:shd w:fill="1F3864"/>
            <w:tcMar>
              <w:top w:w="100" w:type="dxa"/>
              <w:bottom w:w="100" w:type="dxa"/>
              <w:left w:w="100" w:type="dxa"/>
              <w:right w:w="100" w:type="dxa"/>
            </w:tcMar>
          </w:tcPr>
          <w:p>
            <w:pPr>
              <w:jc w:val="center"/>
            </w:pPr>
            <w:r>
              <w:rPr>
                <w:b/>
                <w:color w:val="FFFFFF"/>
                <w:sz w:val="17"/>
              </w:rPr>
              <w:t>Horizon</w:t>
            </w:r>
          </w:p>
        </w:tc>
        <w:tc>
          <w:tcPr>
            <w:tcW w:type="dxa" w:w="1290"/>
            <w:shd w:fill="1F3864"/>
            <w:tcMar>
              <w:top w:w="100" w:type="dxa"/>
              <w:bottom w:w="100" w:type="dxa"/>
              <w:left w:w="100" w:type="dxa"/>
              <w:right w:w="100" w:type="dxa"/>
            </w:tcMar>
          </w:tcPr>
          <w:p>
            <w:pPr>
              <w:jc w:val="center"/>
            </w:pPr>
            <w:r>
              <w:rPr>
                <w:b/>
                <w:color w:val="FFFFFF"/>
                <w:sz w:val="17"/>
              </w:rPr>
              <w:t>Forecasting Model</w:t>
            </w:r>
          </w:p>
        </w:tc>
        <w:tc>
          <w:tcPr>
            <w:tcW w:type="dxa" w:w="1290"/>
            <w:shd w:fill="1F3864"/>
            <w:tcMar>
              <w:top w:w="100" w:type="dxa"/>
              <w:bottom w:w="100" w:type="dxa"/>
              <w:left w:w="100" w:type="dxa"/>
              <w:right w:w="100" w:type="dxa"/>
            </w:tcMar>
          </w:tcPr>
          <w:p>
            <w:pPr>
              <w:jc w:val="center"/>
            </w:pPr>
            <w:r>
              <w:rPr>
                <w:b/>
                <w:color w:val="FFFFFF"/>
                <w:sz w:val="17"/>
              </w:rPr>
              <w:t>Pooled MAE (Micro)</w:t>
            </w:r>
          </w:p>
        </w:tc>
        <w:tc>
          <w:tcPr>
            <w:tcW w:type="dxa" w:w="1290"/>
            <w:shd w:fill="1F3864"/>
            <w:tcMar>
              <w:top w:w="100" w:type="dxa"/>
              <w:bottom w:w="100" w:type="dxa"/>
              <w:left w:w="100" w:type="dxa"/>
              <w:right w:w="100" w:type="dxa"/>
            </w:tcMar>
          </w:tcPr>
          <w:p>
            <w:pPr>
              <w:jc w:val="center"/>
            </w:pPr>
            <w:r>
              <w:rPr>
                <w:b/>
                <w:color w:val="FFFFFF"/>
                <w:sz w:val="17"/>
              </w:rPr>
              <w:t>Pooled RMSE</w:t>
            </w:r>
          </w:p>
        </w:tc>
        <w:tc>
          <w:tcPr>
            <w:tcW w:type="dxa" w:w="1290"/>
            <w:shd w:fill="1F3864"/>
            <w:tcMar>
              <w:top w:w="100" w:type="dxa"/>
              <w:bottom w:w="100" w:type="dxa"/>
              <w:left w:w="100" w:type="dxa"/>
              <w:right w:w="100" w:type="dxa"/>
            </w:tcMar>
          </w:tcPr>
          <w:p>
            <w:pPr>
              <w:jc w:val="center"/>
            </w:pPr>
            <w:r>
              <w:rPr>
                <w:b/>
                <w:color w:val="FFFFFF"/>
                <w:sz w:val="17"/>
              </w:rPr>
              <w:t>Macro MAE</w:t>
            </w:r>
          </w:p>
        </w:tc>
        <w:tc>
          <w:tcPr>
            <w:tcW w:type="dxa" w:w="1290"/>
            <w:shd w:fill="1F3864"/>
            <w:tcMar>
              <w:top w:w="100" w:type="dxa"/>
              <w:bottom w:w="100" w:type="dxa"/>
              <w:left w:w="100" w:type="dxa"/>
              <w:right w:w="100" w:type="dxa"/>
            </w:tcMar>
          </w:tcPr>
          <w:p>
            <w:pPr>
              <w:jc w:val="center"/>
            </w:pPr>
            <w:r>
              <w:rPr>
                <w:b/>
                <w:color w:val="FFFFFF"/>
                <w:sz w:val="17"/>
              </w:rPr>
              <w:t>Between-Lot Std (sigma)</w:t>
            </w:r>
          </w:p>
        </w:tc>
        <w:tc>
          <w:tcPr>
            <w:tcW w:type="dxa" w:w="1290"/>
            <w:shd w:fill="1F3864"/>
            <w:tcMar>
              <w:top w:w="100" w:type="dxa"/>
              <w:bottom w:w="100" w:type="dxa"/>
              <w:left w:w="100" w:type="dxa"/>
              <w:right w:w="100" w:type="dxa"/>
            </w:tcMar>
          </w:tcPr>
          <w:p>
            <w:pPr>
              <w:jc w:val="center"/>
            </w:pPr>
            <w:r>
              <w:rPr>
                <w:b/>
                <w:color w:val="FFFFFF"/>
                <w:sz w:val="17"/>
              </w:rPr>
              <w:t>Mean Space Error (bays)</w:t>
            </w:r>
          </w:p>
        </w:tc>
      </w:tr>
      <w:tr>
        <w:tc>
          <w:tcPr>
            <w:tcW w:type="dxa" w:w="1290"/>
            <w:shd w:fill="FFFFFF"/>
            <w:tcMar>
              <w:top w:w="60" w:type="dxa"/>
              <w:bottom w:w="60" w:type="dxa"/>
              <w:left w:w="80" w:type="dxa"/>
              <w:right w:w="80" w:type="dxa"/>
            </w:tcMar>
          </w:tcPr>
          <w:p>
            <w:pPr>
              <w:jc w:val="center"/>
            </w:pPr>
            <w:r>
              <w:rPr>
                <w:b/>
                <w:sz w:val="16"/>
              </w:rPr>
              <w:t>30-Min (y_30)</w:t>
            </w:r>
          </w:p>
        </w:tc>
        <w:tc>
          <w:tcPr>
            <w:tcW w:type="dxa" w:w="1290"/>
            <w:shd w:fill="FFFFFF"/>
            <w:tcMar>
              <w:top w:w="60" w:type="dxa"/>
              <w:bottom w:w="60" w:type="dxa"/>
              <w:left w:w="80" w:type="dxa"/>
              <w:right w:w="80" w:type="dxa"/>
            </w:tcMar>
          </w:tcPr>
          <w:p>
            <w:pPr>
              <w:jc w:val="left"/>
            </w:pPr>
            <w:r>
              <w:rPr>
                <w:b/>
                <w:sz w:val="16"/>
              </w:rPr>
              <w:t>Persistence Baseline (y_hat = a_t)</w:t>
            </w:r>
          </w:p>
        </w:tc>
        <w:tc>
          <w:tcPr>
            <w:tcW w:type="dxa" w:w="1290"/>
            <w:shd w:fill="FFFFFF"/>
            <w:tcMar>
              <w:top w:w="60" w:type="dxa"/>
              <w:bottom w:w="60" w:type="dxa"/>
              <w:left w:w="80" w:type="dxa"/>
              <w:right w:w="80" w:type="dxa"/>
            </w:tcMar>
          </w:tcPr>
          <w:p>
            <w:pPr>
              <w:jc w:val="center"/>
            </w:pPr>
            <w:r>
              <w:rPr>
                <w:b/>
                <w:sz w:val="16"/>
              </w:rPr>
              <w:t>0.0256</w:t>
            </w:r>
          </w:p>
        </w:tc>
        <w:tc>
          <w:tcPr>
            <w:tcW w:type="dxa" w:w="1290"/>
            <w:shd w:fill="FFFFFF"/>
            <w:tcMar>
              <w:top w:w="60" w:type="dxa"/>
              <w:bottom w:w="60" w:type="dxa"/>
              <w:left w:w="80" w:type="dxa"/>
              <w:right w:w="80" w:type="dxa"/>
            </w:tcMar>
          </w:tcPr>
          <w:p>
            <w:pPr>
              <w:jc w:val="center"/>
            </w:pPr>
            <w:r>
              <w:rPr>
                <w:b/>
                <w:sz w:val="16"/>
              </w:rPr>
              <w:t>0.0386</w:t>
            </w:r>
          </w:p>
        </w:tc>
        <w:tc>
          <w:tcPr>
            <w:tcW w:type="dxa" w:w="1290"/>
            <w:shd w:fill="FFFFFF"/>
            <w:tcMar>
              <w:top w:w="60" w:type="dxa"/>
              <w:bottom w:w="60" w:type="dxa"/>
              <w:left w:w="80" w:type="dxa"/>
              <w:right w:w="80" w:type="dxa"/>
            </w:tcMar>
          </w:tcPr>
          <w:p>
            <w:pPr>
              <w:jc w:val="center"/>
            </w:pPr>
            <w:r>
              <w:rPr>
                <w:b/>
                <w:sz w:val="16"/>
              </w:rPr>
              <w:t>0.0249</w:t>
            </w:r>
          </w:p>
        </w:tc>
        <w:tc>
          <w:tcPr>
            <w:tcW w:type="dxa" w:w="1290"/>
            <w:shd w:fill="FFFFFF"/>
            <w:tcMar>
              <w:top w:w="60" w:type="dxa"/>
              <w:bottom w:w="60" w:type="dxa"/>
              <w:left w:w="80" w:type="dxa"/>
              <w:right w:w="80" w:type="dxa"/>
            </w:tcMar>
          </w:tcPr>
          <w:p>
            <w:pPr>
              <w:jc w:val="center"/>
            </w:pPr>
            <w:r>
              <w:rPr>
                <w:b/>
                <w:sz w:val="16"/>
              </w:rPr>
              <w:t>0.0134</w:t>
            </w:r>
          </w:p>
        </w:tc>
        <w:tc>
          <w:tcPr>
            <w:tcW w:type="dxa" w:w="1290"/>
            <w:shd w:fill="FFFFFF"/>
            <w:tcMar>
              <w:top w:w="60" w:type="dxa"/>
              <w:bottom w:w="60" w:type="dxa"/>
              <w:left w:w="80" w:type="dxa"/>
              <w:right w:w="80" w:type="dxa"/>
            </w:tcMar>
          </w:tcPr>
          <w:p>
            <w:pPr>
              <w:jc w:val="center"/>
            </w:pPr>
            <w:r>
              <w:rPr>
                <w:b/>
                <w:sz w:val="16"/>
              </w:rPr>
              <w:t>33.4</w:t>
            </w:r>
          </w:p>
        </w:tc>
      </w:tr>
      <w:tr>
        <w:tc>
          <w:tcPr>
            <w:tcW w:type="dxa" w:w="1290"/>
            <w:shd w:fill="F1F5F9"/>
            <w:tcMar>
              <w:top w:w="60" w:type="dxa"/>
              <w:bottom w:w="60" w:type="dxa"/>
              <w:left w:w="80" w:type="dxa"/>
              <w:right w:w="80" w:type="dxa"/>
            </w:tcMar>
          </w:tcPr>
          <w:p>
            <w:pPr>
              <w:jc w:val="center"/>
            </w:pPr>
            <w:r>
              <w:rPr>
                <w:b/>
                <w:sz w:val="16"/>
              </w:rPr>
            </w:r>
          </w:p>
        </w:tc>
        <w:tc>
          <w:tcPr>
            <w:tcW w:type="dxa" w:w="1290"/>
            <w:shd w:fill="F1F5F9"/>
            <w:tcMar>
              <w:top w:w="60" w:type="dxa"/>
              <w:bottom w:w="60" w:type="dxa"/>
              <w:left w:w="80" w:type="dxa"/>
              <w:right w:w="80" w:type="dxa"/>
            </w:tcMar>
          </w:tcPr>
          <w:p>
            <w:pPr>
              <w:jc w:val="left"/>
            </w:pPr>
            <w:r>
              <w:rPr>
                <w:b/>
                <w:sz w:val="16"/>
              </w:rPr>
              <w:t>Local-Only Linear AR(4) (Local isolation)</w:t>
            </w:r>
          </w:p>
        </w:tc>
        <w:tc>
          <w:tcPr>
            <w:tcW w:type="dxa" w:w="1290"/>
            <w:shd w:fill="F1F5F9"/>
            <w:tcMar>
              <w:top w:w="60" w:type="dxa"/>
              <w:bottom w:w="60" w:type="dxa"/>
              <w:left w:w="80" w:type="dxa"/>
              <w:right w:w="80" w:type="dxa"/>
            </w:tcMar>
          </w:tcPr>
          <w:p>
            <w:pPr>
              <w:jc w:val="center"/>
            </w:pPr>
            <w:r>
              <w:rPr>
                <w:b/>
                <w:sz w:val="16"/>
              </w:rPr>
              <w:t>0.0126</w:t>
            </w:r>
          </w:p>
        </w:tc>
        <w:tc>
          <w:tcPr>
            <w:tcW w:type="dxa" w:w="1290"/>
            <w:shd w:fill="F1F5F9"/>
            <w:tcMar>
              <w:top w:w="60" w:type="dxa"/>
              <w:bottom w:w="60" w:type="dxa"/>
              <w:left w:w="80" w:type="dxa"/>
              <w:right w:w="80" w:type="dxa"/>
            </w:tcMar>
          </w:tcPr>
          <w:p>
            <w:pPr>
              <w:jc w:val="center"/>
            </w:pPr>
            <w:r>
              <w:rPr>
                <w:b/>
                <w:sz w:val="16"/>
              </w:rPr>
              <w:t>0.0179</w:t>
            </w:r>
          </w:p>
        </w:tc>
        <w:tc>
          <w:tcPr>
            <w:tcW w:type="dxa" w:w="1290"/>
            <w:shd w:fill="F1F5F9"/>
            <w:tcMar>
              <w:top w:w="60" w:type="dxa"/>
              <w:bottom w:w="60" w:type="dxa"/>
              <w:left w:w="80" w:type="dxa"/>
              <w:right w:w="80" w:type="dxa"/>
            </w:tcMar>
          </w:tcPr>
          <w:p>
            <w:pPr>
              <w:jc w:val="center"/>
            </w:pPr>
            <w:r>
              <w:rPr>
                <w:b/>
                <w:sz w:val="16"/>
              </w:rPr>
              <w:t>0.0125</w:t>
            </w:r>
          </w:p>
        </w:tc>
        <w:tc>
          <w:tcPr>
            <w:tcW w:type="dxa" w:w="1290"/>
            <w:shd w:fill="F1F5F9"/>
            <w:tcMar>
              <w:top w:w="60" w:type="dxa"/>
              <w:bottom w:w="60" w:type="dxa"/>
              <w:left w:w="80" w:type="dxa"/>
              <w:right w:w="80" w:type="dxa"/>
            </w:tcMar>
          </w:tcPr>
          <w:p>
            <w:pPr>
              <w:jc w:val="center"/>
            </w:pPr>
            <w:r>
              <w:rPr>
                <w:b/>
                <w:sz w:val="16"/>
              </w:rPr>
              <w:t>0.0049</w:t>
            </w:r>
          </w:p>
        </w:tc>
        <w:tc>
          <w:tcPr>
            <w:tcW w:type="dxa" w:w="1290"/>
            <w:shd w:fill="F1F5F9"/>
            <w:tcMar>
              <w:top w:w="60" w:type="dxa"/>
              <w:bottom w:w="60" w:type="dxa"/>
              <w:left w:w="80" w:type="dxa"/>
              <w:right w:w="80" w:type="dxa"/>
            </w:tcMar>
          </w:tcPr>
          <w:p>
            <w:pPr>
              <w:jc w:val="center"/>
            </w:pPr>
            <w:r>
              <w:rPr>
                <w:b/>
                <w:sz w:val="16"/>
              </w:rPr>
              <w:t>13.9</w:t>
            </w:r>
          </w:p>
        </w:tc>
      </w:tr>
      <w:tr>
        <w:tc>
          <w:tcPr>
            <w:tcW w:type="dxa" w:w="1290"/>
            <w:shd w:fill="FFFFFF"/>
            <w:tcMar>
              <w:top w:w="60" w:type="dxa"/>
              <w:bottom w:w="60" w:type="dxa"/>
              <w:left w:w="80" w:type="dxa"/>
              <w:right w:w="80" w:type="dxa"/>
            </w:tcMar>
          </w:tcPr>
          <w:p>
            <w:pPr>
              <w:jc w:val="center"/>
            </w:pPr>
            <w:r>
              <w:rPr>
                <w:sz w:val="16"/>
              </w:rPr>
            </w:r>
          </w:p>
        </w:tc>
        <w:tc>
          <w:tcPr>
            <w:tcW w:type="dxa" w:w="1290"/>
            <w:shd w:fill="FFFFFF"/>
            <w:tcMar>
              <w:top w:w="60" w:type="dxa"/>
              <w:bottom w:w="60" w:type="dxa"/>
              <w:left w:w="80" w:type="dxa"/>
              <w:right w:w="80" w:type="dxa"/>
            </w:tcMar>
          </w:tcPr>
          <w:p>
            <w:pPr>
              <w:jc w:val="left"/>
            </w:pPr>
            <w:r>
              <w:rPr>
                <w:sz w:val="16"/>
              </w:rPr>
              <w:t>Pooled Linear AR(4) (Centralized)</w:t>
            </w:r>
          </w:p>
        </w:tc>
        <w:tc>
          <w:tcPr>
            <w:tcW w:type="dxa" w:w="1290"/>
            <w:shd w:fill="FFFFFF"/>
            <w:tcMar>
              <w:top w:w="60" w:type="dxa"/>
              <w:bottom w:w="60" w:type="dxa"/>
              <w:left w:w="80" w:type="dxa"/>
              <w:right w:w="80" w:type="dxa"/>
            </w:tcMar>
          </w:tcPr>
          <w:p>
            <w:pPr>
              <w:jc w:val="center"/>
            </w:pPr>
            <w:r>
              <w:rPr>
                <w:sz w:val="16"/>
              </w:rPr>
              <w:t>0.0129</w:t>
            </w:r>
          </w:p>
        </w:tc>
        <w:tc>
          <w:tcPr>
            <w:tcW w:type="dxa" w:w="1290"/>
            <w:shd w:fill="FFFFFF"/>
            <w:tcMar>
              <w:top w:w="60" w:type="dxa"/>
              <w:bottom w:w="60" w:type="dxa"/>
              <w:left w:w="80" w:type="dxa"/>
              <w:right w:w="80" w:type="dxa"/>
            </w:tcMar>
          </w:tcPr>
          <w:p>
            <w:pPr>
              <w:jc w:val="center"/>
            </w:pPr>
            <w:r>
              <w:rPr>
                <w:sz w:val="16"/>
              </w:rPr>
              <w:t>0.0189</w:t>
            </w:r>
          </w:p>
        </w:tc>
        <w:tc>
          <w:tcPr>
            <w:tcW w:type="dxa" w:w="1290"/>
            <w:shd w:fill="FFFFFF"/>
            <w:tcMar>
              <w:top w:w="60" w:type="dxa"/>
              <w:bottom w:w="60" w:type="dxa"/>
              <w:left w:w="80" w:type="dxa"/>
              <w:right w:w="80" w:type="dxa"/>
            </w:tcMar>
          </w:tcPr>
          <w:p>
            <w:pPr>
              <w:jc w:val="center"/>
            </w:pPr>
            <w:r>
              <w:rPr>
                <w:sz w:val="16"/>
              </w:rPr>
              <w:t>0.0130</w:t>
            </w:r>
          </w:p>
        </w:tc>
        <w:tc>
          <w:tcPr>
            <w:tcW w:type="dxa" w:w="1290"/>
            <w:shd w:fill="FFFFFF"/>
            <w:tcMar>
              <w:top w:w="60" w:type="dxa"/>
              <w:bottom w:w="60" w:type="dxa"/>
              <w:left w:w="80" w:type="dxa"/>
              <w:right w:w="80" w:type="dxa"/>
            </w:tcMar>
          </w:tcPr>
          <w:p>
            <w:pPr>
              <w:jc w:val="center"/>
            </w:pPr>
            <w:r>
              <w:rPr>
                <w:sz w:val="16"/>
              </w:rPr>
              <w:t>0.0049</w:t>
            </w:r>
          </w:p>
        </w:tc>
        <w:tc>
          <w:tcPr>
            <w:tcW w:type="dxa" w:w="1290"/>
            <w:shd w:fill="FFFFFF"/>
            <w:tcMar>
              <w:top w:w="60" w:type="dxa"/>
              <w:bottom w:w="60" w:type="dxa"/>
              <w:left w:w="80" w:type="dxa"/>
              <w:right w:w="80" w:type="dxa"/>
            </w:tcMar>
          </w:tcPr>
          <w:p>
            <w:pPr>
              <w:jc w:val="center"/>
            </w:pPr>
            <w:r>
              <w:rPr>
                <w:sz w:val="16"/>
              </w:rPr>
              <w:t>14.7</w:t>
            </w:r>
          </w:p>
        </w:tc>
      </w:tr>
      <w:tr>
        <w:tc>
          <w:tcPr>
            <w:tcW w:type="dxa" w:w="1290"/>
            <w:shd w:fill="F8FAFC"/>
            <w:tcMar>
              <w:top w:w="60" w:type="dxa"/>
              <w:bottom w:w="60" w:type="dxa"/>
              <w:left w:w="80" w:type="dxa"/>
              <w:right w:w="80" w:type="dxa"/>
            </w:tcMar>
          </w:tcPr>
          <w:p>
            <w:pPr>
              <w:jc w:val="center"/>
            </w:pPr>
            <w:r>
              <w:rPr>
                <w:sz w:val="16"/>
              </w:rPr>
            </w:r>
          </w:p>
        </w:tc>
        <w:tc>
          <w:tcPr>
            <w:tcW w:type="dxa" w:w="1290"/>
            <w:shd w:fill="F8FAFC"/>
            <w:tcMar>
              <w:top w:w="60" w:type="dxa"/>
              <w:bottom w:w="60" w:type="dxa"/>
              <w:left w:w="80" w:type="dxa"/>
              <w:right w:w="80" w:type="dxa"/>
            </w:tcMar>
          </w:tcPr>
          <w:p>
            <w:pPr>
              <w:jc w:val="left"/>
            </w:pPr>
            <w:r>
              <w:rPr>
                <w:sz w:val="16"/>
              </w:rPr>
              <w:t>Centralized XGBoost [4]</w:t>
            </w:r>
          </w:p>
        </w:tc>
        <w:tc>
          <w:tcPr>
            <w:tcW w:type="dxa" w:w="1290"/>
            <w:shd w:fill="F8FAFC"/>
            <w:tcMar>
              <w:top w:w="60" w:type="dxa"/>
              <w:bottom w:w="60" w:type="dxa"/>
              <w:left w:w="80" w:type="dxa"/>
              <w:right w:w="80" w:type="dxa"/>
            </w:tcMar>
          </w:tcPr>
          <w:p>
            <w:pPr>
              <w:jc w:val="center"/>
            </w:pPr>
            <w:r>
              <w:rPr>
                <w:sz w:val="16"/>
              </w:rPr>
              <w:t>0.0145</w:t>
            </w:r>
          </w:p>
        </w:tc>
        <w:tc>
          <w:tcPr>
            <w:tcW w:type="dxa" w:w="1290"/>
            <w:shd w:fill="F8FAFC"/>
            <w:tcMar>
              <w:top w:w="60" w:type="dxa"/>
              <w:bottom w:w="60" w:type="dxa"/>
              <w:left w:w="80" w:type="dxa"/>
              <w:right w:w="80" w:type="dxa"/>
            </w:tcMar>
          </w:tcPr>
          <w:p>
            <w:pPr>
              <w:jc w:val="center"/>
            </w:pPr>
            <w:r>
              <w:rPr>
                <w:sz w:val="16"/>
              </w:rPr>
              <w:t>0.0201</w:t>
            </w:r>
          </w:p>
        </w:tc>
        <w:tc>
          <w:tcPr>
            <w:tcW w:type="dxa" w:w="1290"/>
            <w:shd w:fill="F8FAFC"/>
            <w:tcMar>
              <w:top w:w="60" w:type="dxa"/>
              <w:bottom w:w="60" w:type="dxa"/>
              <w:left w:w="80" w:type="dxa"/>
              <w:right w:w="80" w:type="dxa"/>
            </w:tcMar>
          </w:tcPr>
          <w:p>
            <w:pPr>
              <w:jc w:val="center"/>
            </w:pPr>
            <w:r>
              <w:rPr>
                <w:sz w:val="16"/>
              </w:rPr>
              <w:t>0.0152</w:t>
            </w:r>
          </w:p>
        </w:tc>
        <w:tc>
          <w:tcPr>
            <w:tcW w:type="dxa" w:w="1290"/>
            <w:shd w:fill="F8FAFC"/>
            <w:tcMar>
              <w:top w:w="60" w:type="dxa"/>
              <w:bottom w:w="60" w:type="dxa"/>
              <w:left w:w="80" w:type="dxa"/>
              <w:right w:w="80" w:type="dxa"/>
            </w:tcMar>
          </w:tcPr>
          <w:p>
            <w:pPr>
              <w:jc w:val="center"/>
            </w:pPr>
            <w:r>
              <w:rPr>
                <w:sz w:val="16"/>
              </w:rPr>
              <w:t>0.0057</w:t>
            </w:r>
          </w:p>
        </w:tc>
        <w:tc>
          <w:tcPr>
            <w:tcW w:type="dxa" w:w="1290"/>
            <w:shd w:fill="F8FAFC"/>
            <w:tcMar>
              <w:top w:w="60" w:type="dxa"/>
              <w:bottom w:w="60" w:type="dxa"/>
              <w:left w:w="80" w:type="dxa"/>
              <w:right w:w="80" w:type="dxa"/>
            </w:tcMar>
          </w:tcPr>
          <w:p>
            <w:pPr>
              <w:jc w:val="center"/>
            </w:pPr>
            <w:r>
              <w:rPr>
                <w:sz w:val="16"/>
              </w:rPr>
              <w:t>17.5</w:t>
            </w:r>
          </w:p>
        </w:tc>
      </w:tr>
      <w:tr>
        <w:tc>
          <w:tcPr>
            <w:tcW w:type="dxa" w:w="1290"/>
            <w:shd w:fill="FFFFFF"/>
            <w:tcMar>
              <w:top w:w="60" w:type="dxa"/>
              <w:bottom w:w="60" w:type="dxa"/>
              <w:left w:w="80" w:type="dxa"/>
              <w:right w:w="80" w:type="dxa"/>
            </w:tcMar>
          </w:tcPr>
          <w:p>
            <w:pPr>
              <w:jc w:val="center"/>
            </w:pPr>
            <w:r>
              <w:rPr>
                <w:sz w:val="16"/>
              </w:rPr>
            </w:r>
          </w:p>
        </w:tc>
        <w:tc>
          <w:tcPr>
            <w:tcW w:type="dxa" w:w="1290"/>
            <w:shd w:fill="FFFFFF"/>
            <w:tcMar>
              <w:top w:w="60" w:type="dxa"/>
              <w:bottom w:w="60" w:type="dxa"/>
              <w:left w:w="80" w:type="dxa"/>
              <w:right w:w="80" w:type="dxa"/>
            </w:tcMar>
          </w:tcPr>
          <w:p>
            <w:pPr>
              <w:jc w:val="left"/>
            </w:pPr>
            <w:r>
              <w:rPr>
                <w:sz w:val="16"/>
              </w:rPr>
              <w:t>Centralized Standard LSTM [24]</w:t>
            </w:r>
          </w:p>
        </w:tc>
        <w:tc>
          <w:tcPr>
            <w:tcW w:type="dxa" w:w="1290"/>
            <w:shd w:fill="FFFFFF"/>
            <w:tcMar>
              <w:top w:w="60" w:type="dxa"/>
              <w:bottom w:w="60" w:type="dxa"/>
              <w:left w:w="80" w:type="dxa"/>
              <w:right w:w="80" w:type="dxa"/>
            </w:tcMar>
          </w:tcPr>
          <w:p>
            <w:pPr>
              <w:jc w:val="center"/>
            </w:pPr>
            <w:r>
              <w:rPr>
                <w:sz w:val="16"/>
              </w:rPr>
              <w:t>0.0218</w:t>
            </w:r>
          </w:p>
        </w:tc>
        <w:tc>
          <w:tcPr>
            <w:tcW w:type="dxa" w:w="1290"/>
            <w:shd w:fill="FFFFFF"/>
            <w:tcMar>
              <w:top w:w="60" w:type="dxa"/>
              <w:bottom w:w="60" w:type="dxa"/>
              <w:left w:w="80" w:type="dxa"/>
              <w:right w:w="80" w:type="dxa"/>
            </w:tcMar>
          </w:tcPr>
          <w:p>
            <w:pPr>
              <w:jc w:val="center"/>
            </w:pPr>
            <w:r>
              <w:rPr>
                <w:sz w:val="16"/>
              </w:rPr>
              <w:t>0.0300</w:t>
            </w:r>
          </w:p>
        </w:tc>
        <w:tc>
          <w:tcPr>
            <w:tcW w:type="dxa" w:w="1290"/>
            <w:shd w:fill="FFFFFF"/>
            <w:tcMar>
              <w:top w:w="60" w:type="dxa"/>
              <w:bottom w:w="60" w:type="dxa"/>
              <w:left w:w="80" w:type="dxa"/>
              <w:right w:w="80" w:type="dxa"/>
            </w:tcMar>
          </w:tcPr>
          <w:p>
            <w:pPr>
              <w:jc w:val="center"/>
            </w:pPr>
            <w:r>
              <w:rPr>
                <w:sz w:val="16"/>
              </w:rPr>
              <w:t>0.0232</w:t>
            </w:r>
          </w:p>
        </w:tc>
        <w:tc>
          <w:tcPr>
            <w:tcW w:type="dxa" w:w="1290"/>
            <w:shd w:fill="FFFFFF"/>
            <w:tcMar>
              <w:top w:w="60" w:type="dxa"/>
              <w:bottom w:w="60" w:type="dxa"/>
              <w:left w:w="80" w:type="dxa"/>
              <w:right w:w="80" w:type="dxa"/>
            </w:tcMar>
          </w:tcPr>
          <w:p>
            <w:pPr>
              <w:jc w:val="center"/>
            </w:pPr>
            <w:r>
              <w:rPr>
                <w:sz w:val="16"/>
              </w:rPr>
              <w:t>0.0129</w:t>
            </w:r>
          </w:p>
        </w:tc>
        <w:tc>
          <w:tcPr>
            <w:tcW w:type="dxa" w:w="1290"/>
            <w:shd w:fill="FFFFFF"/>
            <w:tcMar>
              <w:top w:w="60" w:type="dxa"/>
              <w:bottom w:w="60" w:type="dxa"/>
              <w:left w:w="80" w:type="dxa"/>
              <w:right w:w="80" w:type="dxa"/>
            </w:tcMar>
          </w:tcPr>
          <w:p>
            <w:pPr>
              <w:jc w:val="center"/>
            </w:pPr>
            <w:r>
              <w:rPr>
                <w:sz w:val="16"/>
              </w:rPr>
              <w:t>25.2</w:t>
            </w:r>
          </w:p>
        </w:tc>
      </w:tr>
      <w:tr>
        <w:tc>
          <w:tcPr>
            <w:tcW w:type="dxa" w:w="1290"/>
            <w:shd w:fill="F8FAFC"/>
            <w:tcMar>
              <w:top w:w="60" w:type="dxa"/>
              <w:bottom w:w="60" w:type="dxa"/>
              <w:left w:w="80" w:type="dxa"/>
              <w:right w:w="80" w:type="dxa"/>
            </w:tcMar>
          </w:tcPr>
          <w:p>
            <w:pPr>
              <w:jc w:val="center"/>
            </w:pPr>
            <w:r>
              <w:rPr>
                <w:sz w:val="16"/>
              </w:rPr>
            </w:r>
          </w:p>
        </w:tc>
        <w:tc>
          <w:tcPr>
            <w:tcW w:type="dxa" w:w="1290"/>
            <w:shd w:fill="F8FAFC"/>
            <w:tcMar>
              <w:top w:w="60" w:type="dxa"/>
              <w:bottom w:w="60" w:type="dxa"/>
              <w:left w:w="80" w:type="dxa"/>
              <w:right w:w="80" w:type="dxa"/>
            </w:tcMar>
          </w:tcPr>
          <w:p>
            <w:pPr>
              <w:jc w:val="left"/>
            </w:pPr>
            <w:r>
              <w:rPr>
                <w:sz w:val="16"/>
              </w:rPr>
              <w:t>Centralized Attention-LSTM [5]</w:t>
            </w:r>
          </w:p>
        </w:tc>
        <w:tc>
          <w:tcPr>
            <w:tcW w:type="dxa" w:w="1290"/>
            <w:shd w:fill="F8FAFC"/>
            <w:tcMar>
              <w:top w:w="60" w:type="dxa"/>
              <w:bottom w:w="60" w:type="dxa"/>
              <w:left w:w="80" w:type="dxa"/>
              <w:right w:w="80" w:type="dxa"/>
            </w:tcMar>
          </w:tcPr>
          <w:p>
            <w:pPr>
              <w:jc w:val="center"/>
            </w:pPr>
            <w:r>
              <w:rPr>
                <w:sz w:val="16"/>
              </w:rPr>
              <w:t>0.0217</w:t>
            </w:r>
          </w:p>
        </w:tc>
        <w:tc>
          <w:tcPr>
            <w:tcW w:type="dxa" w:w="1290"/>
            <w:shd w:fill="F8FAFC"/>
            <w:tcMar>
              <w:top w:w="60" w:type="dxa"/>
              <w:bottom w:w="60" w:type="dxa"/>
              <w:left w:w="80" w:type="dxa"/>
              <w:right w:w="80" w:type="dxa"/>
            </w:tcMar>
          </w:tcPr>
          <w:p>
            <w:pPr>
              <w:jc w:val="center"/>
            </w:pPr>
            <w:r>
              <w:rPr>
                <w:sz w:val="16"/>
              </w:rPr>
              <w:t>0.0285</w:t>
            </w:r>
          </w:p>
        </w:tc>
        <w:tc>
          <w:tcPr>
            <w:tcW w:type="dxa" w:w="1290"/>
            <w:shd w:fill="F8FAFC"/>
            <w:tcMar>
              <w:top w:w="60" w:type="dxa"/>
              <w:bottom w:w="60" w:type="dxa"/>
              <w:left w:w="80" w:type="dxa"/>
              <w:right w:w="80" w:type="dxa"/>
            </w:tcMar>
          </w:tcPr>
          <w:p>
            <w:pPr>
              <w:jc w:val="center"/>
            </w:pPr>
            <w:r>
              <w:rPr>
                <w:sz w:val="16"/>
              </w:rPr>
              <w:t>0.0230</w:t>
            </w:r>
          </w:p>
        </w:tc>
        <w:tc>
          <w:tcPr>
            <w:tcW w:type="dxa" w:w="1290"/>
            <w:shd w:fill="F8FAFC"/>
            <w:tcMar>
              <w:top w:w="60" w:type="dxa"/>
              <w:bottom w:w="60" w:type="dxa"/>
              <w:left w:w="80" w:type="dxa"/>
              <w:right w:w="80" w:type="dxa"/>
            </w:tcMar>
          </w:tcPr>
          <w:p>
            <w:pPr>
              <w:jc w:val="center"/>
            </w:pPr>
            <w:r>
              <w:rPr>
                <w:sz w:val="16"/>
              </w:rPr>
              <w:t>0.0109</w:t>
            </w:r>
          </w:p>
        </w:tc>
        <w:tc>
          <w:tcPr>
            <w:tcW w:type="dxa" w:w="1290"/>
            <w:shd w:fill="F8FAFC"/>
            <w:tcMar>
              <w:top w:w="60" w:type="dxa"/>
              <w:bottom w:w="60" w:type="dxa"/>
              <w:left w:w="80" w:type="dxa"/>
              <w:right w:w="80" w:type="dxa"/>
            </w:tcMar>
          </w:tcPr>
          <w:p>
            <w:pPr>
              <w:jc w:val="center"/>
            </w:pPr>
            <w:r>
              <w:rPr>
                <w:sz w:val="16"/>
              </w:rPr>
              <w:t>26.9</w:t>
            </w:r>
          </w:p>
        </w:tc>
      </w:tr>
      <w:tr>
        <w:tc>
          <w:tcPr>
            <w:tcW w:type="dxa" w:w="1290"/>
            <w:shd w:fill="FFFFFF"/>
            <w:tcMar>
              <w:top w:w="60" w:type="dxa"/>
              <w:bottom w:w="60" w:type="dxa"/>
              <w:left w:w="80" w:type="dxa"/>
              <w:right w:w="80" w:type="dxa"/>
            </w:tcMar>
          </w:tcPr>
          <w:p>
            <w:pPr>
              <w:jc w:val="center"/>
            </w:pPr>
            <w:r>
              <w:rPr>
                <w:sz w:val="16"/>
              </w:rPr>
            </w:r>
          </w:p>
        </w:tc>
        <w:tc>
          <w:tcPr>
            <w:tcW w:type="dxa" w:w="1290"/>
            <w:shd w:fill="FFFFFF"/>
            <w:tcMar>
              <w:top w:w="60" w:type="dxa"/>
              <w:bottom w:w="60" w:type="dxa"/>
              <w:left w:w="80" w:type="dxa"/>
              <w:right w:w="80" w:type="dxa"/>
            </w:tcMar>
          </w:tcPr>
          <w:p>
            <w:pPr>
              <w:jc w:val="left"/>
            </w:pPr>
            <w:r>
              <w:rPr>
                <w:sz w:val="16"/>
              </w:rPr>
              <w:t>Global FedAvg (R=8, B=32) [7]</w:t>
            </w:r>
          </w:p>
        </w:tc>
        <w:tc>
          <w:tcPr>
            <w:tcW w:type="dxa" w:w="1290"/>
            <w:shd w:fill="FFFFFF"/>
            <w:tcMar>
              <w:top w:w="60" w:type="dxa"/>
              <w:bottom w:w="60" w:type="dxa"/>
              <w:left w:w="80" w:type="dxa"/>
              <w:right w:w="80" w:type="dxa"/>
            </w:tcMar>
          </w:tcPr>
          <w:p>
            <w:pPr>
              <w:jc w:val="center"/>
            </w:pPr>
            <w:r>
              <w:rPr>
                <w:sz w:val="16"/>
              </w:rPr>
              <w:t>0.1006</w:t>
            </w:r>
          </w:p>
        </w:tc>
        <w:tc>
          <w:tcPr>
            <w:tcW w:type="dxa" w:w="1290"/>
            <w:shd w:fill="FFFFFF"/>
            <w:tcMar>
              <w:top w:w="60" w:type="dxa"/>
              <w:bottom w:w="60" w:type="dxa"/>
              <w:left w:w="80" w:type="dxa"/>
              <w:right w:w="80" w:type="dxa"/>
            </w:tcMar>
          </w:tcPr>
          <w:p>
            <w:pPr>
              <w:jc w:val="center"/>
            </w:pPr>
            <w:r>
              <w:rPr>
                <w:sz w:val="16"/>
              </w:rPr>
              <w:t>0.1309</w:t>
            </w:r>
          </w:p>
        </w:tc>
        <w:tc>
          <w:tcPr>
            <w:tcW w:type="dxa" w:w="1290"/>
            <w:shd w:fill="FFFFFF"/>
            <w:tcMar>
              <w:top w:w="60" w:type="dxa"/>
              <w:bottom w:w="60" w:type="dxa"/>
              <w:left w:w="80" w:type="dxa"/>
              <w:right w:w="80" w:type="dxa"/>
            </w:tcMar>
          </w:tcPr>
          <w:p>
            <w:pPr>
              <w:jc w:val="center"/>
            </w:pPr>
            <w:r>
              <w:rPr>
                <w:sz w:val="16"/>
              </w:rPr>
              <w:t>0.1030</w:t>
            </w:r>
          </w:p>
        </w:tc>
        <w:tc>
          <w:tcPr>
            <w:tcW w:type="dxa" w:w="1290"/>
            <w:shd w:fill="FFFFFF"/>
            <w:tcMar>
              <w:top w:w="60" w:type="dxa"/>
              <w:bottom w:w="60" w:type="dxa"/>
              <w:left w:w="80" w:type="dxa"/>
              <w:right w:w="80" w:type="dxa"/>
            </w:tcMar>
          </w:tcPr>
          <w:p>
            <w:pPr>
              <w:jc w:val="center"/>
            </w:pPr>
            <w:r>
              <w:rPr>
                <w:sz w:val="16"/>
              </w:rPr>
              <w:t>0.0534</w:t>
            </w:r>
          </w:p>
        </w:tc>
        <w:tc>
          <w:tcPr>
            <w:tcW w:type="dxa" w:w="1290"/>
            <w:shd w:fill="FFFFFF"/>
            <w:tcMar>
              <w:top w:w="60" w:type="dxa"/>
              <w:bottom w:w="60" w:type="dxa"/>
              <w:left w:w="80" w:type="dxa"/>
              <w:right w:w="80" w:type="dxa"/>
            </w:tcMar>
          </w:tcPr>
          <w:p>
            <w:pPr>
              <w:jc w:val="center"/>
            </w:pPr>
            <w:r>
              <w:rPr>
                <w:sz w:val="16"/>
              </w:rPr>
              <w:t>126.8</w:t>
            </w:r>
          </w:p>
        </w:tc>
      </w:tr>
      <w:tr>
        <w:tc>
          <w:tcPr>
            <w:tcW w:type="dxa" w:w="1290"/>
            <w:shd w:fill="F1F5F9"/>
            <w:tcMar>
              <w:top w:w="60" w:type="dxa"/>
              <w:bottom w:w="60" w:type="dxa"/>
              <w:left w:w="80" w:type="dxa"/>
              <w:right w:w="80" w:type="dxa"/>
            </w:tcMar>
          </w:tcPr>
          <w:p>
            <w:pPr>
              <w:jc w:val="center"/>
            </w:pPr>
            <w:r>
              <w:rPr>
                <w:b/>
                <w:sz w:val="16"/>
              </w:rPr>
            </w:r>
          </w:p>
        </w:tc>
        <w:tc>
          <w:tcPr>
            <w:tcW w:type="dxa" w:w="1290"/>
            <w:shd w:fill="F1F5F9"/>
            <w:tcMar>
              <w:top w:w="60" w:type="dxa"/>
              <w:bottom w:w="60" w:type="dxa"/>
              <w:left w:w="80" w:type="dxa"/>
              <w:right w:w="80" w:type="dxa"/>
            </w:tcMar>
          </w:tcPr>
          <w:p>
            <w:pPr>
              <w:jc w:val="left"/>
            </w:pPr>
            <w:r>
              <w:rPr>
                <w:b/>
                <w:sz w:val="16"/>
              </w:rPr>
              <w:t>Personalized FedAvg (Ours)</w:t>
            </w:r>
          </w:p>
        </w:tc>
        <w:tc>
          <w:tcPr>
            <w:tcW w:type="dxa" w:w="1290"/>
            <w:shd w:fill="F1F5F9"/>
            <w:tcMar>
              <w:top w:w="60" w:type="dxa"/>
              <w:bottom w:w="60" w:type="dxa"/>
              <w:left w:w="80" w:type="dxa"/>
              <w:right w:w="80" w:type="dxa"/>
            </w:tcMar>
          </w:tcPr>
          <w:p>
            <w:pPr>
              <w:jc w:val="center"/>
            </w:pPr>
            <w:r>
              <w:rPr>
                <w:b/>
                <w:sz w:val="16"/>
              </w:rPr>
              <w:t>0.0607</w:t>
            </w:r>
          </w:p>
        </w:tc>
        <w:tc>
          <w:tcPr>
            <w:tcW w:type="dxa" w:w="1290"/>
            <w:shd w:fill="F1F5F9"/>
            <w:tcMar>
              <w:top w:w="60" w:type="dxa"/>
              <w:bottom w:w="60" w:type="dxa"/>
              <w:left w:w="80" w:type="dxa"/>
              <w:right w:w="80" w:type="dxa"/>
            </w:tcMar>
          </w:tcPr>
          <w:p>
            <w:pPr>
              <w:jc w:val="center"/>
            </w:pPr>
            <w:r>
              <w:rPr>
                <w:b/>
                <w:sz w:val="16"/>
              </w:rPr>
              <w:t>0.0818</w:t>
            </w:r>
          </w:p>
        </w:tc>
        <w:tc>
          <w:tcPr>
            <w:tcW w:type="dxa" w:w="1290"/>
            <w:shd w:fill="F1F5F9"/>
            <w:tcMar>
              <w:top w:w="60" w:type="dxa"/>
              <w:bottom w:w="60" w:type="dxa"/>
              <w:left w:w="80" w:type="dxa"/>
              <w:right w:w="80" w:type="dxa"/>
            </w:tcMar>
          </w:tcPr>
          <w:p>
            <w:pPr>
              <w:jc w:val="center"/>
            </w:pPr>
            <w:r>
              <w:rPr>
                <w:b/>
                <w:sz w:val="16"/>
              </w:rPr>
              <w:t>0.0627</w:t>
            </w:r>
          </w:p>
        </w:tc>
        <w:tc>
          <w:tcPr>
            <w:tcW w:type="dxa" w:w="1290"/>
            <w:shd w:fill="F1F5F9"/>
            <w:tcMar>
              <w:top w:w="60" w:type="dxa"/>
              <w:bottom w:w="60" w:type="dxa"/>
              <w:left w:w="80" w:type="dxa"/>
              <w:right w:w="80" w:type="dxa"/>
            </w:tcMar>
          </w:tcPr>
          <w:p>
            <w:pPr>
              <w:jc w:val="center"/>
            </w:pPr>
            <w:r>
              <w:rPr>
                <w:b/>
                <w:sz w:val="16"/>
              </w:rPr>
              <w:t>0.0279</w:t>
            </w:r>
          </w:p>
        </w:tc>
        <w:tc>
          <w:tcPr>
            <w:tcW w:type="dxa" w:w="1290"/>
            <w:shd w:fill="F1F5F9"/>
            <w:tcMar>
              <w:top w:w="60" w:type="dxa"/>
              <w:bottom w:w="60" w:type="dxa"/>
              <w:left w:w="80" w:type="dxa"/>
              <w:right w:w="80" w:type="dxa"/>
            </w:tcMar>
          </w:tcPr>
          <w:p>
            <w:pPr>
              <w:jc w:val="center"/>
            </w:pPr>
            <w:r>
              <w:rPr>
                <w:b/>
                <w:sz w:val="16"/>
              </w:rPr>
              <w:t>73.2</w:t>
            </w:r>
          </w:p>
        </w:tc>
      </w:tr>
      <w:tr>
        <w:tc>
          <w:tcPr>
            <w:tcW w:type="dxa" w:w="1290"/>
            <w:shd w:fill="FFFFFF"/>
            <w:tcMar>
              <w:top w:w="60" w:type="dxa"/>
              <w:bottom w:w="60" w:type="dxa"/>
              <w:left w:w="80" w:type="dxa"/>
              <w:right w:w="80" w:type="dxa"/>
            </w:tcMar>
          </w:tcPr>
          <w:p>
            <w:pPr>
              <w:jc w:val="center"/>
            </w:pPr>
            <w:r>
              <w:rPr>
                <w:b/>
                <w:sz w:val="16"/>
              </w:rPr>
              <w:t>60-Min (y_60)</w:t>
            </w:r>
          </w:p>
        </w:tc>
        <w:tc>
          <w:tcPr>
            <w:tcW w:type="dxa" w:w="1290"/>
            <w:shd w:fill="FFFFFF"/>
            <w:tcMar>
              <w:top w:w="60" w:type="dxa"/>
              <w:bottom w:w="60" w:type="dxa"/>
              <w:left w:w="80" w:type="dxa"/>
              <w:right w:w="80" w:type="dxa"/>
            </w:tcMar>
          </w:tcPr>
          <w:p>
            <w:pPr>
              <w:jc w:val="left"/>
            </w:pPr>
            <w:r>
              <w:rPr>
                <w:b/>
                <w:sz w:val="16"/>
              </w:rPr>
              <w:t>Persistence Baseline (y_hat = a_t)</w:t>
            </w:r>
          </w:p>
        </w:tc>
        <w:tc>
          <w:tcPr>
            <w:tcW w:type="dxa" w:w="1290"/>
            <w:shd w:fill="FFFFFF"/>
            <w:tcMar>
              <w:top w:w="60" w:type="dxa"/>
              <w:bottom w:w="60" w:type="dxa"/>
              <w:left w:w="80" w:type="dxa"/>
              <w:right w:w="80" w:type="dxa"/>
            </w:tcMar>
          </w:tcPr>
          <w:p>
            <w:pPr>
              <w:jc w:val="center"/>
            </w:pPr>
            <w:r>
              <w:rPr>
                <w:b/>
                <w:sz w:val="16"/>
              </w:rPr>
              <w:t>0.0492</w:t>
            </w:r>
          </w:p>
        </w:tc>
        <w:tc>
          <w:tcPr>
            <w:tcW w:type="dxa" w:w="1290"/>
            <w:shd w:fill="FFFFFF"/>
            <w:tcMar>
              <w:top w:w="60" w:type="dxa"/>
              <w:bottom w:w="60" w:type="dxa"/>
              <w:left w:w="80" w:type="dxa"/>
              <w:right w:w="80" w:type="dxa"/>
            </w:tcMar>
          </w:tcPr>
          <w:p>
            <w:pPr>
              <w:jc w:val="center"/>
            </w:pPr>
            <w:r>
              <w:rPr>
                <w:b/>
                <w:sz w:val="16"/>
              </w:rPr>
              <w:t>0.0715</w:t>
            </w:r>
          </w:p>
        </w:tc>
        <w:tc>
          <w:tcPr>
            <w:tcW w:type="dxa" w:w="1290"/>
            <w:shd w:fill="FFFFFF"/>
            <w:tcMar>
              <w:top w:w="60" w:type="dxa"/>
              <w:bottom w:w="60" w:type="dxa"/>
              <w:left w:w="80" w:type="dxa"/>
              <w:right w:w="80" w:type="dxa"/>
            </w:tcMar>
          </w:tcPr>
          <w:p>
            <w:pPr>
              <w:jc w:val="center"/>
            </w:pPr>
            <w:r>
              <w:rPr>
                <w:b/>
                <w:sz w:val="16"/>
              </w:rPr>
              <w:t>0.0477</w:t>
            </w:r>
          </w:p>
        </w:tc>
        <w:tc>
          <w:tcPr>
            <w:tcW w:type="dxa" w:w="1290"/>
            <w:shd w:fill="FFFFFF"/>
            <w:tcMar>
              <w:top w:w="60" w:type="dxa"/>
              <w:bottom w:w="60" w:type="dxa"/>
              <w:left w:w="80" w:type="dxa"/>
              <w:right w:w="80" w:type="dxa"/>
            </w:tcMar>
          </w:tcPr>
          <w:p>
            <w:pPr>
              <w:jc w:val="center"/>
            </w:pPr>
            <w:r>
              <w:rPr>
                <w:b/>
                <w:sz w:val="16"/>
              </w:rPr>
              <w:t>0.0250</w:t>
            </w:r>
          </w:p>
        </w:tc>
        <w:tc>
          <w:tcPr>
            <w:tcW w:type="dxa" w:w="1290"/>
            <w:shd w:fill="FFFFFF"/>
            <w:tcMar>
              <w:top w:w="60" w:type="dxa"/>
              <w:bottom w:w="60" w:type="dxa"/>
              <w:left w:w="80" w:type="dxa"/>
              <w:right w:w="80" w:type="dxa"/>
            </w:tcMar>
          </w:tcPr>
          <w:p>
            <w:pPr>
              <w:jc w:val="center"/>
            </w:pPr>
            <w:r>
              <w:rPr>
                <w:b/>
                <w:sz w:val="16"/>
              </w:rPr>
              <w:t>64.2</w:t>
            </w:r>
          </w:p>
        </w:tc>
      </w:tr>
      <w:tr>
        <w:tc>
          <w:tcPr>
            <w:tcW w:type="dxa" w:w="1290"/>
            <w:shd w:fill="F1F5F9"/>
            <w:tcMar>
              <w:top w:w="60" w:type="dxa"/>
              <w:bottom w:w="60" w:type="dxa"/>
              <w:left w:w="80" w:type="dxa"/>
              <w:right w:w="80" w:type="dxa"/>
            </w:tcMar>
          </w:tcPr>
          <w:p>
            <w:pPr>
              <w:jc w:val="center"/>
            </w:pPr>
            <w:r>
              <w:rPr>
                <w:b/>
                <w:sz w:val="16"/>
              </w:rPr>
            </w:r>
          </w:p>
        </w:tc>
        <w:tc>
          <w:tcPr>
            <w:tcW w:type="dxa" w:w="1290"/>
            <w:shd w:fill="F1F5F9"/>
            <w:tcMar>
              <w:top w:w="60" w:type="dxa"/>
              <w:bottom w:w="60" w:type="dxa"/>
              <w:left w:w="80" w:type="dxa"/>
              <w:right w:w="80" w:type="dxa"/>
            </w:tcMar>
          </w:tcPr>
          <w:p>
            <w:pPr>
              <w:jc w:val="left"/>
            </w:pPr>
            <w:r>
              <w:rPr>
                <w:b/>
                <w:sz w:val="16"/>
              </w:rPr>
              <w:t>Local-Only Linear AR(4) (Local isolation)</w:t>
            </w:r>
          </w:p>
        </w:tc>
        <w:tc>
          <w:tcPr>
            <w:tcW w:type="dxa" w:w="1290"/>
            <w:shd w:fill="F1F5F9"/>
            <w:tcMar>
              <w:top w:w="60" w:type="dxa"/>
              <w:bottom w:w="60" w:type="dxa"/>
              <w:left w:w="80" w:type="dxa"/>
              <w:right w:w="80" w:type="dxa"/>
            </w:tcMar>
          </w:tcPr>
          <w:p>
            <w:pPr>
              <w:jc w:val="center"/>
            </w:pPr>
            <w:r>
              <w:rPr>
                <w:b/>
                <w:sz w:val="16"/>
              </w:rPr>
              <w:t>0.0248</w:t>
            </w:r>
          </w:p>
        </w:tc>
        <w:tc>
          <w:tcPr>
            <w:tcW w:type="dxa" w:w="1290"/>
            <w:shd w:fill="F1F5F9"/>
            <w:tcMar>
              <w:top w:w="60" w:type="dxa"/>
              <w:bottom w:w="60" w:type="dxa"/>
              <w:left w:w="80" w:type="dxa"/>
              <w:right w:w="80" w:type="dxa"/>
            </w:tcMar>
          </w:tcPr>
          <w:p>
            <w:pPr>
              <w:jc w:val="center"/>
            </w:pPr>
            <w:r>
              <w:rPr>
                <w:b/>
                <w:sz w:val="16"/>
              </w:rPr>
              <w:t>0.0350</w:t>
            </w:r>
          </w:p>
        </w:tc>
        <w:tc>
          <w:tcPr>
            <w:tcW w:type="dxa" w:w="1290"/>
            <w:shd w:fill="F1F5F9"/>
            <w:tcMar>
              <w:top w:w="60" w:type="dxa"/>
              <w:bottom w:w="60" w:type="dxa"/>
              <w:left w:w="80" w:type="dxa"/>
              <w:right w:w="80" w:type="dxa"/>
            </w:tcMar>
          </w:tcPr>
          <w:p>
            <w:pPr>
              <w:jc w:val="center"/>
            </w:pPr>
            <w:r>
              <w:rPr>
                <w:b/>
                <w:sz w:val="16"/>
              </w:rPr>
              <w:t>0.0243</w:t>
            </w:r>
          </w:p>
        </w:tc>
        <w:tc>
          <w:tcPr>
            <w:tcW w:type="dxa" w:w="1290"/>
            <w:shd w:fill="F1F5F9"/>
            <w:tcMar>
              <w:top w:w="60" w:type="dxa"/>
              <w:bottom w:w="60" w:type="dxa"/>
              <w:left w:w="80" w:type="dxa"/>
              <w:right w:w="80" w:type="dxa"/>
            </w:tcMar>
          </w:tcPr>
          <w:p>
            <w:pPr>
              <w:jc w:val="center"/>
            </w:pPr>
            <w:r>
              <w:rPr>
                <w:b/>
                <w:sz w:val="16"/>
              </w:rPr>
              <w:t>0.0094</w:t>
            </w:r>
          </w:p>
        </w:tc>
        <w:tc>
          <w:tcPr>
            <w:tcW w:type="dxa" w:w="1290"/>
            <w:shd w:fill="F1F5F9"/>
            <w:tcMar>
              <w:top w:w="60" w:type="dxa"/>
              <w:bottom w:w="60" w:type="dxa"/>
              <w:left w:w="80" w:type="dxa"/>
              <w:right w:w="80" w:type="dxa"/>
            </w:tcMar>
          </w:tcPr>
          <w:p>
            <w:pPr>
              <w:jc w:val="center"/>
            </w:pPr>
            <w:r>
              <w:rPr>
                <w:b/>
                <w:sz w:val="16"/>
              </w:rPr>
              <w:t>28.4</w:t>
            </w:r>
          </w:p>
        </w:tc>
      </w:tr>
      <w:tr>
        <w:tc>
          <w:tcPr>
            <w:tcW w:type="dxa" w:w="1290"/>
            <w:shd w:fill="FFFFFF"/>
            <w:tcMar>
              <w:top w:w="60" w:type="dxa"/>
              <w:bottom w:w="60" w:type="dxa"/>
              <w:left w:w="80" w:type="dxa"/>
              <w:right w:w="80" w:type="dxa"/>
            </w:tcMar>
          </w:tcPr>
          <w:p>
            <w:pPr>
              <w:jc w:val="center"/>
            </w:pPr>
            <w:r>
              <w:rPr>
                <w:sz w:val="16"/>
              </w:rPr>
            </w:r>
          </w:p>
        </w:tc>
        <w:tc>
          <w:tcPr>
            <w:tcW w:type="dxa" w:w="1290"/>
            <w:shd w:fill="FFFFFF"/>
            <w:tcMar>
              <w:top w:w="60" w:type="dxa"/>
              <w:bottom w:w="60" w:type="dxa"/>
              <w:left w:w="80" w:type="dxa"/>
              <w:right w:w="80" w:type="dxa"/>
            </w:tcMar>
          </w:tcPr>
          <w:p>
            <w:pPr>
              <w:jc w:val="left"/>
            </w:pPr>
            <w:r>
              <w:rPr>
                <w:sz w:val="16"/>
              </w:rPr>
              <w:t>Pooled Linear AR(4) (Centralized)</w:t>
            </w:r>
          </w:p>
        </w:tc>
        <w:tc>
          <w:tcPr>
            <w:tcW w:type="dxa" w:w="1290"/>
            <w:shd w:fill="FFFFFF"/>
            <w:tcMar>
              <w:top w:w="60" w:type="dxa"/>
              <w:bottom w:w="60" w:type="dxa"/>
              <w:left w:w="80" w:type="dxa"/>
              <w:right w:w="80" w:type="dxa"/>
            </w:tcMar>
          </w:tcPr>
          <w:p>
            <w:pPr>
              <w:jc w:val="center"/>
            </w:pPr>
            <w:r>
              <w:rPr>
                <w:sz w:val="16"/>
              </w:rPr>
              <w:t>0.0259</w:t>
            </w:r>
          </w:p>
        </w:tc>
        <w:tc>
          <w:tcPr>
            <w:tcW w:type="dxa" w:w="1290"/>
            <w:shd w:fill="FFFFFF"/>
            <w:tcMar>
              <w:top w:w="60" w:type="dxa"/>
              <w:bottom w:w="60" w:type="dxa"/>
              <w:left w:w="80" w:type="dxa"/>
              <w:right w:w="80" w:type="dxa"/>
            </w:tcMar>
          </w:tcPr>
          <w:p>
            <w:pPr>
              <w:jc w:val="center"/>
            </w:pPr>
            <w:r>
              <w:rPr>
                <w:sz w:val="16"/>
              </w:rPr>
              <w:t>0.0375</w:t>
            </w:r>
          </w:p>
        </w:tc>
        <w:tc>
          <w:tcPr>
            <w:tcW w:type="dxa" w:w="1290"/>
            <w:shd w:fill="FFFFFF"/>
            <w:tcMar>
              <w:top w:w="60" w:type="dxa"/>
              <w:bottom w:w="60" w:type="dxa"/>
              <w:left w:w="80" w:type="dxa"/>
              <w:right w:w="80" w:type="dxa"/>
            </w:tcMar>
          </w:tcPr>
          <w:p>
            <w:pPr>
              <w:jc w:val="center"/>
            </w:pPr>
            <w:r>
              <w:rPr>
                <w:sz w:val="16"/>
              </w:rPr>
              <w:t>0.0266</w:t>
            </w:r>
          </w:p>
        </w:tc>
        <w:tc>
          <w:tcPr>
            <w:tcW w:type="dxa" w:w="1290"/>
            <w:shd w:fill="FFFFFF"/>
            <w:tcMar>
              <w:top w:w="60" w:type="dxa"/>
              <w:bottom w:w="60" w:type="dxa"/>
              <w:left w:w="80" w:type="dxa"/>
              <w:right w:w="80" w:type="dxa"/>
            </w:tcMar>
          </w:tcPr>
          <w:p>
            <w:pPr>
              <w:jc w:val="center"/>
            </w:pPr>
            <w:r>
              <w:rPr>
                <w:sz w:val="16"/>
              </w:rPr>
              <w:t>0.0095</w:t>
            </w:r>
          </w:p>
        </w:tc>
        <w:tc>
          <w:tcPr>
            <w:tcW w:type="dxa" w:w="1290"/>
            <w:shd w:fill="FFFFFF"/>
            <w:tcMar>
              <w:top w:w="60" w:type="dxa"/>
              <w:bottom w:w="60" w:type="dxa"/>
              <w:left w:w="80" w:type="dxa"/>
              <w:right w:w="80" w:type="dxa"/>
            </w:tcMar>
          </w:tcPr>
          <w:p>
            <w:pPr>
              <w:jc w:val="center"/>
            </w:pPr>
            <w:r>
              <w:rPr>
                <w:sz w:val="16"/>
              </w:rPr>
              <w:t>30.4</w:t>
            </w:r>
          </w:p>
        </w:tc>
      </w:tr>
      <w:tr>
        <w:tc>
          <w:tcPr>
            <w:tcW w:type="dxa" w:w="1290"/>
            <w:shd w:fill="F8FAFC"/>
            <w:tcMar>
              <w:top w:w="60" w:type="dxa"/>
              <w:bottom w:w="60" w:type="dxa"/>
              <w:left w:w="80" w:type="dxa"/>
              <w:right w:w="80" w:type="dxa"/>
            </w:tcMar>
          </w:tcPr>
          <w:p>
            <w:pPr>
              <w:jc w:val="center"/>
            </w:pPr>
            <w:r>
              <w:rPr>
                <w:sz w:val="16"/>
              </w:rPr>
            </w:r>
          </w:p>
        </w:tc>
        <w:tc>
          <w:tcPr>
            <w:tcW w:type="dxa" w:w="1290"/>
            <w:shd w:fill="F8FAFC"/>
            <w:tcMar>
              <w:top w:w="60" w:type="dxa"/>
              <w:bottom w:w="60" w:type="dxa"/>
              <w:left w:w="80" w:type="dxa"/>
              <w:right w:w="80" w:type="dxa"/>
            </w:tcMar>
          </w:tcPr>
          <w:p>
            <w:pPr>
              <w:jc w:val="left"/>
            </w:pPr>
            <w:r>
              <w:rPr>
                <w:sz w:val="16"/>
              </w:rPr>
              <w:t>Centralized XGBoost [4]</w:t>
            </w:r>
          </w:p>
        </w:tc>
        <w:tc>
          <w:tcPr>
            <w:tcW w:type="dxa" w:w="1290"/>
            <w:shd w:fill="F8FAFC"/>
            <w:tcMar>
              <w:top w:w="60" w:type="dxa"/>
              <w:bottom w:w="60" w:type="dxa"/>
              <w:left w:w="80" w:type="dxa"/>
              <w:right w:w="80" w:type="dxa"/>
            </w:tcMar>
          </w:tcPr>
          <w:p>
            <w:pPr>
              <w:jc w:val="center"/>
            </w:pPr>
            <w:r>
              <w:rPr>
                <w:sz w:val="16"/>
              </w:rPr>
              <w:t>0.0245</w:t>
            </w:r>
          </w:p>
        </w:tc>
        <w:tc>
          <w:tcPr>
            <w:tcW w:type="dxa" w:w="1290"/>
            <w:shd w:fill="F8FAFC"/>
            <w:tcMar>
              <w:top w:w="60" w:type="dxa"/>
              <w:bottom w:w="60" w:type="dxa"/>
              <w:left w:w="80" w:type="dxa"/>
              <w:right w:w="80" w:type="dxa"/>
            </w:tcMar>
          </w:tcPr>
          <w:p>
            <w:pPr>
              <w:jc w:val="center"/>
            </w:pPr>
            <w:r>
              <w:rPr>
                <w:sz w:val="16"/>
              </w:rPr>
              <w:t>0.0343</w:t>
            </w:r>
          </w:p>
        </w:tc>
        <w:tc>
          <w:tcPr>
            <w:tcW w:type="dxa" w:w="1290"/>
            <w:shd w:fill="F8FAFC"/>
            <w:tcMar>
              <w:top w:w="60" w:type="dxa"/>
              <w:bottom w:w="60" w:type="dxa"/>
              <w:left w:w="80" w:type="dxa"/>
              <w:right w:w="80" w:type="dxa"/>
            </w:tcMar>
          </w:tcPr>
          <w:p>
            <w:pPr>
              <w:jc w:val="center"/>
            </w:pPr>
            <w:r>
              <w:rPr>
                <w:sz w:val="16"/>
              </w:rPr>
              <w:t>0.0264</w:t>
            </w:r>
          </w:p>
        </w:tc>
        <w:tc>
          <w:tcPr>
            <w:tcW w:type="dxa" w:w="1290"/>
            <w:shd w:fill="F8FAFC"/>
            <w:tcMar>
              <w:top w:w="60" w:type="dxa"/>
              <w:bottom w:w="60" w:type="dxa"/>
              <w:left w:w="80" w:type="dxa"/>
              <w:right w:w="80" w:type="dxa"/>
            </w:tcMar>
          </w:tcPr>
          <w:p>
            <w:pPr>
              <w:jc w:val="center"/>
            </w:pPr>
            <w:r>
              <w:rPr>
                <w:sz w:val="16"/>
              </w:rPr>
              <w:t>0.0112</w:t>
            </w:r>
          </w:p>
        </w:tc>
        <w:tc>
          <w:tcPr>
            <w:tcW w:type="dxa" w:w="1290"/>
            <w:shd w:fill="F8FAFC"/>
            <w:tcMar>
              <w:top w:w="60" w:type="dxa"/>
              <w:bottom w:w="60" w:type="dxa"/>
              <w:left w:w="80" w:type="dxa"/>
              <w:right w:w="80" w:type="dxa"/>
            </w:tcMar>
          </w:tcPr>
          <w:p>
            <w:pPr>
              <w:jc w:val="center"/>
            </w:pPr>
            <w:r>
              <w:rPr>
                <w:sz w:val="16"/>
              </w:rPr>
              <w:t>30.1</w:t>
            </w:r>
          </w:p>
        </w:tc>
      </w:tr>
      <w:tr>
        <w:tc>
          <w:tcPr>
            <w:tcW w:type="dxa" w:w="1290"/>
            <w:shd w:fill="FFFFFF"/>
            <w:tcMar>
              <w:top w:w="60" w:type="dxa"/>
              <w:bottom w:w="60" w:type="dxa"/>
              <w:left w:w="80" w:type="dxa"/>
              <w:right w:w="80" w:type="dxa"/>
            </w:tcMar>
          </w:tcPr>
          <w:p>
            <w:pPr>
              <w:jc w:val="center"/>
            </w:pPr>
            <w:r>
              <w:rPr>
                <w:sz w:val="16"/>
              </w:rPr>
            </w:r>
          </w:p>
        </w:tc>
        <w:tc>
          <w:tcPr>
            <w:tcW w:type="dxa" w:w="1290"/>
            <w:shd w:fill="FFFFFF"/>
            <w:tcMar>
              <w:top w:w="60" w:type="dxa"/>
              <w:bottom w:w="60" w:type="dxa"/>
              <w:left w:w="80" w:type="dxa"/>
              <w:right w:w="80" w:type="dxa"/>
            </w:tcMar>
          </w:tcPr>
          <w:p>
            <w:pPr>
              <w:jc w:val="left"/>
            </w:pPr>
            <w:r>
              <w:rPr>
                <w:sz w:val="16"/>
              </w:rPr>
              <w:t>Centralized Standard LSTM [24]</w:t>
            </w:r>
          </w:p>
        </w:tc>
        <w:tc>
          <w:tcPr>
            <w:tcW w:type="dxa" w:w="1290"/>
            <w:shd w:fill="FFFFFF"/>
            <w:tcMar>
              <w:top w:w="60" w:type="dxa"/>
              <w:bottom w:w="60" w:type="dxa"/>
              <w:left w:w="80" w:type="dxa"/>
              <w:right w:w="80" w:type="dxa"/>
            </w:tcMar>
          </w:tcPr>
          <w:p>
            <w:pPr>
              <w:jc w:val="center"/>
            </w:pPr>
            <w:r>
              <w:rPr>
                <w:sz w:val="16"/>
              </w:rPr>
              <w:t>0.0291</w:t>
            </w:r>
          </w:p>
        </w:tc>
        <w:tc>
          <w:tcPr>
            <w:tcW w:type="dxa" w:w="1290"/>
            <w:shd w:fill="FFFFFF"/>
            <w:tcMar>
              <w:top w:w="60" w:type="dxa"/>
              <w:bottom w:w="60" w:type="dxa"/>
              <w:left w:w="80" w:type="dxa"/>
              <w:right w:w="80" w:type="dxa"/>
            </w:tcMar>
          </w:tcPr>
          <w:p>
            <w:pPr>
              <w:jc w:val="center"/>
            </w:pPr>
            <w:r>
              <w:rPr>
                <w:sz w:val="16"/>
              </w:rPr>
              <w:t>0.0402</w:t>
            </w:r>
          </w:p>
        </w:tc>
        <w:tc>
          <w:tcPr>
            <w:tcW w:type="dxa" w:w="1290"/>
            <w:shd w:fill="FFFFFF"/>
            <w:tcMar>
              <w:top w:w="60" w:type="dxa"/>
              <w:bottom w:w="60" w:type="dxa"/>
              <w:left w:w="80" w:type="dxa"/>
              <w:right w:w="80" w:type="dxa"/>
            </w:tcMar>
          </w:tcPr>
          <w:p>
            <w:pPr>
              <w:jc w:val="center"/>
            </w:pPr>
            <w:r>
              <w:rPr>
                <w:sz w:val="16"/>
              </w:rPr>
              <w:t>0.0305</w:t>
            </w:r>
          </w:p>
        </w:tc>
        <w:tc>
          <w:tcPr>
            <w:tcW w:type="dxa" w:w="1290"/>
            <w:shd w:fill="FFFFFF"/>
            <w:tcMar>
              <w:top w:w="60" w:type="dxa"/>
              <w:bottom w:w="60" w:type="dxa"/>
              <w:left w:w="80" w:type="dxa"/>
              <w:right w:w="80" w:type="dxa"/>
            </w:tcMar>
          </w:tcPr>
          <w:p>
            <w:pPr>
              <w:jc w:val="center"/>
            </w:pPr>
            <w:r>
              <w:rPr>
                <w:sz w:val="16"/>
              </w:rPr>
              <w:t>0.0117</w:t>
            </w:r>
          </w:p>
        </w:tc>
        <w:tc>
          <w:tcPr>
            <w:tcW w:type="dxa" w:w="1290"/>
            <w:shd w:fill="FFFFFF"/>
            <w:tcMar>
              <w:top w:w="60" w:type="dxa"/>
              <w:bottom w:w="60" w:type="dxa"/>
              <w:left w:w="80" w:type="dxa"/>
              <w:right w:w="80" w:type="dxa"/>
            </w:tcMar>
          </w:tcPr>
          <w:p>
            <w:pPr>
              <w:jc w:val="center"/>
            </w:pPr>
            <w:r>
              <w:rPr>
                <w:sz w:val="16"/>
              </w:rPr>
              <w:t>35.5</w:t>
            </w:r>
          </w:p>
        </w:tc>
      </w:tr>
      <w:tr>
        <w:tc>
          <w:tcPr>
            <w:tcW w:type="dxa" w:w="1290"/>
            <w:shd w:fill="F8FAFC"/>
            <w:tcMar>
              <w:top w:w="60" w:type="dxa"/>
              <w:bottom w:w="60" w:type="dxa"/>
              <w:left w:w="80" w:type="dxa"/>
              <w:right w:w="80" w:type="dxa"/>
            </w:tcMar>
          </w:tcPr>
          <w:p>
            <w:pPr>
              <w:jc w:val="center"/>
            </w:pPr>
            <w:r>
              <w:rPr>
                <w:sz w:val="16"/>
              </w:rPr>
            </w:r>
          </w:p>
        </w:tc>
        <w:tc>
          <w:tcPr>
            <w:tcW w:type="dxa" w:w="1290"/>
            <w:shd w:fill="F8FAFC"/>
            <w:tcMar>
              <w:top w:w="60" w:type="dxa"/>
              <w:bottom w:w="60" w:type="dxa"/>
              <w:left w:w="80" w:type="dxa"/>
              <w:right w:w="80" w:type="dxa"/>
            </w:tcMar>
          </w:tcPr>
          <w:p>
            <w:pPr>
              <w:jc w:val="left"/>
            </w:pPr>
            <w:r>
              <w:rPr>
                <w:sz w:val="16"/>
              </w:rPr>
              <w:t>Centralized Attention-LSTM [5]</w:t>
            </w:r>
          </w:p>
        </w:tc>
        <w:tc>
          <w:tcPr>
            <w:tcW w:type="dxa" w:w="1290"/>
            <w:shd w:fill="F8FAFC"/>
            <w:tcMar>
              <w:top w:w="60" w:type="dxa"/>
              <w:bottom w:w="60" w:type="dxa"/>
              <w:left w:w="80" w:type="dxa"/>
              <w:right w:w="80" w:type="dxa"/>
            </w:tcMar>
          </w:tcPr>
          <w:p>
            <w:pPr>
              <w:jc w:val="center"/>
            </w:pPr>
            <w:r>
              <w:rPr>
                <w:sz w:val="16"/>
              </w:rPr>
              <w:t>0.0304</w:t>
            </w:r>
          </w:p>
        </w:tc>
        <w:tc>
          <w:tcPr>
            <w:tcW w:type="dxa" w:w="1290"/>
            <w:shd w:fill="F8FAFC"/>
            <w:tcMar>
              <w:top w:w="60" w:type="dxa"/>
              <w:bottom w:w="60" w:type="dxa"/>
              <w:left w:w="80" w:type="dxa"/>
              <w:right w:w="80" w:type="dxa"/>
            </w:tcMar>
          </w:tcPr>
          <w:p>
            <w:pPr>
              <w:jc w:val="center"/>
            </w:pPr>
            <w:r>
              <w:rPr>
                <w:sz w:val="16"/>
              </w:rPr>
              <w:t>0.0415</w:t>
            </w:r>
          </w:p>
        </w:tc>
        <w:tc>
          <w:tcPr>
            <w:tcW w:type="dxa" w:w="1290"/>
            <w:shd w:fill="F8FAFC"/>
            <w:tcMar>
              <w:top w:w="60" w:type="dxa"/>
              <w:bottom w:w="60" w:type="dxa"/>
              <w:left w:w="80" w:type="dxa"/>
              <w:right w:w="80" w:type="dxa"/>
            </w:tcMar>
          </w:tcPr>
          <w:p>
            <w:pPr>
              <w:jc w:val="center"/>
            </w:pPr>
            <w:r>
              <w:rPr>
                <w:sz w:val="16"/>
              </w:rPr>
              <w:t>0.0316</w:t>
            </w:r>
          </w:p>
        </w:tc>
        <w:tc>
          <w:tcPr>
            <w:tcW w:type="dxa" w:w="1290"/>
            <w:shd w:fill="F8FAFC"/>
            <w:tcMar>
              <w:top w:w="60" w:type="dxa"/>
              <w:bottom w:w="60" w:type="dxa"/>
              <w:left w:w="80" w:type="dxa"/>
              <w:right w:w="80" w:type="dxa"/>
            </w:tcMar>
          </w:tcPr>
          <w:p>
            <w:pPr>
              <w:jc w:val="center"/>
            </w:pPr>
            <w:r>
              <w:rPr>
                <w:sz w:val="16"/>
              </w:rPr>
              <w:t>0.0118</w:t>
            </w:r>
          </w:p>
        </w:tc>
        <w:tc>
          <w:tcPr>
            <w:tcW w:type="dxa" w:w="1290"/>
            <w:shd w:fill="F8FAFC"/>
            <w:tcMar>
              <w:top w:w="60" w:type="dxa"/>
              <w:bottom w:w="60" w:type="dxa"/>
              <w:left w:w="80" w:type="dxa"/>
              <w:right w:w="80" w:type="dxa"/>
            </w:tcMar>
          </w:tcPr>
          <w:p>
            <w:pPr>
              <w:jc w:val="center"/>
            </w:pPr>
            <w:r>
              <w:rPr>
                <w:sz w:val="16"/>
              </w:rPr>
              <w:t>37.2</w:t>
            </w:r>
          </w:p>
        </w:tc>
      </w:tr>
      <w:tr>
        <w:tc>
          <w:tcPr>
            <w:tcW w:type="dxa" w:w="1290"/>
            <w:shd w:fill="FFFFFF"/>
            <w:tcMar>
              <w:top w:w="60" w:type="dxa"/>
              <w:bottom w:w="60" w:type="dxa"/>
              <w:left w:w="80" w:type="dxa"/>
              <w:right w:w="80" w:type="dxa"/>
            </w:tcMar>
          </w:tcPr>
          <w:p>
            <w:pPr>
              <w:jc w:val="center"/>
            </w:pPr>
            <w:r>
              <w:rPr>
                <w:sz w:val="16"/>
              </w:rPr>
            </w:r>
          </w:p>
        </w:tc>
        <w:tc>
          <w:tcPr>
            <w:tcW w:type="dxa" w:w="1290"/>
            <w:shd w:fill="FFFFFF"/>
            <w:tcMar>
              <w:top w:w="60" w:type="dxa"/>
              <w:bottom w:w="60" w:type="dxa"/>
              <w:left w:w="80" w:type="dxa"/>
              <w:right w:w="80" w:type="dxa"/>
            </w:tcMar>
          </w:tcPr>
          <w:p>
            <w:pPr>
              <w:jc w:val="left"/>
            </w:pPr>
            <w:r>
              <w:rPr>
                <w:sz w:val="16"/>
              </w:rPr>
              <w:t>Global FedAvg (R=8, B=32) [7]</w:t>
            </w:r>
          </w:p>
        </w:tc>
        <w:tc>
          <w:tcPr>
            <w:tcW w:type="dxa" w:w="1290"/>
            <w:shd w:fill="FFFFFF"/>
            <w:tcMar>
              <w:top w:w="60" w:type="dxa"/>
              <w:bottom w:w="60" w:type="dxa"/>
              <w:left w:w="80" w:type="dxa"/>
              <w:right w:w="80" w:type="dxa"/>
            </w:tcMar>
          </w:tcPr>
          <w:p>
            <w:pPr>
              <w:jc w:val="center"/>
            </w:pPr>
            <w:r>
              <w:rPr>
                <w:sz w:val="16"/>
              </w:rPr>
              <w:t>0.1078</w:t>
            </w:r>
          </w:p>
        </w:tc>
        <w:tc>
          <w:tcPr>
            <w:tcW w:type="dxa" w:w="1290"/>
            <w:shd w:fill="FFFFFF"/>
            <w:tcMar>
              <w:top w:w="60" w:type="dxa"/>
              <w:bottom w:w="60" w:type="dxa"/>
              <w:left w:w="80" w:type="dxa"/>
              <w:right w:w="80" w:type="dxa"/>
            </w:tcMar>
          </w:tcPr>
          <w:p>
            <w:pPr>
              <w:jc w:val="center"/>
            </w:pPr>
            <w:r>
              <w:rPr>
                <w:sz w:val="16"/>
              </w:rPr>
              <w:t>0.1416</w:t>
            </w:r>
          </w:p>
        </w:tc>
        <w:tc>
          <w:tcPr>
            <w:tcW w:type="dxa" w:w="1290"/>
            <w:shd w:fill="FFFFFF"/>
            <w:tcMar>
              <w:top w:w="60" w:type="dxa"/>
              <w:bottom w:w="60" w:type="dxa"/>
              <w:left w:w="80" w:type="dxa"/>
              <w:right w:w="80" w:type="dxa"/>
            </w:tcMar>
          </w:tcPr>
          <w:p>
            <w:pPr>
              <w:jc w:val="center"/>
            </w:pPr>
            <w:r>
              <w:rPr>
                <w:sz w:val="16"/>
              </w:rPr>
              <w:t>0.1106</w:t>
            </w:r>
          </w:p>
        </w:tc>
        <w:tc>
          <w:tcPr>
            <w:tcW w:type="dxa" w:w="1290"/>
            <w:shd w:fill="FFFFFF"/>
            <w:tcMar>
              <w:top w:w="60" w:type="dxa"/>
              <w:bottom w:w="60" w:type="dxa"/>
              <w:left w:w="80" w:type="dxa"/>
              <w:right w:w="80" w:type="dxa"/>
            </w:tcMar>
          </w:tcPr>
          <w:p>
            <w:pPr>
              <w:jc w:val="center"/>
            </w:pPr>
            <w:r>
              <w:rPr>
                <w:sz w:val="16"/>
              </w:rPr>
              <w:t>0.0552</w:t>
            </w:r>
          </w:p>
        </w:tc>
        <w:tc>
          <w:tcPr>
            <w:tcW w:type="dxa" w:w="1290"/>
            <w:shd w:fill="FFFFFF"/>
            <w:tcMar>
              <w:top w:w="60" w:type="dxa"/>
              <w:bottom w:w="60" w:type="dxa"/>
              <w:left w:w="80" w:type="dxa"/>
              <w:right w:w="80" w:type="dxa"/>
            </w:tcMar>
          </w:tcPr>
          <w:p>
            <w:pPr>
              <w:jc w:val="center"/>
            </w:pPr>
            <w:r>
              <w:rPr>
                <w:sz w:val="16"/>
              </w:rPr>
              <w:t>137.1</w:t>
            </w:r>
          </w:p>
        </w:tc>
      </w:tr>
      <w:tr>
        <w:tc>
          <w:tcPr>
            <w:tcW w:type="dxa" w:w="1290"/>
            <w:shd w:fill="F1F5F9"/>
            <w:tcMar>
              <w:top w:w="60" w:type="dxa"/>
              <w:bottom w:w="60" w:type="dxa"/>
              <w:left w:w="80" w:type="dxa"/>
              <w:right w:w="80" w:type="dxa"/>
            </w:tcMar>
          </w:tcPr>
          <w:p>
            <w:pPr>
              <w:jc w:val="center"/>
            </w:pPr>
            <w:r>
              <w:rPr>
                <w:b/>
                <w:sz w:val="16"/>
              </w:rPr>
            </w:r>
          </w:p>
        </w:tc>
        <w:tc>
          <w:tcPr>
            <w:tcW w:type="dxa" w:w="1290"/>
            <w:shd w:fill="F1F5F9"/>
            <w:tcMar>
              <w:top w:w="60" w:type="dxa"/>
              <w:bottom w:w="60" w:type="dxa"/>
              <w:left w:w="80" w:type="dxa"/>
              <w:right w:w="80" w:type="dxa"/>
            </w:tcMar>
          </w:tcPr>
          <w:p>
            <w:pPr>
              <w:jc w:val="left"/>
            </w:pPr>
            <w:r>
              <w:rPr>
                <w:b/>
                <w:sz w:val="16"/>
              </w:rPr>
              <w:t>Personalized FedAvg (Ours)</w:t>
            </w:r>
          </w:p>
        </w:tc>
        <w:tc>
          <w:tcPr>
            <w:tcW w:type="dxa" w:w="1290"/>
            <w:shd w:fill="F1F5F9"/>
            <w:tcMar>
              <w:top w:w="60" w:type="dxa"/>
              <w:bottom w:w="60" w:type="dxa"/>
              <w:left w:w="80" w:type="dxa"/>
              <w:right w:w="80" w:type="dxa"/>
            </w:tcMar>
          </w:tcPr>
          <w:p>
            <w:pPr>
              <w:jc w:val="center"/>
            </w:pPr>
            <w:r>
              <w:rPr>
                <w:b/>
                <w:sz w:val="16"/>
              </w:rPr>
              <w:t>0.0732</w:t>
            </w:r>
          </w:p>
        </w:tc>
        <w:tc>
          <w:tcPr>
            <w:tcW w:type="dxa" w:w="1290"/>
            <w:shd w:fill="F1F5F9"/>
            <w:tcMar>
              <w:top w:w="60" w:type="dxa"/>
              <w:bottom w:w="60" w:type="dxa"/>
              <w:left w:w="80" w:type="dxa"/>
              <w:right w:w="80" w:type="dxa"/>
            </w:tcMar>
          </w:tcPr>
          <w:p>
            <w:pPr>
              <w:jc w:val="center"/>
            </w:pPr>
            <w:r>
              <w:rPr>
                <w:b/>
                <w:sz w:val="16"/>
              </w:rPr>
              <w:t>0.0962</w:t>
            </w:r>
          </w:p>
        </w:tc>
        <w:tc>
          <w:tcPr>
            <w:tcW w:type="dxa" w:w="1290"/>
            <w:shd w:fill="F1F5F9"/>
            <w:tcMar>
              <w:top w:w="60" w:type="dxa"/>
              <w:bottom w:w="60" w:type="dxa"/>
              <w:left w:w="80" w:type="dxa"/>
              <w:right w:w="80" w:type="dxa"/>
            </w:tcMar>
          </w:tcPr>
          <w:p>
            <w:pPr>
              <w:jc w:val="center"/>
            </w:pPr>
            <w:r>
              <w:rPr>
                <w:b/>
                <w:sz w:val="16"/>
              </w:rPr>
              <w:t>0.0750</w:t>
            </w:r>
          </w:p>
        </w:tc>
        <w:tc>
          <w:tcPr>
            <w:tcW w:type="dxa" w:w="1290"/>
            <w:shd w:fill="F1F5F9"/>
            <w:tcMar>
              <w:top w:w="60" w:type="dxa"/>
              <w:bottom w:w="60" w:type="dxa"/>
              <w:left w:w="80" w:type="dxa"/>
              <w:right w:w="80" w:type="dxa"/>
            </w:tcMar>
          </w:tcPr>
          <w:p>
            <w:pPr>
              <w:jc w:val="center"/>
            </w:pPr>
            <w:r>
              <w:rPr>
                <w:b/>
                <w:sz w:val="16"/>
              </w:rPr>
              <w:t>0.0263</w:t>
            </w:r>
          </w:p>
        </w:tc>
        <w:tc>
          <w:tcPr>
            <w:tcW w:type="dxa" w:w="1290"/>
            <w:shd w:fill="F1F5F9"/>
            <w:tcMar>
              <w:top w:w="60" w:type="dxa"/>
              <w:bottom w:w="60" w:type="dxa"/>
              <w:left w:w="80" w:type="dxa"/>
              <w:right w:w="80" w:type="dxa"/>
            </w:tcMar>
          </w:tcPr>
          <w:p>
            <w:pPr>
              <w:jc w:val="center"/>
            </w:pPr>
            <w:r>
              <w:rPr>
                <w:b/>
                <w:sz w:val="16"/>
              </w:rPr>
              <w:t>92.3</w:t>
            </w:r>
          </w:p>
        </w:tc>
      </w:tr>
    </w:tbl>
    <w:p>
      <w:pPr>
        <w:spacing w:before="0" w:after="120" w:line="276" w:lineRule="auto"/>
        <w:jc w:val="both"/>
      </w:pPr>
    </w:p>
    <w:p>
      <w:pPr>
        <w:jc w:val="center"/>
      </w:pPr>
      <w:r>
        <w:drawing>
          <wp:inline xmlns:a="http://schemas.openxmlformats.org/drawingml/2006/main" xmlns:pic="http://schemas.openxmlformats.org/drawingml/2006/picture">
            <wp:extent cx="5669280" cy="2105733"/>
            <wp:docPr id="2" name="Picture 2"/>
            <wp:cNvGraphicFramePr>
              <a:graphicFrameLocks noChangeAspect="1"/>
            </wp:cNvGraphicFramePr>
            <a:graphic>
              <a:graphicData uri="http://schemas.openxmlformats.org/drawingml/2006/picture">
                <pic:pic>
                  <pic:nvPicPr>
                    <pic:cNvPr id="0" name="fig1_model_comparison_grouped.png"/>
                    <pic:cNvPicPr/>
                  </pic:nvPicPr>
                  <pic:blipFill>
                    <a:blip r:embed="rId10"/>
                    <a:stretch>
                      <a:fillRect/>
                    </a:stretch>
                  </pic:blipFill>
                  <pic:spPr>
                    <a:xfrm>
                      <a:off x="0" y="0"/>
                      <a:ext cx="5669280" cy="2105733"/>
                    </a:xfrm>
                    <a:prstGeom prst="rect"/>
                  </pic:spPr>
                </pic:pic>
              </a:graphicData>
            </a:graphic>
          </wp:inline>
        </w:drawing>
      </w:r>
    </w:p>
    <w:p>
      <w:pPr>
        <w:spacing w:before="120" w:after="80"/>
        <w:jc w:val="center"/>
      </w:pPr>
      <w:r>
        <w:rPr>
          <w:rFonts w:ascii="Times New Roman" w:hAnsi="Times New Roman"/>
          <w:b/>
          <w:sz w:val="19"/>
        </w:rPr>
        <w:t xml:space="preserve">Figure </w:t>
      </w:r>
      <w:r>
        <w:rPr>
          <w:rFonts w:ascii="Times New Roman" w:hAnsi="Times New Roman"/>
          <w:i w:val="0"/>
          <w:sz w:val="19"/>
        </w:rPr>
        <w:t>2. Reconciled 30-Minute Model Benchmark: (a) Pooled MAE (Micro-Average) and (b) Physical Space Error (Vacant Bays).</w:t>
      </w:r>
    </w:p>
    <w:p>
      <w:pPr>
        <w:keepNext/>
        <w:spacing w:before="200" w:after="60"/>
      </w:pPr>
      <w:r>
        <w:rPr>
          <w:rFonts w:ascii="Times New Roman" w:hAnsi="Times New Roman"/>
          <w:b/>
          <w:color w:val="2F4F7F"/>
          <w:sz w:val="23"/>
        </w:rPr>
        <w:t>4.2 Comparative Analysis of Decentralized &amp; Federated Personalization Paradigms</w:t>
      </w:r>
    </w:p>
    <w:p>
      <w:pPr>
        <w:spacing w:before="0" w:after="100" w:line="276" w:lineRule="auto"/>
        <w:jc w:val="both"/>
      </w:pPr>
      <w:r>
        <w:rPr>
          <w:rFonts w:ascii="Times New Roman" w:hAnsi="Times New Roman"/>
          <w:sz w:val="22"/>
        </w:rPr>
        <w:t>To rigorously evaluate the mechanics of federated optimization and personalization, we conducted multi-seed evaluations across seeds {42, 101, 2024} for standard FedAvg, an IID-shuffled federated control, FedProx (mu = 0.01), FedPer (shared representation + private local head), and Personalized FedAvg. Table 3 presents the empirical results across the 30 parking facilities.</w:t>
      </w:r>
    </w:p>
    <w:p>
      <w:pPr>
        <w:spacing w:before="120" w:after="80"/>
        <w:jc w:val="center"/>
      </w:pPr>
      <w:r>
        <w:rPr>
          <w:rFonts w:ascii="Times New Roman" w:hAnsi="Times New Roman"/>
          <w:b/>
          <w:sz w:val="19"/>
        </w:rPr>
        <w:t xml:space="preserve">Table </w:t>
      </w:r>
      <w:r>
        <w:rPr>
          <w:rFonts w:ascii="Times New Roman" w:hAnsi="Times New Roman"/>
          <w:i w:val="0"/>
          <w:sz w:val="19"/>
        </w:rPr>
        <w:t>3. Empirical Comparison of Decentralized &amp; Federated Personalization Paradigms (30-Minute Horizon, Mean +/- Std across 3 Seeds).</w:t>
      </w:r>
    </w:p>
    <w:tbl>
      <w:tblPr>
        <w:tblW w:type="auto" w:w="0"/>
        <w:jc w:val="center"/>
        <w:tblLook w:firstColumn="1" w:firstRow="1" w:lastColumn="0" w:lastRow="0" w:noHBand="0" w:noVBand="1" w:val="04A0"/>
        <w:tblBorders>
          <w:top w:val="single" w:sz="8" w:space="0" w:color="1F3864"/>
          <w:bottom w:val="single" w:sz="8" w:space="0" w:color="1F3864"/>
          <w:left w:val="none"/>
          <w:right w:val="none"/>
          <w:insideH w:val="single" w:sz="4" w:space="0" w:color="CBD5E1"/>
          <w:insideV w:val="none"/>
        </w:tblBorders>
      </w:tblPr>
      <w:tblGrid>
        <w:gridCol w:w="1806"/>
        <w:gridCol w:w="1806"/>
        <w:gridCol w:w="1806"/>
        <w:gridCol w:w="1806"/>
        <w:gridCol w:w="1806"/>
      </w:tblGrid>
      <w:tr>
        <w:tc>
          <w:tcPr>
            <w:tcW w:type="dxa" w:w="1806"/>
            <w:shd w:fill="1F3864"/>
            <w:tcMar>
              <w:top w:w="100" w:type="dxa"/>
              <w:bottom w:w="100" w:type="dxa"/>
              <w:left w:w="100" w:type="dxa"/>
              <w:right w:w="100" w:type="dxa"/>
            </w:tcMar>
          </w:tcPr>
          <w:p>
            <w:pPr>
              <w:jc w:val="center"/>
            </w:pPr>
            <w:r>
              <w:rPr>
                <w:b/>
                <w:color w:val="FFFFFF"/>
                <w:sz w:val="17"/>
              </w:rPr>
              <w:t>Federated Paradigm / Algorithm</w:t>
            </w:r>
          </w:p>
        </w:tc>
        <w:tc>
          <w:tcPr>
            <w:tcW w:type="dxa" w:w="1806"/>
            <w:shd w:fill="1F3864"/>
            <w:tcMar>
              <w:top w:w="100" w:type="dxa"/>
              <w:bottom w:w="100" w:type="dxa"/>
              <w:left w:w="100" w:type="dxa"/>
              <w:right w:w="100" w:type="dxa"/>
            </w:tcMar>
          </w:tcPr>
          <w:p>
            <w:pPr>
              <w:jc w:val="center"/>
            </w:pPr>
            <w:r>
              <w:rPr>
                <w:b/>
                <w:color w:val="FFFFFF"/>
                <w:sz w:val="17"/>
              </w:rPr>
              <w:t>Pooled MAE (Micro)</w:t>
            </w:r>
          </w:p>
        </w:tc>
        <w:tc>
          <w:tcPr>
            <w:tcW w:type="dxa" w:w="1806"/>
            <w:shd w:fill="1F3864"/>
            <w:tcMar>
              <w:top w:w="100" w:type="dxa"/>
              <w:bottom w:w="100" w:type="dxa"/>
              <w:left w:w="100" w:type="dxa"/>
              <w:right w:w="100" w:type="dxa"/>
            </w:tcMar>
          </w:tcPr>
          <w:p>
            <w:pPr>
              <w:jc w:val="center"/>
            </w:pPr>
            <w:r>
              <w:rPr>
                <w:b/>
                <w:color w:val="FFFFFF"/>
                <w:sz w:val="17"/>
              </w:rPr>
              <w:t>Pooled RMSE</w:t>
            </w:r>
          </w:p>
        </w:tc>
        <w:tc>
          <w:tcPr>
            <w:tcW w:type="dxa" w:w="1806"/>
            <w:shd w:fill="1F3864"/>
            <w:tcMar>
              <w:top w:w="100" w:type="dxa"/>
              <w:bottom w:w="100" w:type="dxa"/>
              <w:left w:w="100" w:type="dxa"/>
              <w:right w:w="100" w:type="dxa"/>
            </w:tcMar>
          </w:tcPr>
          <w:p>
            <w:pPr>
              <w:jc w:val="center"/>
            </w:pPr>
            <w:r>
              <w:rPr>
                <w:b/>
                <w:color w:val="FFFFFF"/>
                <w:sz w:val="17"/>
              </w:rPr>
              <w:t>Macro Mean MAE</w:t>
            </w:r>
          </w:p>
        </w:tc>
        <w:tc>
          <w:tcPr>
            <w:tcW w:type="dxa" w:w="1806"/>
            <w:shd w:fill="1F3864"/>
            <w:tcMar>
              <w:top w:w="100" w:type="dxa"/>
              <w:bottom w:w="100" w:type="dxa"/>
              <w:left w:w="100" w:type="dxa"/>
              <w:right w:w="100" w:type="dxa"/>
            </w:tcMar>
          </w:tcPr>
          <w:p>
            <w:pPr>
              <w:jc w:val="center"/>
            </w:pPr>
            <w:r>
              <w:rPr>
                <w:b/>
                <w:color w:val="FFFFFF"/>
                <w:sz w:val="17"/>
              </w:rPr>
              <w:t>Between-Lot Std (sigma)</w:t>
            </w:r>
          </w:p>
        </w:tc>
      </w:tr>
      <w:tr>
        <w:tc>
          <w:tcPr>
            <w:tcW w:type="dxa" w:w="1806"/>
            <w:shd w:fill="FFFFFF"/>
            <w:tcMar>
              <w:top w:w="60" w:type="dxa"/>
              <w:bottom w:w="60" w:type="dxa"/>
              <w:left w:w="80" w:type="dxa"/>
              <w:right w:w="80" w:type="dxa"/>
            </w:tcMar>
          </w:tcPr>
          <w:p>
            <w:pPr>
              <w:jc w:val="left"/>
            </w:pPr>
            <w:r>
              <w:rPr>
                <w:sz w:val="17"/>
              </w:rPr>
              <w:t>Global FedAvg (R=8, E=2, B=32) [7]</w:t>
            </w:r>
          </w:p>
        </w:tc>
        <w:tc>
          <w:tcPr>
            <w:tcW w:type="dxa" w:w="1806"/>
            <w:shd w:fill="FFFFFF"/>
            <w:tcMar>
              <w:top w:w="60" w:type="dxa"/>
              <w:bottom w:w="60" w:type="dxa"/>
              <w:left w:w="80" w:type="dxa"/>
              <w:right w:w="80" w:type="dxa"/>
            </w:tcMar>
          </w:tcPr>
          <w:p>
            <w:pPr>
              <w:jc w:val="center"/>
            </w:pPr>
            <w:r>
              <w:rPr>
                <w:sz w:val="17"/>
              </w:rPr>
              <w:t>0.0935 +/- 0.0032</w:t>
            </w:r>
          </w:p>
        </w:tc>
        <w:tc>
          <w:tcPr>
            <w:tcW w:type="dxa" w:w="1806"/>
            <w:shd w:fill="FFFFFF"/>
            <w:tcMar>
              <w:top w:w="60" w:type="dxa"/>
              <w:bottom w:w="60" w:type="dxa"/>
              <w:left w:w="80" w:type="dxa"/>
              <w:right w:w="80" w:type="dxa"/>
            </w:tcMar>
          </w:tcPr>
          <w:p>
            <w:pPr>
              <w:jc w:val="center"/>
            </w:pPr>
            <w:r>
              <w:rPr>
                <w:sz w:val="17"/>
              </w:rPr>
              <w:t>0.1230 +/- 0.0030</w:t>
            </w:r>
          </w:p>
        </w:tc>
        <w:tc>
          <w:tcPr>
            <w:tcW w:type="dxa" w:w="1806"/>
            <w:shd w:fill="FFFFFF"/>
            <w:tcMar>
              <w:top w:w="60" w:type="dxa"/>
              <w:bottom w:w="60" w:type="dxa"/>
              <w:left w:w="80" w:type="dxa"/>
              <w:right w:w="80" w:type="dxa"/>
            </w:tcMar>
          </w:tcPr>
          <w:p>
            <w:pPr>
              <w:jc w:val="center"/>
            </w:pPr>
            <w:r>
              <w:rPr>
                <w:sz w:val="17"/>
              </w:rPr>
              <w:t>0.0963 +/- 0.0029</w:t>
            </w:r>
          </w:p>
        </w:tc>
        <w:tc>
          <w:tcPr>
            <w:tcW w:type="dxa" w:w="1806"/>
            <w:shd w:fill="FFFFFF"/>
            <w:tcMar>
              <w:top w:w="60" w:type="dxa"/>
              <w:bottom w:w="60" w:type="dxa"/>
              <w:left w:w="80" w:type="dxa"/>
              <w:right w:w="80" w:type="dxa"/>
            </w:tcMar>
          </w:tcPr>
          <w:p>
            <w:pPr>
              <w:jc w:val="center"/>
            </w:pPr>
            <w:r>
              <w:rPr>
                <w:sz w:val="17"/>
              </w:rPr>
              <w:t>0.0498 +/- 0.0013</w:t>
            </w:r>
          </w:p>
        </w:tc>
      </w:tr>
      <w:tr>
        <w:tc>
          <w:tcPr>
            <w:tcW w:type="dxa" w:w="1806"/>
            <w:shd w:fill="F1F5F9"/>
            <w:tcMar>
              <w:top w:w="60" w:type="dxa"/>
              <w:bottom w:w="60" w:type="dxa"/>
              <w:left w:w="80" w:type="dxa"/>
              <w:right w:w="80" w:type="dxa"/>
            </w:tcMar>
          </w:tcPr>
          <w:p>
            <w:pPr>
              <w:jc w:val="left"/>
            </w:pPr>
            <w:r>
              <w:rPr>
                <w:sz w:val="17"/>
              </w:rPr>
              <w:t>IID-Shuffled FedAvg Control</w:t>
            </w:r>
          </w:p>
        </w:tc>
        <w:tc>
          <w:tcPr>
            <w:tcW w:type="dxa" w:w="1806"/>
            <w:shd w:fill="F1F5F9"/>
            <w:tcMar>
              <w:top w:w="60" w:type="dxa"/>
              <w:bottom w:w="60" w:type="dxa"/>
              <w:left w:w="80" w:type="dxa"/>
              <w:right w:w="80" w:type="dxa"/>
            </w:tcMar>
          </w:tcPr>
          <w:p>
            <w:pPr>
              <w:jc w:val="center"/>
            </w:pPr>
            <w:r>
              <w:rPr>
                <w:sz w:val="17"/>
              </w:rPr>
              <w:t>0.0678 +/- 0.0019</w:t>
            </w:r>
          </w:p>
        </w:tc>
        <w:tc>
          <w:tcPr>
            <w:tcW w:type="dxa" w:w="1806"/>
            <w:shd w:fill="F1F5F9"/>
            <w:tcMar>
              <w:top w:w="60" w:type="dxa"/>
              <w:bottom w:w="60" w:type="dxa"/>
              <w:left w:w="80" w:type="dxa"/>
              <w:right w:w="80" w:type="dxa"/>
            </w:tcMar>
          </w:tcPr>
          <w:p>
            <w:pPr>
              <w:jc w:val="center"/>
            </w:pPr>
            <w:r>
              <w:rPr>
                <w:sz w:val="17"/>
              </w:rPr>
              <w:t>0.0956 +/- 0.0023</w:t>
            </w:r>
          </w:p>
        </w:tc>
        <w:tc>
          <w:tcPr>
            <w:tcW w:type="dxa" w:w="1806"/>
            <w:shd w:fill="F1F5F9"/>
            <w:tcMar>
              <w:top w:w="60" w:type="dxa"/>
              <w:bottom w:w="60" w:type="dxa"/>
              <w:left w:w="80" w:type="dxa"/>
              <w:right w:w="80" w:type="dxa"/>
            </w:tcMar>
          </w:tcPr>
          <w:p>
            <w:pPr>
              <w:jc w:val="center"/>
            </w:pPr>
            <w:r>
              <w:rPr>
                <w:sz w:val="17"/>
              </w:rPr>
              <w:t>0.0711 +/- 0.0019</w:t>
            </w:r>
          </w:p>
        </w:tc>
        <w:tc>
          <w:tcPr>
            <w:tcW w:type="dxa" w:w="1806"/>
            <w:shd w:fill="F1F5F9"/>
            <w:tcMar>
              <w:top w:w="60" w:type="dxa"/>
              <w:bottom w:w="60" w:type="dxa"/>
              <w:left w:w="80" w:type="dxa"/>
              <w:right w:w="80" w:type="dxa"/>
            </w:tcMar>
          </w:tcPr>
          <w:p>
            <w:pPr>
              <w:jc w:val="center"/>
            </w:pPr>
            <w:r>
              <w:rPr>
                <w:sz w:val="17"/>
              </w:rPr>
              <w:t>0.0361 +/- 0.0012</w:t>
            </w:r>
          </w:p>
        </w:tc>
      </w:tr>
      <w:tr>
        <w:tc>
          <w:tcPr>
            <w:tcW w:type="dxa" w:w="1806"/>
            <w:shd w:fill="FFFFFF"/>
            <w:tcMar>
              <w:top w:w="60" w:type="dxa"/>
              <w:bottom w:w="60" w:type="dxa"/>
              <w:left w:w="80" w:type="dxa"/>
              <w:right w:w="80" w:type="dxa"/>
            </w:tcMar>
          </w:tcPr>
          <w:p>
            <w:pPr>
              <w:jc w:val="left"/>
            </w:pPr>
            <w:r>
              <w:rPr>
                <w:sz w:val="17"/>
              </w:rPr>
              <w:t>FedProx (mu = 0.01) [19]</w:t>
            </w:r>
          </w:p>
        </w:tc>
        <w:tc>
          <w:tcPr>
            <w:tcW w:type="dxa" w:w="1806"/>
            <w:shd w:fill="FFFFFF"/>
            <w:tcMar>
              <w:top w:w="60" w:type="dxa"/>
              <w:bottom w:w="60" w:type="dxa"/>
              <w:left w:w="80" w:type="dxa"/>
              <w:right w:w="80" w:type="dxa"/>
            </w:tcMar>
          </w:tcPr>
          <w:p>
            <w:pPr>
              <w:jc w:val="center"/>
            </w:pPr>
            <w:r>
              <w:rPr>
                <w:sz w:val="17"/>
              </w:rPr>
              <w:t>0.1305 +/- 0.0162</w:t>
            </w:r>
          </w:p>
        </w:tc>
        <w:tc>
          <w:tcPr>
            <w:tcW w:type="dxa" w:w="1806"/>
            <w:shd w:fill="FFFFFF"/>
            <w:tcMar>
              <w:top w:w="60" w:type="dxa"/>
              <w:bottom w:w="60" w:type="dxa"/>
              <w:left w:w="80" w:type="dxa"/>
              <w:right w:w="80" w:type="dxa"/>
            </w:tcMar>
          </w:tcPr>
          <w:p>
            <w:pPr>
              <w:jc w:val="center"/>
            </w:pPr>
            <w:r>
              <w:rPr>
                <w:sz w:val="17"/>
              </w:rPr>
              <w:t>0.1607 +/- 0.0157</w:t>
            </w:r>
          </w:p>
        </w:tc>
        <w:tc>
          <w:tcPr>
            <w:tcW w:type="dxa" w:w="1806"/>
            <w:shd w:fill="FFFFFF"/>
            <w:tcMar>
              <w:top w:w="60" w:type="dxa"/>
              <w:bottom w:w="60" w:type="dxa"/>
              <w:left w:w="80" w:type="dxa"/>
              <w:right w:w="80" w:type="dxa"/>
            </w:tcMar>
          </w:tcPr>
          <w:p>
            <w:pPr>
              <w:jc w:val="center"/>
            </w:pPr>
            <w:r>
              <w:rPr>
                <w:sz w:val="17"/>
              </w:rPr>
              <w:t>0.1333 +/- 0.0169</w:t>
            </w:r>
          </w:p>
        </w:tc>
        <w:tc>
          <w:tcPr>
            <w:tcW w:type="dxa" w:w="1806"/>
            <w:shd w:fill="FFFFFF"/>
            <w:tcMar>
              <w:top w:w="60" w:type="dxa"/>
              <w:bottom w:w="60" w:type="dxa"/>
              <w:left w:w="80" w:type="dxa"/>
              <w:right w:w="80" w:type="dxa"/>
            </w:tcMar>
          </w:tcPr>
          <w:p>
            <w:pPr>
              <w:jc w:val="center"/>
            </w:pPr>
            <w:r>
              <w:rPr>
                <w:sz w:val="17"/>
              </w:rPr>
              <w:t>0.0573 +/- 0.0040</w:t>
            </w:r>
          </w:p>
        </w:tc>
      </w:tr>
      <w:tr>
        <w:tc>
          <w:tcPr>
            <w:tcW w:type="dxa" w:w="1806"/>
            <w:shd w:fill="F8FAFC"/>
            <w:tcMar>
              <w:top w:w="60" w:type="dxa"/>
              <w:bottom w:w="60" w:type="dxa"/>
              <w:left w:w="80" w:type="dxa"/>
              <w:right w:w="80" w:type="dxa"/>
            </w:tcMar>
          </w:tcPr>
          <w:p>
            <w:pPr>
              <w:jc w:val="left"/>
            </w:pPr>
            <w:r>
              <w:rPr>
                <w:sz w:val="17"/>
              </w:rPr>
              <w:t>FedPer (Shared Base, Private Head) [21]</w:t>
            </w:r>
          </w:p>
        </w:tc>
        <w:tc>
          <w:tcPr>
            <w:tcW w:type="dxa" w:w="1806"/>
            <w:shd w:fill="F8FAFC"/>
            <w:tcMar>
              <w:top w:w="60" w:type="dxa"/>
              <w:bottom w:w="60" w:type="dxa"/>
              <w:left w:w="80" w:type="dxa"/>
              <w:right w:w="80" w:type="dxa"/>
            </w:tcMar>
          </w:tcPr>
          <w:p>
            <w:pPr>
              <w:jc w:val="center"/>
            </w:pPr>
            <w:r>
              <w:rPr>
                <w:sz w:val="17"/>
              </w:rPr>
              <w:t>0.0775 +/- 0.0012</w:t>
            </w:r>
          </w:p>
        </w:tc>
        <w:tc>
          <w:tcPr>
            <w:tcW w:type="dxa" w:w="1806"/>
            <w:shd w:fill="F8FAFC"/>
            <w:tcMar>
              <w:top w:w="60" w:type="dxa"/>
              <w:bottom w:w="60" w:type="dxa"/>
              <w:left w:w="80" w:type="dxa"/>
              <w:right w:w="80" w:type="dxa"/>
            </w:tcMar>
          </w:tcPr>
          <w:p>
            <w:pPr>
              <w:jc w:val="center"/>
            </w:pPr>
            <w:r>
              <w:rPr>
                <w:sz w:val="17"/>
              </w:rPr>
              <w:t>0.1056 +/- 0.0007</w:t>
            </w:r>
          </w:p>
        </w:tc>
        <w:tc>
          <w:tcPr>
            <w:tcW w:type="dxa" w:w="1806"/>
            <w:shd w:fill="F8FAFC"/>
            <w:tcMar>
              <w:top w:w="60" w:type="dxa"/>
              <w:bottom w:w="60" w:type="dxa"/>
              <w:left w:w="80" w:type="dxa"/>
              <w:right w:w="80" w:type="dxa"/>
            </w:tcMar>
          </w:tcPr>
          <w:p>
            <w:pPr>
              <w:jc w:val="center"/>
            </w:pPr>
            <w:r>
              <w:rPr>
                <w:sz w:val="17"/>
              </w:rPr>
              <w:t>0.0798 +/- 0.0009</w:t>
            </w:r>
          </w:p>
        </w:tc>
        <w:tc>
          <w:tcPr>
            <w:tcW w:type="dxa" w:w="1806"/>
            <w:shd w:fill="F8FAFC"/>
            <w:tcMar>
              <w:top w:w="60" w:type="dxa"/>
              <w:bottom w:w="60" w:type="dxa"/>
              <w:left w:w="80" w:type="dxa"/>
              <w:right w:w="80" w:type="dxa"/>
            </w:tcMar>
          </w:tcPr>
          <w:p>
            <w:pPr>
              <w:jc w:val="center"/>
            </w:pPr>
            <w:r>
              <w:rPr>
                <w:sz w:val="17"/>
              </w:rPr>
              <w:t>0.0379 +/- 0.0007</w:t>
            </w:r>
          </w:p>
        </w:tc>
      </w:tr>
      <w:tr>
        <w:tc>
          <w:tcPr>
            <w:tcW w:type="dxa" w:w="1806"/>
            <w:shd w:fill="F1F5F9"/>
            <w:tcMar>
              <w:top w:w="60" w:type="dxa"/>
              <w:bottom w:w="60" w:type="dxa"/>
              <w:left w:w="80" w:type="dxa"/>
              <w:right w:w="80" w:type="dxa"/>
            </w:tcMar>
          </w:tcPr>
          <w:p>
            <w:pPr>
              <w:jc w:val="left"/>
            </w:pPr>
            <w:r>
              <w:rPr>
                <w:b/>
                <w:sz w:val="17"/>
              </w:rPr>
              <w:t>Personalized FedAvg (Ours)</w:t>
            </w:r>
          </w:p>
        </w:tc>
        <w:tc>
          <w:tcPr>
            <w:tcW w:type="dxa" w:w="1806"/>
            <w:shd w:fill="F1F5F9"/>
            <w:tcMar>
              <w:top w:w="60" w:type="dxa"/>
              <w:bottom w:w="60" w:type="dxa"/>
              <w:left w:w="80" w:type="dxa"/>
              <w:right w:w="80" w:type="dxa"/>
            </w:tcMar>
          </w:tcPr>
          <w:p>
            <w:pPr>
              <w:jc w:val="center"/>
            </w:pPr>
            <w:r>
              <w:rPr>
                <w:b/>
                <w:sz w:val="17"/>
              </w:rPr>
              <w:t>0.0592 +/- 0.0004</w:t>
            </w:r>
          </w:p>
        </w:tc>
        <w:tc>
          <w:tcPr>
            <w:tcW w:type="dxa" w:w="1806"/>
            <w:shd w:fill="F1F5F9"/>
            <w:tcMar>
              <w:top w:w="60" w:type="dxa"/>
              <w:bottom w:w="60" w:type="dxa"/>
              <w:left w:w="80" w:type="dxa"/>
              <w:right w:w="80" w:type="dxa"/>
            </w:tcMar>
          </w:tcPr>
          <w:p>
            <w:pPr>
              <w:jc w:val="center"/>
            </w:pPr>
            <w:r>
              <w:rPr>
                <w:b/>
                <w:sz w:val="17"/>
              </w:rPr>
              <w:t>0.0786 +/- 0.0001</w:t>
            </w:r>
          </w:p>
        </w:tc>
        <w:tc>
          <w:tcPr>
            <w:tcW w:type="dxa" w:w="1806"/>
            <w:shd w:fill="F1F5F9"/>
            <w:tcMar>
              <w:top w:w="60" w:type="dxa"/>
              <w:bottom w:w="60" w:type="dxa"/>
              <w:left w:w="80" w:type="dxa"/>
              <w:right w:w="80" w:type="dxa"/>
            </w:tcMar>
          </w:tcPr>
          <w:p>
            <w:pPr>
              <w:jc w:val="center"/>
            </w:pPr>
            <w:r>
              <w:rPr>
                <w:b/>
                <w:sz w:val="17"/>
              </w:rPr>
              <w:t>0.0612 +/- 0.0001</w:t>
            </w:r>
          </w:p>
        </w:tc>
        <w:tc>
          <w:tcPr>
            <w:tcW w:type="dxa" w:w="1806"/>
            <w:shd w:fill="F1F5F9"/>
            <w:tcMar>
              <w:top w:w="60" w:type="dxa"/>
              <w:bottom w:w="60" w:type="dxa"/>
              <w:left w:w="80" w:type="dxa"/>
              <w:right w:w="80" w:type="dxa"/>
            </w:tcMar>
          </w:tcPr>
          <w:p>
            <w:pPr>
              <w:jc w:val="center"/>
            </w:pPr>
            <w:r>
              <w:rPr>
                <w:b/>
                <w:sz w:val="17"/>
              </w:rPr>
              <w:t>0.0243 +/- 0.0014</w:t>
            </w:r>
          </w:p>
        </w:tc>
      </w:tr>
    </w:tbl>
    <w:p>
      <w:pPr>
        <w:spacing w:before="0" w:after="120" w:line="276" w:lineRule="auto"/>
        <w:jc w:val="both"/>
      </w:pPr>
    </w:p>
    <w:p>
      <w:pPr>
        <w:spacing w:before="0" w:after="100" w:line="276" w:lineRule="auto"/>
        <w:jc w:val="both"/>
      </w:pPr>
      <w:r>
        <w:rPr>
          <w:rFonts w:ascii="Times New Roman" w:hAnsi="Times New Roman"/>
          <w:sz w:val="22"/>
        </w:rPr>
        <w:t>Table 3 delivers definitive empirical insights into the nature of federated learning on IoT streams:</w:t>
      </w:r>
    </w:p>
    <w:p>
      <w:pPr>
        <w:pStyle w:val="ListParagraph"/>
        <w:spacing w:before="40" w:after="40"/>
      </w:pPr>
      <w:r>
        <w:rPr>
          <w:b/>
        </w:rPr>
        <w:t xml:space="preserve">1. Quantitative Separation of Heterogeneity vs. Under-Training: </w:t>
      </w:r>
      <w:r>
        <w:t>Under the IID-shuffled control, where statistical heterogeneity between clients is strictly eliminated, FedAvg achieves a pooled MAE of 0.0678 ± 0.0019. Comparing the non-IID FedAvg error (0.0935) and the centralized Attention-LSTM benchmark (0.0217), the total performance gap is 0.0718. Shuffling data IID reduces the gap by 0.0257 (35.8%), leaving a residual gap of 0.0461 (64.2%). Under our experimental decomposition, this residual deficit is strongly consistent with optimization under-training under communication round constraints, while non-IID client drift accounts for the remaining 35.8%, though definitive causal attribution would require full compute-parity training across extended communication rounds.</w:t>
      </w:r>
    </w:p>
    <w:p>
      <w:pPr>
        <w:pStyle w:val="ListParagraph"/>
        <w:spacing w:before="40" w:after="40"/>
      </w:pPr>
      <w:r>
        <w:rPr>
          <w:b/>
        </w:rPr>
        <w:t xml:space="preserve">2. Algorithmic Comparison: FedProx vs. FedPer vs. Fine-Tuning: </w:t>
      </w:r>
      <w:r>
        <w:t>Adding proximal regularization (FedProx, mu = 0.01) achieves an MAE of 0.1305 ± 0.0162. Because clients are already starved of local updates (~256 steps), the proximal penalty anchors parameters to an under-converged global model, adding optimization friction. In contrast, decoupling the network via FedPer (federating base recurrent representations while keeping classification heads local) substantially improves accuracy, achieving an MAE of 0.0775 ± 0.0012. However, post-aggregation local fine-tuning (Personalized FedAvg) achieves the superior result (MAE: 0.0592 ± 0.0004), representing a 36.7% relative error reduction over global FedAvg and recovering 47.8% of the performance gap toward centralized Attention-LSTM (and 50.6% recovery in the primary single-seed benchmark).</w:t>
      </w:r>
    </w:p>
    <w:p>
      <w:pPr>
        <w:pStyle w:val="ListParagraph"/>
        <w:spacing w:before="40" w:after="40"/>
      </w:pPr>
      <w:r>
        <w:rPr>
          <w:b/>
        </w:rPr>
        <w:t xml:space="preserve">3. Variance Compression &amp; Outlier Mitigation: </w:t>
      </w:r>
      <w:r>
        <w:t>Personalization compresses between-lot standard deviation (sigma) by 51.2%, falling from 0.0498 to 0.0243. Under global FedAvg, severe outlier error occurs at BHMBRCBRG01 (MAE: 0.2599) and BHMBRCBRG02 (MAE: 0.2080). Personalization cuts the error of BHMBRCBRG01 to 0.1240 (a 52.3% reduction) and BHMBRCBRG02 to 0.0992 (a 52.3% reduction). The highest remaining personalized MAE across all 30 facilities is 0.1268 at NIA North, caused by its extremely sparse training set (only 69 sequences).</w:t>
      </w:r>
    </w:p>
    <w:p>
      <w:pPr>
        <w:pStyle w:val="ListParagraph"/>
        <w:spacing w:before="40" w:after="80"/>
      </w:pPr>
      <w:r>
        <w:rPr>
          <w:b/>
        </w:rPr>
        <w:t xml:space="preserve">4. Physical Space Error Scaling: </w:t>
      </w:r>
      <w:r>
        <w:t>In the primary single-run benchmark (Table 2), Global FedAvg incurs an unweighted macro space error of 126.8 bays (130.6 sample-weighted micro bays), while Personalized FedAvg reduces this to 73.2 bays (75.0 micro bays), achieving a 42.3% reduction in physical parking allocation error. Across the three-seed evaluation (Table 3), Global FedAvg achieves an unweighted macro space error of 118.5 ± 2.6 bays (121.3 ± 2.8 micro bays), whereas Personalized FedAvg reduces space error to 82.4 ± 0.4 bays (84.0 ± 0.4 micro bays). In stark contrast, the zero-communication Local Linear AR(4) baseline incurs only 13.9 bays of unweighted macro space error (17.6 sample-weighted micro bays), demonstrating that if municipal governance permits local-only processing, isolated local linear models are overwhelmingly superior.</w:t>
      </w:r>
    </w:p>
    <w:p>
      <w:pPr>
        <w:jc w:val="center"/>
      </w:pPr>
      <w:r>
        <w:drawing>
          <wp:inline xmlns:a="http://schemas.openxmlformats.org/drawingml/2006/main" xmlns:pic="http://schemas.openxmlformats.org/drawingml/2006/picture">
            <wp:extent cx="5486400" cy="3291840"/>
            <wp:docPr id="3" name="Picture 3"/>
            <wp:cNvGraphicFramePr>
              <a:graphicFrameLocks noChangeAspect="1"/>
            </wp:cNvGraphicFramePr>
            <a:graphic>
              <a:graphicData uri="http://schemas.openxmlformats.org/drawingml/2006/picture">
                <pic:pic>
                  <pic:nvPicPr>
                    <pic:cNvPr id="0" name="fig2_personalization_distribution_boxplot.png"/>
                    <pic:cNvPicPr/>
                  </pic:nvPicPr>
                  <pic:blipFill>
                    <a:blip r:embed="rId11"/>
                    <a:stretch>
                      <a:fillRect/>
                    </a:stretch>
                  </pic:blipFill>
                  <pic:spPr>
                    <a:xfrm>
                      <a:off x="0" y="0"/>
                      <a:ext cx="5486400" cy="3291840"/>
                    </a:xfrm>
                    <a:prstGeom prst="rect"/>
                  </pic:spPr>
                </pic:pic>
              </a:graphicData>
            </a:graphic>
          </wp:inline>
        </w:drawing>
      </w:r>
    </w:p>
    <w:p>
      <w:pPr>
        <w:spacing w:before="120" w:after="80"/>
        <w:jc w:val="center"/>
      </w:pPr>
      <w:r>
        <w:rPr>
          <w:rFonts w:ascii="Times New Roman" w:hAnsi="Times New Roman"/>
          <w:b/>
          <w:sz w:val="19"/>
        </w:rPr>
        <w:t xml:space="preserve">Figure </w:t>
      </w:r>
      <w:r>
        <w:rPr>
          <w:rFonts w:ascii="Times New Roman" w:hAnsi="Times New Roman"/>
          <w:i w:val="0"/>
          <w:sz w:val="19"/>
        </w:rPr>
        <w:t>3. Inter-Lot Error Distribution &amp; Variance Reduction across 30 Facilities: Boxplot comparison of Local Linear, Centralized, Global FedAvg, and Personalized FedAvg.</w:t>
      </w:r>
    </w:p>
    <w:p>
      <w:pPr>
        <w:keepNext/>
        <w:spacing w:before="200" w:after="60"/>
      </w:pPr>
      <w:r>
        <w:rPr>
          <w:rFonts w:ascii="Times New Roman" w:hAnsi="Times New Roman"/>
          <w:b/>
          <w:color w:val="2F4F7F"/>
          <w:sz w:val="23"/>
        </w:rPr>
        <w:t>4.3 Controlled Round Scaling and Diminishing Returns</w:t>
      </w:r>
    </w:p>
    <w:p>
      <w:pPr>
        <w:spacing w:before="0" w:after="100" w:line="276" w:lineRule="auto"/>
        <w:jc w:val="both"/>
      </w:pPr>
      <w:r>
        <w:rPr>
          <w:rFonts w:ascii="Times New Roman" w:hAnsi="Times New Roman"/>
          <w:sz w:val="22"/>
        </w:rPr>
        <w:t>To evaluate whether additional federated communication rounds can bridge the performance gap, we conducted a controlled round scaling experiment across all 30 clients with R in {4, 8, 12, 16}. This ablation was evaluated under local batch size B = 64 (which halves the gradient updates per epoch relative to the primary benchmark's B = 32). Table 4 and Figure 4 document the convergence trajectory.</w:t>
      </w:r>
    </w:p>
    <w:p>
      <w:pPr>
        <w:spacing w:before="120" w:after="80"/>
        <w:jc w:val="center"/>
      </w:pPr>
      <w:r>
        <w:rPr>
          <w:rFonts w:ascii="Times New Roman" w:hAnsi="Times New Roman"/>
          <w:b/>
          <w:sz w:val="19"/>
        </w:rPr>
        <w:t xml:space="preserve">Table </w:t>
      </w:r>
      <w:r>
        <w:rPr>
          <w:rFonts w:ascii="Times New Roman" w:hAnsi="Times New Roman"/>
          <w:i w:val="0"/>
          <w:sz w:val="19"/>
        </w:rPr>
        <w:t>4. Controlled 30-Client Round Scaling Ablation Trajectory (B = 64, E = 2, eta = 0.001).</w:t>
      </w:r>
    </w:p>
    <w:tbl>
      <w:tblPr>
        <w:tblW w:type="auto" w:w="0"/>
        <w:jc w:val="center"/>
        <w:tblLook w:firstColumn="1" w:firstRow="1" w:lastColumn="0" w:lastRow="0" w:noHBand="0" w:noVBand="1" w:val="04A0"/>
        <w:tblBorders>
          <w:top w:val="single" w:sz="8" w:space="0" w:color="1F3864"/>
          <w:bottom w:val="single" w:sz="8" w:space="0" w:color="1F3864"/>
          <w:left w:val="none"/>
          <w:right w:val="none"/>
          <w:insideH w:val="single" w:sz="4" w:space="0" w:color="CBD5E1"/>
          <w:insideV w:val="none"/>
        </w:tblBorders>
      </w:tblPr>
      <w:tblGrid>
        <w:gridCol w:w="1806"/>
        <w:gridCol w:w="1806"/>
        <w:gridCol w:w="1806"/>
        <w:gridCol w:w="1806"/>
        <w:gridCol w:w="1806"/>
      </w:tblGrid>
      <w:tr>
        <w:tc>
          <w:tcPr>
            <w:tcW w:type="dxa" w:w="1806"/>
            <w:shd w:fill="1F3864"/>
            <w:tcMar>
              <w:top w:w="100" w:type="dxa"/>
              <w:bottom w:w="100" w:type="dxa"/>
              <w:left w:w="100" w:type="dxa"/>
              <w:right w:w="100" w:type="dxa"/>
            </w:tcMar>
          </w:tcPr>
          <w:p>
            <w:pPr>
              <w:jc w:val="center"/>
            </w:pPr>
            <w:r>
              <w:rPr>
                <w:b/>
                <w:color w:val="FFFFFF"/>
                <w:sz w:val="17"/>
              </w:rPr>
              <w:t>Communication Rounds (R)</w:t>
            </w:r>
          </w:p>
        </w:tc>
        <w:tc>
          <w:tcPr>
            <w:tcW w:type="dxa" w:w="1806"/>
            <w:shd w:fill="1F3864"/>
            <w:tcMar>
              <w:top w:w="100" w:type="dxa"/>
              <w:bottom w:w="100" w:type="dxa"/>
              <w:left w:w="100" w:type="dxa"/>
              <w:right w:w="100" w:type="dxa"/>
            </w:tcMar>
          </w:tcPr>
          <w:p>
            <w:pPr>
              <w:jc w:val="center"/>
            </w:pPr>
            <w:r>
              <w:rPr>
                <w:b/>
                <w:color w:val="FFFFFF"/>
                <w:sz w:val="17"/>
              </w:rPr>
              <w:t>Mean Train MSE</w:t>
            </w:r>
          </w:p>
        </w:tc>
        <w:tc>
          <w:tcPr>
            <w:tcW w:type="dxa" w:w="1806"/>
            <w:shd w:fill="1F3864"/>
            <w:tcMar>
              <w:top w:w="100" w:type="dxa"/>
              <w:bottom w:w="100" w:type="dxa"/>
              <w:left w:w="100" w:type="dxa"/>
              <w:right w:w="100" w:type="dxa"/>
            </w:tcMar>
          </w:tcPr>
          <w:p>
            <w:pPr>
              <w:jc w:val="center"/>
            </w:pPr>
            <w:r>
              <w:rPr>
                <w:b/>
                <w:color w:val="FFFFFF"/>
                <w:sz w:val="17"/>
              </w:rPr>
              <w:t>Pooled Test MAE (y_30)</w:t>
            </w:r>
          </w:p>
        </w:tc>
        <w:tc>
          <w:tcPr>
            <w:tcW w:type="dxa" w:w="1806"/>
            <w:shd w:fill="1F3864"/>
            <w:tcMar>
              <w:top w:w="100" w:type="dxa"/>
              <w:bottom w:w="100" w:type="dxa"/>
              <w:left w:w="100" w:type="dxa"/>
              <w:right w:w="100" w:type="dxa"/>
            </w:tcMar>
          </w:tcPr>
          <w:p>
            <w:pPr>
              <w:jc w:val="center"/>
            </w:pPr>
            <w:r>
              <w:rPr>
                <w:b/>
                <w:color w:val="FFFFFF"/>
                <w:sz w:val="17"/>
              </w:rPr>
              <w:t>Macro Mean MAE</w:t>
            </w:r>
          </w:p>
        </w:tc>
        <w:tc>
          <w:tcPr>
            <w:tcW w:type="dxa" w:w="1806"/>
            <w:shd w:fill="1F3864"/>
            <w:tcMar>
              <w:top w:w="100" w:type="dxa"/>
              <w:bottom w:w="100" w:type="dxa"/>
              <w:left w:w="100" w:type="dxa"/>
              <w:right w:w="100" w:type="dxa"/>
            </w:tcMar>
          </w:tcPr>
          <w:p>
            <w:pPr>
              <w:jc w:val="center"/>
            </w:pPr>
            <w:r>
              <w:rPr>
                <w:b/>
                <w:color w:val="FFFFFF"/>
                <w:sz w:val="17"/>
              </w:rPr>
              <w:t>Between-Lot Std (sigma)</w:t>
            </w:r>
          </w:p>
        </w:tc>
      </w:tr>
      <w:tr>
        <w:tc>
          <w:tcPr>
            <w:tcW w:type="dxa" w:w="1806"/>
            <w:shd w:fill="FFFFFF"/>
            <w:tcMar>
              <w:top w:w="60" w:type="dxa"/>
              <w:bottom w:w="60" w:type="dxa"/>
              <w:left w:w="80" w:type="dxa"/>
              <w:right w:w="80" w:type="dxa"/>
            </w:tcMar>
          </w:tcPr>
          <w:p>
            <w:pPr>
              <w:jc w:val="center"/>
            </w:pPr>
            <w:r>
              <w:rPr>
                <w:sz w:val="17"/>
              </w:rPr>
              <w:t>4 Rounds</w:t>
            </w:r>
          </w:p>
        </w:tc>
        <w:tc>
          <w:tcPr>
            <w:tcW w:type="dxa" w:w="1806"/>
            <w:shd w:fill="FFFFFF"/>
            <w:tcMar>
              <w:top w:w="60" w:type="dxa"/>
              <w:bottom w:w="60" w:type="dxa"/>
              <w:left w:w="80" w:type="dxa"/>
              <w:right w:w="80" w:type="dxa"/>
            </w:tcMar>
          </w:tcPr>
          <w:p>
            <w:pPr>
              <w:jc w:val="center"/>
            </w:pPr>
            <w:r>
              <w:rPr>
                <w:sz w:val="17"/>
              </w:rPr>
              <w:t>0.0410</w:t>
            </w:r>
          </w:p>
        </w:tc>
        <w:tc>
          <w:tcPr>
            <w:tcW w:type="dxa" w:w="1806"/>
            <w:shd w:fill="FFFFFF"/>
            <w:tcMar>
              <w:top w:w="60" w:type="dxa"/>
              <w:bottom w:w="60" w:type="dxa"/>
              <w:left w:w="80" w:type="dxa"/>
              <w:right w:w="80" w:type="dxa"/>
            </w:tcMar>
          </w:tcPr>
          <w:p>
            <w:pPr>
              <w:jc w:val="center"/>
            </w:pPr>
            <w:r>
              <w:rPr>
                <w:sz w:val="17"/>
              </w:rPr>
              <w:t>0.2062</w:t>
            </w:r>
          </w:p>
        </w:tc>
        <w:tc>
          <w:tcPr>
            <w:tcW w:type="dxa" w:w="1806"/>
            <w:shd w:fill="FFFFFF"/>
            <w:tcMar>
              <w:top w:w="60" w:type="dxa"/>
              <w:bottom w:w="60" w:type="dxa"/>
              <w:left w:w="80" w:type="dxa"/>
              <w:right w:w="80" w:type="dxa"/>
            </w:tcMar>
          </w:tcPr>
          <w:p>
            <w:pPr>
              <w:jc w:val="center"/>
            </w:pPr>
            <w:r>
              <w:rPr>
                <w:sz w:val="17"/>
              </w:rPr>
              <w:t>0.2116</w:t>
            </w:r>
          </w:p>
        </w:tc>
        <w:tc>
          <w:tcPr>
            <w:tcW w:type="dxa" w:w="1806"/>
            <w:shd w:fill="FFFFFF"/>
            <w:tcMar>
              <w:top w:w="60" w:type="dxa"/>
              <w:bottom w:w="60" w:type="dxa"/>
              <w:left w:w="80" w:type="dxa"/>
              <w:right w:w="80" w:type="dxa"/>
            </w:tcMar>
          </w:tcPr>
          <w:p>
            <w:pPr>
              <w:jc w:val="center"/>
            </w:pPr>
            <w:r>
              <w:rPr>
                <w:sz w:val="17"/>
              </w:rPr>
              <w:t>0.0857</w:t>
            </w:r>
          </w:p>
        </w:tc>
      </w:tr>
      <w:tr>
        <w:tc>
          <w:tcPr>
            <w:tcW w:type="dxa" w:w="1806"/>
            <w:shd w:fill="F8FAFC"/>
            <w:tcMar>
              <w:top w:w="60" w:type="dxa"/>
              <w:bottom w:w="60" w:type="dxa"/>
              <w:left w:w="80" w:type="dxa"/>
              <w:right w:w="80" w:type="dxa"/>
            </w:tcMar>
          </w:tcPr>
          <w:p>
            <w:pPr>
              <w:jc w:val="center"/>
            </w:pPr>
            <w:r>
              <w:rPr>
                <w:sz w:val="17"/>
              </w:rPr>
              <w:t>8 Rounds (B=64 Ablation)</w:t>
            </w:r>
          </w:p>
        </w:tc>
        <w:tc>
          <w:tcPr>
            <w:tcW w:type="dxa" w:w="1806"/>
            <w:shd w:fill="F8FAFC"/>
            <w:tcMar>
              <w:top w:w="60" w:type="dxa"/>
              <w:bottom w:w="60" w:type="dxa"/>
              <w:left w:w="80" w:type="dxa"/>
              <w:right w:w="80" w:type="dxa"/>
            </w:tcMar>
          </w:tcPr>
          <w:p>
            <w:pPr>
              <w:jc w:val="center"/>
            </w:pPr>
            <w:r>
              <w:rPr>
                <w:sz w:val="17"/>
              </w:rPr>
              <w:t>0.0128</w:t>
            </w:r>
          </w:p>
        </w:tc>
        <w:tc>
          <w:tcPr>
            <w:tcW w:type="dxa" w:w="1806"/>
            <w:shd w:fill="F8FAFC"/>
            <w:tcMar>
              <w:top w:w="60" w:type="dxa"/>
              <w:bottom w:w="60" w:type="dxa"/>
              <w:left w:w="80" w:type="dxa"/>
              <w:right w:w="80" w:type="dxa"/>
            </w:tcMar>
          </w:tcPr>
          <w:p>
            <w:pPr>
              <w:jc w:val="center"/>
            </w:pPr>
            <w:r>
              <w:rPr>
                <w:sz w:val="17"/>
              </w:rPr>
              <w:t>0.1144</w:t>
            </w:r>
          </w:p>
        </w:tc>
        <w:tc>
          <w:tcPr>
            <w:tcW w:type="dxa" w:w="1806"/>
            <w:shd w:fill="F8FAFC"/>
            <w:tcMar>
              <w:top w:w="60" w:type="dxa"/>
              <w:bottom w:w="60" w:type="dxa"/>
              <w:left w:w="80" w:type="dxa"/>
              <w:right w:w="80" w:type="dxa"/>
            </w:tcMar>
          </w:tcPr>
          <w:p>
            <w:pPr>
              <w:jc w:val="center"/>
            </w:pPr>
            <w:r>
              <w:rPr>
                <w:sz w:val="17"/>
              </w:rPr>
              <w:t>0.1170</w:t>
            </w:r>
          </w:p>
        </w:tc>
        <w:tc>
          <w:tcPr>
            <w:tcW w:type="dxa" w:w="1806"/>
            <w:shd w:fill="F8FAFC"/>
            <w:tcMar>
              <w:top w:w="60" w:type="dxa"/>
              <w:bottom w:w="60" w:type="dxa"/>
              <w:left w:w="80" w:type="dxa"/>
              <w:right w:w="80" w:type="dxa"/>
            </w:tcMar>
          </w:tcPr>
          <w:p>
            <w:pPr>
              <w:jc w:val="center"/>
            </w:pPr>
            <w:r>
              <w:rPr>
                <w:sz w:val="17"/>
              </w:rPr>
              <w:t>0.0538</w:t>
            </w:r>
          </w:p>
        </w:tc>
      </w:tr>
      <w:tr>
        <w:tc>
          <w:tcPr>
            <w:tcW w:type="dxa" w:w="1806"/>
            <w:shd w:fill="FFFFFF"/>
            <w:tcMar>
              <w:top w:w="60" w:type="dxa"/>
              <w:bottom w:w="60" w:type="dxa"/>
              <w:left w:w="80" w:type="dxa"/>
              <w:right w:w="80" w:type="dxa"/>
            </w:tcMar>
          </w:tcPr>
          <w:p>
            <w:pPr>
              <w:jc w:val="center"/>
            </w:pPr>
            <w:r>
              <w:rPr>
                <w:sz w:val="17"/>
              </w:rPr>
              <w:t>12 Rounds</w:t>
            </w:r>
          </w:p>
        </w:tc>
        <w:tc>
          <w:tcPr>
            <w:tcW w:type="dxa" w:w="1806"/>
            <w:shd w:fill="FFFFFF"/>
            <w:tcMar>
              <w:top w:w="60" w:type="dxa"/>
              <w:bottom w:w="60" w:type="dxa"/>
              <w:left w:w="80" w:type="dxa"/>
              <w:right w:w="80" w:type="dxa"/>
            </w:tcMar>
          </w:tcPr>
          <w:p>
            <w:pPr>
              <w:jc w:val="center"/>
            </w:pPr>
            <w:r>
              <w:rPr>
                <w:sz w:val="17"/>
              </w:rPr>
              <w:t>0.0093</w:t>
            </w:r>
          </w:p>
        </w:tc>
        <w:tc>
          <w:tcPr>
            <w:tcW w:type="dxa" w:w="1806"/>
            <w:shd w:fill="FFFFFF"/>
            <w:tcMar>
              <w:top w:w="60" w:type="dxa"/>
              <w:bottom w:w="60" w:type="dxa"/>
              <w:left w:w="80" w:type="dxa"/>
              <w:right w:w="80" w:type="dxa"/>
            </w:tcMar>
          </w:tcPr>
          <w:p>
            <w:pPr>
              <w:jc w:val="center"/>
            </w:pPr>
            <w:r>
              <w:rPr>
                <w:sz w:val="17"/>
              </w:rPr>
              <w:t>0.1006</w:t>
            </w:r>
          </w:p>
        </w:tc>
        <w:tc>
          <w:tcPr>
            <w:tcW w:type="dxa" w:w="1806"/>
            <w:shd w:fill="FFFFFF"/>
            <w:tcMar>
              <w:top w:w="60" w:type="dxa"/>
              <w:bottom w:w="60" w:type="dxa"/>
              <w:left w:w="80" w:type="dxa"/>
              <w:right w:w="80" w:type="dxa"/>
            </w:tcMar>
          </w:tcPr>
          <w:p>
            <w:pPr>
              <w:jc w:val="center"/>
            </w:pPr>
            <w:r>
              <w:rPr>
                <w:sz w:val="17"/>
              </w:rPr>
              <w:t>0.1036</w:t>
            </w:r>
          </w:p>
        </w:tc>
        <w:tc>
          <w:tcPr>
            <w:tcW w:type="dxa" w:w="1806"/>
            <w:shd w:fill="FFFFFF"/>
            <w:tcMar>
              <w:top w:w="60" w:type="dxa"/>
              <w:bottom w:w="60" w:type="dxa"/>
              <w:left w:w="80" w:type="dxa"/>
              <w:right w:w="80" w:type="dxa"/>
            </w:tcMar>
          </w:tcPr>
          <w:p>
            <w:pPr>
              <w:jc w:val="center"/>
            </w:pPr>
            <w:r>
              <w:rPr>
                <w:sz w:val="17"/>
              </w:rPr>
              <w:t>0.0513</w:t>
            </w:r>
          </w:p>
        </w:tc>
      </w:tr>
      <w:tr>
        <w:tc>
          <w:tcPr>
            <w:tcW w:type="dxa" w:w="1806"/>
            <w:shd w:fill="F8FAFC"/>
            <w:tcMar>
              <w:top w:w="60" w:type="dxa"/>
              <w:bottom w:w="60" w:type="dxa"/>
              <w:left w:w="80" w:type="dxa"/>
              <w:right w:w="80" w:type="dxa"/>
            </w:tcMar>
          </w:tcPr>
          <w:p>
            <w:pPr>
              <w:jc w:val="center"/>
            </w:pPr>
            <w:r>
              <w:rPr>
                <w:sz w:val="17"/>
              </w:rPr>
              <w:t>16 Rounds</w:t>
            </w:r>
          </w:p>
        </w:tc>
        <w:tc>
          <w:tcPr>
            <w:tcW w:type="dxa" w:w="1806"/>
            <w:shd w:fill="F8FAFC"/>
            <w:tcMar>
              <w:top w:w="60" w:type="dxa"/>
              <w:bottom w:w="60" w:type="dxa"/>
              <w:left w:w="80" w:type="dxa"/>
              <w:right w:w="80" w:type="dxa"/>
            </w:tcMar>
          </w:tcPr>
          <w:p>
            <w:pPr>
              <w:jc w:val="center"/>
            </w:pPr>
            <w:r>
              <w:rPr>
                <w:sz w:val="17"/>
              </w:rPr>
              <w:t>0.0085</w:t>
            </w:r>
          </w:p>
        </w:tc>
        <w:tc>
          <w:tcPr>
            <w:tcW w:type="dxa" w:w="1806"/>
            <w:shd w:fill="F8FAFC"/>
            <w:tcMar>
              <w:top w:w="60" w:type="dxa"/>
              <w:bottom w:w="60" w:type="dxa"/>
              <w:left w:w="80" w:type="dxa"/>
              <w:right w:w="80" w:type="dxa"/>
            </w:tcMar>
          </w:tcPr>
          <w:p>
            <w:pPr>
              <w:jc w:val="center"/>
            </w:pPr>
            <w:r>
              <w:rPr>
                <w:sz w:val="17"/>
              </w:rPr>
              <w:t>0.0978</w:t>
            </w:r>
          </w:p>
        </w:tc>
        <w:tc>
          <w:tcPr>
            <w:tcW w:type="dxa" w:w="1806"/>
            <w:shd w:fill="F8FAFC"/>
            <w:tcMar>
              <w:top w:w="60" w:type="dxa"/>
              <w:bottom w:w="60" w:type="dxa"/>
              <w:left w:w="80" w:type="dxa"/>
              <w:right w:w="80" w:type="dxa"/>
            </w:tcMar>
          </w:tcPr>
          <w:p>
            <w:pPr>
              <w:jc w:val="center"/>
            </w:pPr>
            <w:r>
              <w:rPr>
                <w:sz w:val="17"/>
              </w:rPr>
              <w:t>0.0999</w:t>
            </w:r>
          </w:p>
        </w:tc>
        <w:tc>
          <w:tcPr>
            <w:tcW w:type="dxa" w:w="1806"/>
            <w:shd w:fill="F8FAFC"/>
            <w:tcMar>
              <w:top w:w="60" w:type="dxa"/>
              <w:bottom w:w="60" w:type="dxa"/>
              <w:left w:w="80" w:type="dxa"/>
              <w:right w:w="80" w:type="dxa"/>
            </w:tcMar>
          </w:tcPr>
          <w:p>
            <w:pPr>
              <w:jc w:val="center"/>
            </w:pPr>
            <w:r>
              <w:rPr>
                <w:sz w:val="17"/>
              </w:rPr>
              <w:t>0.0497</w:t>
            </w:r>
          </w:p>
        </w:tc>
      </w:tr>
    </w:tbl>
    <w:p>
      <w:pPr>
        <w:spacing w:before="0" w:after="120" w:line="276" w:lineRule="auto"/>
        <w:jc w:val="both"/>
      </w:pPr>
    </w:p>
    <w:p>
      <w:pPr>
        <w:jc w:val="center"/>
      </w:pPr>
      <w:r>
        <w:drawing>
          <wp:inline xmlns:a="http://schemas.openxmlformats.org/drawingml/2006/main" xmlns:pic="http://schemas.openxmlformats.org/drawingml/2006/picture">
            <wp:extent cx="5303520" cy="3182112"/>
            <wp:docPr id="4" name="Picture 4"/>
            <wp:cNvGraphicFramePr>
              <a:graphicFrameLocks noChangeAspect="1"/>
            </wp:cNvGraphicFramePr>
            <a:graphic>
              <a:graphicData uri="http://schemas.openxmlformats.org/drawingml/2006/picture">
                <pic:pic>
                  <pic:nvPicPr>
                    <pic:cNvPr id="0" name="fig4_round_scaling_30clients.png"/>
                    <pic:cNvPicPr/>
                  </pic:nvPicPr>
                  <pic:blipFill>
                    <a:blip r:embed="rId12"/>
                    <a:stretch>
                      <a:fillRect/>
                    </a:stretch>
                  </pic:blipFill>
                  <pic:spPr>
                    <a:xfrm>
                      <a:off x="0" y="0"/>
                      <a:ext cx="5303520" cy="3182112"/>
                    </a:xfrm>
                    <a:prstGeom prst="rect"/>
                  </pic:spPr>
                </pic:pic>
              </a:graphicData>
            </a:graphic>
          </wp:inline>
        </w:drawing>
      </w:r>
    </w:p>
    <w:p>
      <w:pPr>
        <w:spacing w:before="120" w:after="80"/>
        <w:jc w:val="center"/>
      </w:pPr>
      <w:r>
        <w:rPr>
          <w:rFonts w:ascii="Times New Roman" w:hAnsi="Times New Roman"/>
          <w:b/>
          <w:sz w:val="19"/>
        </w:rPr>
        <w:t xml:space="preserve">Figure </w:t>
      </w:r>
      <w:r>
        <w:rPr>
          <w:rFonts w:ascii="Times New Roman" w:hAnsi="Times New Roman"/>
          <w:i w:val="0"/>
          <w:sz w:val="19"/>
        </w:rPr>
        <w:t>4. Controlled 30-Client Round Scaling: Convergence Trajectory and Plateau Behavior (B = 64).</w:t>
      </w:r>
    </w:p>
    <w:p>
      <w:pPr>
        <w:spacing w:before="0" w:after="100" w:line="276" w:lineRule="auto"/>
        <w:jc w:val="both"/>
      </w:pPr>
      <w:r>
        <w:rPr>
          <w:rFonts w:ascii="Times New Roman" w:hAnsi="Times New Roman"/>
          <w:sz w:val="22"/>
        </w:rPr>
        <w:t>Reconciling Table 2 and Table 4 explains the observed numerical differences: in Table 2, FedAvg at R = 8 under batch size B = 32 achieves MAE = 0.1006 (multi-seed average: 0.0935), because clients execute twice as many gradient updates per epoch. In Table 4, under B = 64, FedAvg at R = 8 achieves MAE = 0.1144. Doubling rounds from R = 8 to R = 16 under B = 64 only reduces test MAE from 0.1144 to 0.0978, entering an asymptotic plateau of diminishing returns. In contrast, local personalization at round 8 achieves an MAE of 0.0592-0.0607, demonstrating that post-aggregation edge adaptation is far more computationally efficient than extended global communication rounds.</w:t>
      </w:r>
    </w:p>
    <w:p>
      <w:pPr>
        <w:keepNext/>
        <w:spacing w:before="280" w:after="80"/>
      </w:pPr>
      <w:r>
        <w:rPr>
          <w:rFonts w:ascii="Times New Roman" w:hAnsi="Times New Roman"/>
          <w:b/>
          <w:color w:val="1F3864"/>
          <w:sz w:val="26"/>
        </w:rPr>
        <w:t>5. Discussion and Smart City Governance Implications</w:t>
      </w:r>
    </w:p>
    <w:p>
      <w:pPr>
        <w:keepNext/>
        <w:spacing w:before="200" w:after="60"/>
      </w:pPr>
      <w:r>
        <w:rPr>
          <w:rFonts w:ascii="Times New Roman" w:hAnsi="Times New Roman"/>
          <w:b/>
          <w:color w:val="2F4F7F"/>
          <w:sz w:val="23"/>
        </w:rPr>
        <w:t>5.1 Why Local Linear Models Outperform Complex Neural Networks</w:t>
      </w:r>
    </w:p>
    <w:p>
      <w:pPr>
        <w:spacing w:before="0" w:after="100" w:line="276" w:lineRule="auto"/>
        <w:jc w:val="both"/>
      </w:pPr>
      <w:r>
        <w:rPr>
          <w:rFonts w:ascii="Times New Roman" w:hAnsi="Times New Roman"/>
          <w:sz w:val="22"/>
        </w:rPr>
        <w:t>The empirical finding that a 5-parameter local linear autoregressive model (4 autoregressive lag weights plus intercept) outperforms centralized and federated deep sequence models provides a sobering lesson for intelligent transportation systems engineering. In 30-minute municipal parking streams, vehicular turnover is constrained by traffic dynamics and commuter work schedules. Occupancy does not fluctuate erratically between half-hour readings; rather, it exhibits strong temporal persistence. A simple linear formulation directly captures this autoregressive inertia with only 5 fitted parameters per facility (4 lag weights plus intercept), avoiding the optimization instabilities, gradient saturation, and overfitting risks inherent in 57k-parameter recurrent neural networks.</w:t>
      </w:r>
    </w:p>
    <w:p>
      <w:pPr>
        <w:spacing w:before="0" w:after="100" w:line="276" w:lineRule="auto"/>
        <w:jc w:val="both"/>
      </w:pPr>
      <w:r>
        <w:rPr>
          <w:rFonts w:ascii="Times New Roman" w:hAnsi="Times New Roman"/>
          <w:sz w:val="22"/>
        </w:rPr>
        <w:t>Consequently, if a parking operator possesses private edge compute and is not required to coordinate with outside operators, the optimal engineering decision is to deploy a local linear autoregressive model. It achieves superior accuracy (13.9 bays mean space error), incurs zero communication overhead, requires no GPU hardware, and avoids cross-facility data sharing without requiring external communication.</w:t>
      </w:r>
    </w:p>
    <w:p>
      <w:pPr>
        <w:keepNext/>
        <w:spacing w:before="200" w:after="60"/>
      </w:pPr>
      <w:r>
        <w:rPr>
          <w:rFonts w:ascii="Times New Roman" w:hAnsi="Times New Roman"/>
          <w:b/>
          <w:color w:val="2F4F7F"/>
          <w:sz w:val="23"/>
        </w:rPr>
        <w:t>5.2 Under-Training vs. Non-IID Drift: Quantitative Decomposition</w:t>
      </w:r>
    </w:p>
    <w:p>
      <w:pPr>
        <w:spacing w:before="0" w:after="100" w:line="276" w:lineRule="auto"/>
        <w:jc w:val="both"/>
      </w:pPr>
      <w:r>
        <w:rPr>
          <w:rFonts w:ascii="Times New Roman" w:hAnsi="Times New Roman"/>
          <w:sz w:val="22"/>
        </w:rPr>
        <w:t>Prior studies frequently attribute FedAvg's poor performance to catastrophic 'non-IID spatial collapse'. However, our empirical findings challenge the assumption that non-IID spatial collapse is the sole driver of decentralized performance degradation. While parking facilities vary in physical capacity and peak hours, the underlying functional relationship—namely, that future occupancy is a smooth autoregressive transformation of recent occupancy—is universal across all facilities. Heterogeneity alone cannot prevent a neural network from learning this common persistence mapping.</w:t>
      </w:r>
    </w:p>
    <w:p>
      <w:pPr>
        <w:spacing w:before="0" w:after="100" w:line="276" w:lineRule="auto"/>
        <w:jc w:val="both"/>
      </w:pPr>
      <w:r>
        <w:rPr>
          <w:rFonts w:ascii="Times New Roman" w:hAnsi="Times New Roman"/>
          <w:sz w:val="22"/>
        </w:rPr>
        <w:t>Instead, our experimental decomposition indicates that optimization under-training under communication round constraints is a major contributing factor. Federated clients in an 8-round protocol execute approximately 256 local Adam updates per client, compared to 14,370 optimization steps executed by the centralized model. Our IID-shuffled control experiment (Table 3) provides an empirical decomposition of this division under our benchmarking protocol: statistical heterogeneity accounts for 35.8% of the performance deficit, while the remaining 64.2% is an empirical residual deficit strongly consistent with compute constraints and optimization under-training, though definitive causal proof would require exhaustive compute-parity experiments across extended rounds. Local personalization acts as a high-leverage compensation mechanism: by fine-tuning the under-converged global recurrent features on lot-specific data, the model rapidly aligns its output scale to local capacity, recovering 50.6% of the centralized gap.</w:t>
      </w:r>
    </w:p>
    <w:p>
      <w:pPr>
        <w:keepNext/>
        <w:spacing w:before="200" w:after="60"/>
      </w:pPr>
      <w:r>
        <w:rPr>
          <w:rFonts w:ascii="Times New Roman" w:hAnsi="Times New Roman"/>
          <w:b/>
          <w:color w:val="2F4F7F"/>
          <w:sz w:val="23"/>
        </w:rPr>
        <w:t>5.3 Refuting the Bandwidth Myth: The True Justification for Federation</w:t>
      </w:r>
    </w:p>
    <w:p>
      <w:pPr>
        <w:spacing w:before="0" w:after="100" w:line="276" w:lineRule="auto"/>
        <w:jc w:val="both"/>
      </w:pPr>
      <w:r>
        <w:rPr>
          <w:rFonts w:ascii="Times New Roman" w:hAnsi="Times New Roman"/>
          <w:sz w:val="22"/>
        </w:rPr>
        <w:t>A widespread narrative in federated IoT literature is that federated learning 'reduces uplink communication bandwidth' by transmitting model weights rather than raw data. On low-dimensional tabular and scalar IoT telemetry, this claim is mathematically and empirically false:</w:t>
      </w:r>
    </w:p>
    <w:p>
      <w:pPr>
        <w:pStyle w:val="ListParagraph"/>
        <w:spacing w:before="40" w:after="40"/>
      </w:pPr>
      <w:r>
        <w:rPr>
          <w:b/>
        </w:rPr>
        <w:t xml:space="preserve">• Federated Weight Overhead: </w:t>
      </w:r>
      <w:r>
        <w:t>The Attention-LSTM model comprises exactly 57,474 trainable float32 parameters, occupying 229,896 bytes (224.51 KiB in binary units, or 229.90 KB in decimal units) per client checkpoint. Across 30 clients and 8 communication rounds, bidirectional transmission (uplink + downlink, totaling 480 model transfers) moves exactly 57,474 x 4 x 480 = 110,350,080 bytes = 110.35 MB (105.24 MiB) of network telemetry.</w:t>
      </w:r>
    </w:p>
    <w:p>
      <w:pPr>
        <w:pStyle w:val="ListParagraph"/>
        <w:spacing w:before="40" w:after="60"/>
      </w:pPr>
      <w:r>
        <w:rPr>
          <w:b/>
        </w:rPr>
        <w:t xml:space="preserve">• Raw Telemetry Volume: </w:t>
      </w:r>
      <w:r>
        <w:t>In contrast, the entire raw Birmingham sensor CSV dataset—comprising 35,717 records across all 30 facilities over 73 days—occupies exactly 1,479,909 bytes = 1.48 MB (1.41 MiB) uncompressed (and approximately 420 KB gzip-compressed).</w:t>
      </w:r>
    </w:p>
    <w:p>
      <w:pPr>
        <w:spacing w:before="0" w:after="100" w:line="276" w:lineRule="auto"/>
        <w:jc w:val="both"/>
      </w:pPr>
      <w:r>
        <w:rPr>
          <w:rFonts w:ascii="Times New Roman" w:hAnsi="Times New Roman"/>
          <w:sz w:val="22"/>
        </w:rPr>
        <w:t>Therefore, federated learning increases communication volume by exactly 74.6-fold (110.35 MB vs. 1.48 MB) compared to streaming uncompressed raw sensor telemetry. Federated learning cannot be justified on communication bandwidth-reduction grounds for scalar IoT streams. Instead, federated learning may be justified by institutional data-governance requirements and multi-stakeholder commercial confidentiality, even when it increases communication volume. However, regulatory compliance and formal privacy guarantees depend on the deployment context and may require additional safeguards, such as secure aggregation and differential privacy. Competing private parking operators (e.g., NCP vs. municipal authorities) refuse to pool proprietary operational records in central servers. Federated learning establishes a collaborative organizational framework enabling cross-operator predictive coordination without requiring the centralized pooling of commercial trade secrets.</w:t>
      </w:r>
    </w:p>
    <w:p>
      <w:pPr>
        <w:spacing w:before="120" w:after="80"/>
        <w:jc w:val="center"/>
      </w:pPr>
      <w:r>
        <w:rPr>
          <w:rFonts w:ascii="Times New Roman" w:hAnsi="Times New Roman"/>
          <w:b/>
          <w:sz w:val="19"/>
        </w:rPr>
        <w:t xml:space="preserve">Table </w:t>
      </w:r>
      <w:r>
        <w:rPr>
          <w:rFonts w:ascii="Times New Roman" w:hAnsi="Times New Roman"/>
          <w:i w:val="0"/>
          <w:sz w:val="19"/>
        </w:rPr>
        <w:t>5. Hardware Specifications, Model Parameter Count, and Network Footprint Audit.</w:t>
      </w:r>
    </w:p>
    <w:tbl>
      <w:tblPr>
        <w:tblW w:type="auto" w:w="0"/>
        <w:jc w:val="center"/>
        <w:tblLook w:firstColumn="1" w:firstRow="1" w:lastColumn="0" w:lastRow="0" w:noHBand="0" w:noVBand="1" w:val="04A0"/>
        <w:tblBorders>
          <w:top w:val="single" w:sz="8" w:space="0" w:color="1F3864"/>
          <w:bottom w:val="single" w:sz="8" w:space="0" w:color="1F3864"/>
          <w:left w:val="none"/>
          <w:right w:val="none"/>
          <w:insideH w:val="single" w:sz="4" w:space="0" w:color="CBD5E1"/>
          <w:insideV w:val="none"/>
        </w:tblBorders>
      </w:tblPr>
      <w:tblGrid>
        <w:gridCol w:w="2257"/>
        <w:gridCol w:w="2257"/>
        <w:gridCol w:w="2257"/>
        <w:gridCol w:w="2257"/>
      </w:tblGrid>
      <w:tr>
        <w:tc>
          <w:tcPr>
            <w:tcW w:type="dxa" w:w="2257"/>
            <w:shd w:fill="1F3864"/>
            <w:tcMar>
              <w:top w:w="100" w:type="dxa"/>
              <w:bottom w:w="100" w:type="dxa"/>
              <w:left w:w="100" w:type="dxa"/>
              <w:right w:w="100" w:type="dxa"/>
            </w:tcMar>
          </w:tcPr>
          <w:p>
            <w:pPr>
              <w:jc w:val="center"/>
            </w:pPr>
            <w:r>
              <w:rPr>
                <w:b/>
                <w:color w:val="FFFFFF"/>
                <w:sz w:val="17"/>
              </w:rPr>
              <w:t>Architectural Dimension</w:t>
            </w:r>
          </w:p>
        </w:tc>
        <w:tc>
          <w:tcPr>
            <w:tcW w:type="dxa" w:w="2257"/>
            <w:shd w:fill="1F3864"/>
            <w:tcMar>
              <w:top w:w="100" w:type="dxa"/>
              <w:bottom w:w="100" w:type="dxa"/>
              <w:left w:w="100" w:type="dxa"/>
              <w:right w:w="100" w:type="dxa"/>
            </w:tcMar>
          </w:tcPr>
          <w:p>
            <w:pPr>
              <w:jc w:val="center"/>
            </w:pPr>
            <w:r>
              <w:rPr>
                <w:b/>
                <w:color w:val="FFFFFF"/>
                <w:sz w:val="17"/>
              </w:rPr>
              <w:t>Centralized Attention-LSTM</w:t>
            </w:r>
          </w:p>
        </w:tc>
        <w:tc>
          <w:tcPr>
            <w:tcW w:type="dxa" w:w="2257"/>
            <w:shd w:fill="1F3864"/>
            <w:tcMar>
              <w:top w:w="100" w:type="dxa"/>
              <w:bottom w:w="100" w:type="dxa"/>
              <w:left w:w="100" w:type="dxa"/>
              <w:right w:w="100" w:type="dxa"/>
            </w:tcMar>
          </w:tcPr>
          <w:p>
            <w:pPr>
              <w:jc w:val="center"/>
            </w:pPr>
            <w:r>
              <w:rPr>
                <w:b/>
                <w:color w:val="FFFFFF"/>
                <w:sz w:val="17"/>
              </w:rPr>
              <w:t>Global FedAvg (R = 8)</w:t>
            </w:r>
          </w:p>
        </w:tc>
        <w:tc>
          <w:tcPr>
            <w:tcW w:type="dxa" w:w="2257"/>
            <w:shd w:fill="1F3864"/>
            <w:tcMar>
              <w:top w:w="100" w:type="dxa"/>
              <w:bottom w:w="100" w:type="dxa"/>
              <w:left w:w="100" w:type="dxa"/>
              <w:right w:w="100" w:type="dxa"/>
            </w:tcMar>
          </w:tcPr>
          <w:p>
            <w:pPr>
              <w:jc w:val="center"/>
            </w:pPr>
            <w:r>
              <w:rPr>
                <w:b/>
                <w:color w:val="FFFFFF"/>
                <w:sz w:val="17"/>
              </w:rPr>
              <w:t>Local-Only Linear AR(4)</w:t>
            </w:r>
          </w:p>
        </w:tc>
      </w:tr>
      <w:tr>
        <w:tc>
          <w:tcPr>
            <w:tcW w:type="dxa" w:w="2257"/>
            <w:shd w:fill="FFFFFF"/>
            <w:tcMar>
              <w:top w:w="60" w:type="dxa"/>
              <w:bottom w:w="60" w:type="dxa"/>
              <w:left w:w="80" w:type="dxa"/>
              <w:right w:w="80" w:type="dxa"/>
            </w:tcMar>
          </w:tcPr>
          <w:p>
            <w:pPr>
              <w:jc w:val="left"/>
            </w:pPr>
            <w:r>
              <w:rPr>
                <w:sz w:val="17"/>
              </w:rPr>
              <w:t>Parameter Count</w:t>
            </w:r>
          </w:p>
        </w:tc>
        <w:tc>
          <w:tcPr>
            <w:tcW w:type="dxa" w:w="2257"/>
            <w:shd w:fill="FFFFFF"/>
            <w:tcMar>
              <w:top w:w="60" w:type="dxa"/>
              <w:bottom w:w="60" w:type="dxa"/>
              <w:left w:w="80" w:type="dxa"/>
              <w:right w:w="80" w:type="dxa"/>
            </w:tcMar>
          </w:tcPr>
          <w:p>
            <w:pPr>
              <w:jc w:val="left"/>
            </w:pPr>
            <w:r>
              <w:rPr>
                <w:sz w:val="17"/>
              </w:rPr>
              <w:t>57,474 weights (224.51 KiB / 229.90 KB)</w:t>
            </w:r>
          </w:p>
        </w:tc>
        <w:tc>
          <w:tcPr>
            <w:tcW w:type="dxa" w:w="2257"/>
            <w:shd w:fill="FFFFFF"/>
            <w:tcMar>
              <w:top w:w="60" w:type="dxa"/>
              <w:bottom w:w="60" w:type="dxa"/>
              <w:left w:w="80" w:type="dxa"/>
              <w:right w:w="80" w:type="dxa"/>
            </w:tcMar>
          </w:tcPr>
          <w:p>
            <w:pPr>
              <w:jc w:val="center"/>
            </w:pPr>
            <w:r>
              <w:rPr>
                <w:sz w:val="17"/>
              </w:rPr>
              <w:t>57,474 weights (224.51 KiB / 229.90 KB)</w:t>
            </w:r>
          </w:p>
        </w:tc>
        <w:tc>
          <w:tcPr>
            <w:tcW w:type="dxa" w:w="2257"/>
            <w:shd w:fill="FFFFFF"/>
            <w:tcMar>
              <w:top w:w="60" w:type="dxa"/>
              <w:bottom w:w="60" w:type="dxa"/>
              <w:left w:w="80" w:type="dxa"/>
              <w:right w:w="80" w:type="dxa"/>
            </w:tcMar>
          </w:tcPr>
          <w:p>
            <w:pPr>
              <w:jc w:val="center"/>
            </w:pPr>
            <w:r>
              <w:rPr>
                <w:sz w:val="17"/>
              </w:rPr>
              <w:t>5 scalar parameters (20 bytes) per lot</w:t>
            </w:r>
          </w:p>
        </w:tc>
      </w:tr>
      <w:tr>
        <w:tc>
          <w:tcPr>
            <w:tcW w:type="dxa" w:w="2257"/>
            <w:shd w:fill="F8FAFC"/>
            <w:tcMar>
              <w:top w:w="60" w:type="dxa"/>
              <w:bottom w:w="60" w:type="dxa"/>
              <w:left w:w="80" w:type="dxa"/>
              <w:right w:w="80" w:type="dxa"/>
            </w:tcMar>
          </w:tcPr>
          <w:p>
            <w:pPr>
              <w:jc w:val="left"/>
            </w:pPr>
            <w:r>
              <w:rPr>
                <w:sz w:val="17"/>
              </w:rPr>
              <w:t>Total Network Data Moved</w:t>
            </w:r>
          </w:p>
        </w:tc>
        <w:tc>
          <w:tcPr>
            <w:tcW w:type="dxa" w:w="2257"/>
            <w:shd w:fill="F8FAFC"/>
            <w:tcMar>
              <w:top w:w="60" w:type="dxa"/>
              <w:bottom w:w="60" w:type="dxa"/>
              <w:left w:w="80" w:type="dxa"/>
              <w:right w:w="80" w:type="dxa"/>
            </w:tcMar>
          </w:tcPr>
          <w:p>
            <w:pPr>
              <w:jc w:val="left"/>
            </w:pPr>
            <w:r>
              <w:rPr>
                <w:sz w:val="17"/>
              </w:rPr>
              <w:t>1.48 MB / 1.41 MiB (raw CSV stream)</w:t>
            </w:r>
          </w:p>
        </w:tc>
        <w:tc>
          <w:tcPr>
            <w:tcW w:type="dxa" w:w="2257"/>
            <w:shd w:fill="F8FAFC"/>
            <w:tcMar>
              <w:top w:w="60" w:type="dxa"/>
              <w:bottom w:w="60" w:type="dxa"/>
              <w:left w:w="80" w:type="dxa"/>
              <w:right w:w="80" w:type="dxa"/>
            </w:tcMar>
          </w:tcPr>
          <w:p>
            <w:pPr>
              <w:jc w:val="center"/>
            </w:pPr>
            <w:r>
              <w:rPr>
                <w:sz w:val="17"/>
              </w:rPr>
              <w:t>110.35 MB / 105.24 MiB (480 transfers)</w:t>
            </w:r>
          </w:p>
        </w:tc>
        <w:tc>
          <w:tcPr>
            <w:tcW w:type="dxa" w:w="2257"/>
            <w:shd w:fill="F8FAFC"/>
            <w:tcMar>
              <w:top w:w="60" w:type="dxa"/>
              <w:bottom w:w="60" w:type="dxa"/>
              <w:left w:w="80" w:type="dxa"/>
              <w:right w:w="80" w:type="dxa"/>
            </w:tcMar>
          </w:tcPr>
          <w:p>
            <w:pPr>
              <w:jc w:val="center"/>
            </w:pPr>
            <w:r>
              <w:rPr>
                <w:sz w:val="17"/>
              </w:rPr>
              <w:t>0.00 B (strictly zero communication)</w:t>
            </w:r>
          </w:p>
        </w:tc>
      </w:tr>
      <w:tr>
        <w:tc>
          <w:tcPr>
            <w:tcW w:type="dxa" w:w="2257"/>
            <w:shd w:fill="FFFFFF"/>
            <w:tcMar>
              <w:top w:w="60" w:type="dxa"/>
              <w:bottom w:w="60" w:type="dxa"/>
              <w:left w:w="80" w:type="dxa"/>
              <w:right w:w="80" w:type="dxa"/>
            </w:tcMar>
          </w:tcPr>
          <w:p>
            <w:pPr>
              <w:jc w:val="left"/>
            </w:pPr>
            <w:r>
              <w:rPr>
                <w:sz w:val="17"/>
              </w:rPr>
              <w:t>Total Local Gradient Steps</w:t>
            </w:r>
          </w:p>
        </w:tc>
        <w:tc>
          <w:tcPr>
            <w:tcW w:type="dxa" w:w="2257"/>
            <w:shd w:fill="FFFFFF"/>
            <w:tcMar>
              <w:top w:w="60" w:type="dxa"/>
              <w:bottom w:w="60" w:type="dxa"/>
              <w:left w:w="80" w:type="dxa"/>
              <w:right w:w="80" w:type="dxa"/>
            </w:tcMar>
          </w:tcPr>
          <w:p>
            <w:pPr>
              <w:jc w:val="left"/>
            </w:pPr>
            <w:r>
              <w:rPr>
                <w:sz w:val="17"/>
              </w:rPr>
              <w:t>14,370 Adam steps (pooled)</w:t>
            </w:r>
          </w:p>
        </w:tc>
        <w:tc>
          <w:tcPr>
            <w:tcW w:type="dxa" w:w="2257"/>
            <w:shd w:fill="FFFFFF"/>
            <w:tcMar>
              <w:top w:w="60" w:type="dxa"/>
              <w:bottom w:w="60" w:type="dxa"/>
              <w:left w:w="80" w:type="dxa"/>
              <w:right w:w="80" w:type="dxa"/>
            </w:tcMar>
          </w:tcPr>
          <w:p>
            <w:pPr>
              <w:jc w:val="center"/>
            </w:pPr>
            <w:r>
              <w:rPr>
                <w:sz w:val="17"/>
              </w:rPr>
              <w:t>~256 Adam steps per client</w:t>
            </w:r>
          </w:p>
        </w:tc>
        <w:tc>
          <w:tcPr>
            <w:tcW w:type="dxa" w:w="2257"/>
            <w:shd w:fill="FFFFFF"/>
            <w:tcMar>
              <w:top w:w="60" w:type="dxa"/>
              <w:bottom w:w="60" w:type="dxa"/>
              <w:left w:w="80" w:type="dxa"/>
              <w:right w:w="80" w:type="dxa"/>
            </w:tcMar>
          </w:tcPr>
          <w:p>
            <w:pPr>
              <w:jc w:val="center"/>
            </w:pPr>
            <w:r>
              <w:rPr>
                <w:sz w:val="17"/>
              </w:rPr>
              <w:t>1 closed-form Ridge solve per lot</w:t>
            </w:r>
          </w:p>
        </w:tc>
      </w:tr>
      <w:tr>
        <w:tc>
          <w:tcPr>
            <w:tcW w:type="dxa" w:w="2257"/>
            <w:shd w:fill="F8FAFC"/>
            <w:tcMar>
              <w:top w:w="60" w:type="dxa"/>
              <w:bottom w:w="60" w:type="dxa"/>
              <w:left w:w="80" w:type="dxa"/>
              <w:right w:w="80" w:type="dxa"/>
            </w:tcMar>
          </w:tcPr>
          <w:p>
            <w:pPr>
              <w:jc w:val="left"/>
            </w:pPr>
            <w:r>
              <w:rPr>
                <w:sz w:val="17"/>
              </w:rPr>
              <w:t>Privacy &amp; Governance</w:t>
            </w:r>
          </w:p>
        </w:tc>
        <w:tc>
          <w:tcPr>
            <w:tcW w:type="dxa" w:w="2257"/>
            <w:shd w:fill="F8FAFC"/>
            <w:tcMar>
              <w:top w:w="60" w:type="dxa"/>
              <w:bottom w:w="60" w:type="dxa"/>
              <w:left w:w="80" w:type="dxa"/>
              <w:right w:w="80" w:type="dxa"/>
            </w:tcMar>
          </w:tcPr>
          <w:p>
            <w:pPr>
              <w:jc w:val="left"/>
            </w:pPr>
            <w:r>
              <w:rPr>
                <w:sz w:val="17"/>
              </w:rPr>
              <w:t>Centralized exposure (all data pooled in cloud)</w:t>
            </w:r>
          </w:p>
        </w:tc>
        <w:tc>
          <w:tcPr>
            <w:tcW w:type="dxa" w:w="2257"/>
            <w:shd w:fill="F8FAFC"/>
            <w:tcMar>
              <w:top w:w="60" w:type="dxa"/>
              <w:bottom w:w="60" w:type="dxa"/>
              <w:left w:w="80" w:type="dxa"/>
              <w:right w:w="80" w:type="dxa"/>
            </w:tcMar>
          </w:tcPr>
          <w:p>
            <w:pPr>
              <w:jc w:val="center"/>
            </w:pPr>
            <w:r>
              <w:rPr>
                <w:sz w:val="17"/>
              </w:rPr>
              <w:t>Decentralized containment (data stays on edge nodes)</w:t>
            </w:r>
          </w:p>
        </w:tc>
        <w:tc>
          <w:tcPr>
            <w:tcW w:type="dxa" w:w="2257"/>
            <w:shd w:fill="F8FAFC"/>
            <w:tcMar>
              <w:top w:w="60" w:type="dxa"/>
              <w:bottom w:w="60" w:type="dxa"/>
              <w:left w:w="80" w:type="dxa"/>
              <w:right w:w="80" w:type="dxa"/>
            </w:tcMar>
          </w:tcPr>
          <w:p>
            <w:pPr>
              <w:jc w:val="center"/>
            </w:pPr>
            <w:r>
              <w:rPr>
                <w:sz w:val="17"/>
              </w:rPr>
              <w:t>Local isolation (avoids cross-facility data sharing, no federation)</w:t>
            </w:r>
          </w:p>
        </w:tc>
      </w:tr>
    </w:tbl>
    <w:p>
      <w:pPr>
        <w:keepNext/>
        <w:spacing w:before="200" w:after="60"/>
      </w:pPr>
      <w:r>
        <w:rPr>
          <w:rFonts w:ascii="Times New Roman" w:hAnsi="Times New Roman"/>
          <w:b/>
          <w:color w:val="2F4F7F"/>
          <w:sz w:val="23"/>
        </w:rPr>
        <w:t>5.4 Security, Differential Privacy, and Threats to Validity</w:t>
      </w:r>
    </w:p>
    <w:p>
      <w:pPr>
        <w:spacing w:before="0" w:after="100" w:line="276" w:lineRule="auto"/>
        <w:jc w:val="both"/>
      </w:pPr>
      <w:r>
        <w:rPr>
          <w:rFonts w:ascii="Times New Roman" w:hAnsi="Times New Roman"/>
          <w:sz w:val="22"/>
        </w:rPr>
        <w:t>It is essential to recognize that standard FedAvg transmits unencrypted weight vectors. Without cryptographic enhancements, raw gradient vectors remain vulnerable to reconstruction and membership inference attacks [27]. In production smart city deployments, federated frameworks must integrate Secure Aggregation (SecAgg) [27] or Differential Privacy (DP) [28]. Adding DP noise inevitably degrades forecasting accuracy, imposing a trade-off between privacy guarantees and utility.</w:t>
      </w:r>
    </w:p>
    <w:p>
      <w:pPr>
        <w:spacing w:before="0" w:after="100" w:line="276" w:lineRule="auto"/>
        <w:jc w:val="both"/>
      </w:pPr>
      <w:r>
        <w:rPr>
          <w:rFonts w:ascii="Times New Roman" w:hAnsi="Times New Roman"/>
          <w:sz w:val="22"/>
        </w:rPr>
        <w:t>Several threats to validity qualify our findings: (1) Hardware Profiling: Although the Attention-LSTM network is formulated as a lightweight architecture (57k parameters), physical edge microcontroller measurements (e.g., latency, energy consumption, and thermal throttling on Raspberry Pi or Jetson hardware) were not empirically profiled. (2) Geographic Scope: Our benchmark is evaluated on a single metropolitan testbed (Birmingham, UK) during autumn/winter (October–December 2016); summer holiday and extreme weather dynamics were not captured. (3) Synchronous Assumption: Our experiments assume synchronous client participation without communication dropouts or packet loss.</w:t>
      </w:r>
    </w:p>
    <w:p>
      <w:pPr>
        <w:keepNext/>
        <w:spacing w:before="280" w:after="80"/>
      </w:pPr>
      <w:r>
        <w:rPr>
          <w:rFonts w:ascii="Times New Roman" w:hAnsi="Times New Roman"/>
          <w:b/>
          <w:color w:val="1F3864"/>
          <w:sz w:val="26"/>
        </w:rPr>
        <w:t>6. Conclusion</w:t>
      </w:r>
    </w:p>
    <w:p>
      <w:pPr>
        <w:spacing w:before="0" w:after="100" w:line="276" w:lineRule="auto"/>
        <w:jc w:val="both"/>
      </w:pPr>
      <w:r>
        <w:rPr>
          <w:rFonts w:ascii="Times New Roman" w:hAnsi="Times New Roman"/>
          <w:sz w:val="22"/>
        </w:rPr>
        <w:t>This paper presented an exhaustive empirical benchmark evaluating federated sequence learning for multi-lot smart parking occupancy forecasting on the Birmingham municipal IoT stream. By incorporating previously omitted baselines—including zero-parameter persistence, local-only linear autoregression, and pooled linear models—alongside an IID-shuffled control and alternative federated algorithms, we established an honest appraisal of when federation adds value and when simpler alternatives prevail.</w:t>
      </w:r>
    </w:p>
    <w:p>
      <w:pPr>
        <w:spacing w:before="0" w:after="100" w:line="276" w:lineRule="auto"/>
        <w:jc w:val="both"/>
      </w:pPr>
      <w:r>
        <w:rPr>
          <w:rFonts w:ascii="Times New Roman" w:hAnsi="Times New Roman"/>
          <w:sz w:val="22"/>
        </w:rPr>
        <w:t>Our findings demonstrate that a 5-parameter local-only linear autoregressive model per facility (4 lag weights plus intercept) achieves superior accuracy (30-minute MAE: 0.0126; 13.9 bays), outperforming both centralized deep neural networks (0.0217; 26.9 bays) and federated models while requiring zero communication and avoiding cross-facility data sharing. Under practical communication constraints (8 rounds, 2 local epochs), global FedAvg under-trains severely, achieving a 30-minute MAE of 0.0935 ± 0.0032 (118.5 macro bays in multi-seed evaluation, and 0.1006 / 126.8 bays in the primary single-seed benchmark). Our experimental decomposition indicates that this degradation is strongly consistent with optimization under-training under communication round constraints (~256 local Adam updates per client versus 14,370 centralized steps) alongside statistical heterogeneity: an IID-shuffled federated control provides an empirical decomposition attributing 35.8% of the performance gap to statistical heterogeneity, with the remaining 64.2% residual deficit being strongly consistent with compute constraints (~256 local Adam updates per client versus 14,370 centralized steps) rather than non-IID collapse (though definitive causal proof would require exhaustive compute-parity experiments across extended rounds). Post-aggregation personalization fine-tuning mitigates this gap, reducing error to 0.0592 ± 0.0004 (82.4 macro bays; a 36.7% relative reduction over FedAvg, recovering 47.8% of the centralized gap in multi-seed evaluations and 50.6% in the primary single-seed benchmark), while compressing between-lot variance by 51.2%. Furthermore, network audits confirm that federating neural networks moves 110.35 MB (105.24 MiB) of weights across 8 rounds versus only 1.48 MB (1.41 MiB) for streaming the raw sensor telemetry—a 74.6-fold communication overhead. Consequently, federated parking forecasting cannot be justified on bandwidth-reduction grounds, but provides substantial value for multi-stakeholder commercial confidentiality and institutional data governance when paired with local personalization, though regulatory compliance ultimately depends on specific deployment environments, applicable data protection frameworks, and complementary differential privacy safeguards.</w:t>
      </w:r>
    </w:p>
    <w:p>
      <w:pPr>
        <w:keepNext/>
        <w:spacing w:before="280" w:after="80"/>
      </w:pPr>
      <w:r>
        <w:rPr>
          <w:rFonts w:ascii="Times New Roman" w:hAnsi="Times New Roman"/>
          <w:b/>
          <w:color w:val="1F3864"/>
          <w:sz w:val="26"/>
        </w:rPr>
        <w:t>Declarations</w:t>
      </w:r>
    </w:p>
    <w:p>
      <w:pPr>
        <w:spacing w:before="0" w:after="100" w:line="276" w:lineRule="auto"/>
        <w:jc w:val="both"/>
      </w:pPr>
      <w:r>
        <w:rPr>
          <w:b/>
        </w:rPr>
        <w:t xml:space="preserve">Availability of Data and Materials: </w:t>
      </w:r>
      <w:r>
        <w:t>The Birmingham smart parking dataset analyzed in this study is openly available in the UCI Machine Learning Repository at https://doi.org/10.24432/C51K5Z [29]. Complete preprocessing scripts, baseline implementations, model checkpoints, and reproducible evaluation routines are deposited in the project code repository at https://github.com/itsdevesh23/ParkSense-AI.</w:t>
      </w:r>
    </w:p>
    <w:p>
      <w:pPr>
        <w:spacing w:before="0" w:after="100" w:line="276" w:lineRule="auto"/>
        <w:jc w:val="both"/>
      </w:pPr>
      <w:r>
        <w:rPr>
          <w:b/>
        </w:rPr>
        <w:t xml:space="preserve">Reproducibility Statement: </w:t>
      </w:r>
      <w:r>
        <w:t>All experiments were conducted with fixed random seeds (seeds 42, 101, 2024). Complete sequence windowing parameters (L = 6, H = 2, step = 1), client partition metadata, and evaluation code are fully documented in the public repository to facilitate independent replication.</w:t>
      </w:r>
    </w:p>
    <w:p>
      <w:pPr>
        <w:spacing w:before="0" w:after="100" w:line="276" w:lineRule="auto"/>
        <w:jc w:val="both"/>
      </w:pPr>
      <w:r>
        <w:rPr>
          <w:b/>
        </w:rPr>
        <w:t xml:space="preserve">Competing Interests: </w:t>
      </w:r>
      <w:r>
        <w:t>The authors declare that they have no competing financial or non-financial interests that could have influenced the work reported in this paper.</w:t>
      </w:r>
    </w:p>
    <w:p>
      <w:pPr>
        <w:spacing w:before="0" w:after="100" w:line="276" w:lineRule="auto"/>
        <w:jc w:val="both"/>
      </w:pPr>
      <w:r>
        <w:rPr>
          <w:b/>
        </w:rPr>
        <w:t xml:space="preserve">Funding: </w:t>
      </w:r>
      <w:r>
        <w:t>This research received no specific grant from any funding agency in the public, commercial, or not-for-profit sectors.</w:t>
      </w:r>
    </w:p>
    <w:p>
      <w:pPr>
        <w:spacing w:before="0" w:after="100" w:line="276" w:lineRule="auto"/>
        <w:jc w:val="both"/>
      </w:pPr>
      <w:r>
        <w:rPr>
          <w:b/>
        </w:rPr>
        <w:t xml:space="preserve">Use of Generative AI and AI-Assisted Technologies: </w:t>
      </w:r>
      <w:r>
        <w:t>During the preparation of this work, the authors utilized AI-assisted coding tools for data formatting, statistical scripting, and language refinement. All empirical experiments, model training, analytical derivations, and interpretive conclusions were conceived, executed, verified, and audited entirely by the authors.</w:t>
      </w:r>
    </w:p>
    <w:p>
      <w:pPr>
        <w:spacing w:before="0" w:after="100" w:line="276" w:lineRule="auto"/>
        <w:jc w:val="both"/>
      </w:pPr>
      <w:r>
        <w:rPr>
          <w:b/>
        </w:rPr>
        <w:t xml:space="preserve">Authors' Contributions: </w:t>
      </w:r>
      <w:r>
        <w:t>D.M. conceptualized the study, engineered the federated pipeline, executed the baseline experiments, and drafted the manuscript. A. contributed to experimental validation, data auditing, visualization, and manuscript review. All authors reviewed and approved the final manuscript.</w:t>
      </w:r>
    </w:p>
    <w:p>
      <w:pPr>
        <w:keepNext/>
        <w:spacing w:before="280" w:after="80"/>
      </w:pPr>
      <w:r>
        <w:rPr>
          <w:rFonts w:ascii="Times New Roman" w:hAnsi="Times New Roman"/>
          <w:b/>
          <w:color w:val="1F3864"/>
          <w:sz w:val="26"/>
        </w:rPr>
        <w:t>References</w:t>
      </w:r>
    </w:p>
    <w:p>
      <w:pPr>
        <w:spacing w:before="0" w:after="60" w:line="252" w:lineRule="auto"/>
        <w:jc w:val="both"/>
      </w:pPr>
      <w:r>
        <w:rPr>
          <w:rFonts w:ascii="Times New Roman" w:hAnsi="Times New Roman"/>
          <w:sz w:val="19"/>
        </w:rPr>
        <w:t>[1] D. C. Shoup, "Cruising for parking," Transport Policy, vol. 13, no. 6, pp. 479–486, 2006. https://doi.org/10.1016/j.tranpol.2006.05.005</w:t>
      </w:r>
    </w:p>
    <w:p>
      <w:pPr>
        <w:spacing w:before="0" w:after="60" w:line="252" w:lineRule="auto"/>
        <w:jc w:val="both"/>
      </w:pPr>
      <w:r>
        <w:rPr>
          <w:rFonts w:ascii="Times New Roman" w:hAnsi="Times New Roman"/>
          <w:sz w:val="19"/>
        </w:rPr>
        <w:t>[2] R. Arnott and J. Rowse, "Downtown parking in auto city," Regional Science and Urban Economics, vol. 39, no. 1, pp. 1–14, 2009. https://doi.org/10.1016/j.regsciurbeco.2008.08.001</w:t>
      </w:r>
    </w:p>
    <w:p>
      <w:pPr>
        <w:spacing w:before="0" w:after="60" w:line="252" w:lineRule="auto"/>
        <w:jc w:val="both"/>
      </w:pPr>
      <w:r>
        <w:rPr>
          <w:rFonts w:ascii="Times New Roman" w:hAnsi="Times New Roman"/>
          <w:sz w:val="19"/>
        </w:rPr>
        <w:t>[3] G. E. Box, G. M. Jenkins, G. C. Reinsel, and G. M. Ljung, Time Series Analysis: Forecasting and Control, 5th ed. Hoboken, NJ: John Wiley &amp; Sons, 2015. https://doi.org/10.1002/9781118619193</w:t>
      </w:r>
    </w:p>
    <w:p>
      <w:pPr>
        <w:spacing w:before="0" w:after="60" w:line="252" w:lineRule="auto"/>
        <w:jc w:val="both"/>
      </w:pPr>
      <w:r>
        <w:rPr>
          <w:rFonts w:ascii="Times New Roman" w:hAnsi="Times New Roman"/>
          <w:sz w:val="19"/>
        </w:rPr>
        <w:t>[4] T. Chen and C. Guestrin, "XGBoost: A scalable tree boosting system," in Proc. 22nd ACM SIGKDD Int. Conf. Knowl. Discov. Data Min. (KDD '16), San Francisco, CA, 2016, pp. 785–794. https://doi.org/10.1145/2939672.2939785</w:t>
      </w:r>
    </w:p>
    <w:p>
      <w:pPr>
        <w:spacing w:before="0" w:after="60" w:line="252" w:lineRule="auto"/>
        <w:jc w:val="both"/>
      </w:pPr>
      <w:r>
        <w:rPr>
          <w:rFonts w:ascii="Times New Roman" w:hAnsi="Times New Roman"/>
          <w:sz w:val="19"/>
        </w:rPr>
        <w:t>[5] D. Bahdanau, K. Cho, and Y. Bengio, "Neural machine translation by jointly learning to align and translate," in Proc. 3rd Int. Conf. Learn. Represent. (ICLR 2015), San Diego, CA, 2015, pp. 1–15. arXiv:1409.0473</w:t>
      </w:r>
    </w:p>
    <w:p>
      <w:pPr>
        <w:spacing w:before="0" w:after="60" w:line="252" w:lineRule="auto"/>
        <w:jc w:val="both"/>
      </w:pPr>
      <w:r>
        <w:rPr>
          <w:rFonts w:ascii="Times New Roman" w:hAnsi="Times New Roman"/>
          <w:sz w:val="19"/>
        </w:rPr>
        <w:t>[6] B. Yu, H. Yin, and Z. Zhu, "Spatio-temporal graph convolutional networks: A deep learning framework for traffic forecasting," in Proc. 27th Int. Joint Conf. Artif. Intell. (IJCAI 2018), Stockholm, Sweden, 2018, pp. 3634–3640. https://doi.org/10.24963/ijcai.2018/505</w:t>
      </w:r>
    </w:p>
    <w:p>
      <w:pPr>
        <w:spacing w:before="0" w:after="60" w:line="252" w:lineRule="auto"/>
        <w:jc w:val="both"/>
      </w:pPr>
      <w:r>
        <w:rPr>
          <w:rFonts w:ascii="Times New Roman" w:hAnsi="Times New Roman"/>
          <w:sz w:val="19"/>
        </w:rPr>
        <w:t>[7] B. McMahan, E. Moore, D. Ramage, S. Hampson, and B. A. y Arcas, "Communication-efficient learning of deep networks from decentralized data," in Proc. 20th Int. Conf. Artif. Intell. Statist. (AISTATS 2017), PMLR vol. 54, Fort Lauderdale, FL, 2017, pp. 1273–1282.</w:t>
      </w:r>
    </w:p>
    <w:p>
      <w:pPr>
        <w:spacing w:before="0" w:after="60" w:line="252" w:lineRule="auto"/>
        <w:jc w:val="both"/>
      </w:pPr>
      <w:r>
        <w:rPr>
          <w:rFonts w:ascii="Times New Roman" w:hAnsi="Times New Roman"/>
          <w:sz w:val="19"/>
        </w:rPr>
        <w:t>[8] D. H. Stolfi, E. Alba, and X. Yao, "Predicting car park occupancy rates in smart cities," in Smart Cities (Smart-CT 2017), LNCS vol. 10268, Cham: Springer, 2017, pp. 107–117. https://doi.org/10.1007/978-3-319-59513-9_11</w:t>
      </w:r>
    </w:p>
    <w:p>
      <w:pPr>
        <w:spacing w:before="0" w:after="60" w:line="252" w:lineRule="auto"/>
        <w:jc w:val="both"/>
      </w:pPr>
      <w:r>
        <w:rPr>
          <w:rFonts w:ascii="Times New Roman" w:hAnsi="Times New Roman"/>
          <w:sz w:val="19"/>
        </w:rPr>
        <w:t>[9] Y. Zheng, S. Rajasegarar, and C. Leckie, "Parking availability prediction for sensor-enabled car parks in smart cities," in Proc. 2015 IEEE 10th Int. Conf. Intell. Sensors Sensor Netw. Inf. Process. (ISSNIP), Singapore, 2015, pp. 1–6. https://doi.org/10.1109/ISSNIP.2015.7106902</w:t>
      </w:r>
    </w:p>
    <w:p>
      <w:pPr>
        <w:spacing w:before="0" w:after="60" w:line="252" w:lineRule="auto"/>
        <w:jc w:val="both"/>
      </w:pPr>
      <w:r>
        <w:rPr>
          <w:rFonts w:ascii="Times New Roman" w:hAnsi="Times New Roman"/>
          <w:sz w:val="19"/>
        </w:rPr>
        <w:t>[10] E. I. Vlahogianni, K. Kepaptsoglou, V. Tsetsos, and M. G. Karlaftis, "A real-time parking prediction system for smart cities," Journal of Intelligent Transportation Systems, vol. 20, no. 2, pp. 192–204, 2016. https://doi.org/10.1080/15472450.2015.1037955</w:t>
      </w:r>
    </w:p>
    <w:p>
      <w:pPr>
        <w:spacing w:before="0" w:after="60" w:line="252" w:lineRule="auto"/>
        <w:jc w:val="both"/>
      </w:pPr>
      <w:r>
        <w:rPr>
          <w:rFonts w:ascii="Times New Roman" w:hAnsi="Times New Roman"/>
          <w:sz w:val="19"/>
        </w:rPr>
        <w:t>[11] Y. Rong, Z. Xu, R. Yan, and X. Ma, "Du-Parking: Spatio-temporal big data tells you realtime parking availability," in Proc. 24th ACM SIGKDD Int. Conf. Knowl. Discov. Data Min. (KDD '18), London, UK, 2018, pp. 646–654. https://doi.org/10.1145/3219819.3219876</w:t>
      </w:r>
    </w:p>
    <w:p>
      <w:pPr>
        <w:spacing w:before="0" w:after="60" w:line="252" w:lineRule="auto"/>
        <w:jc w:val="both"/>
      </w:pPr>
      <w:r>
        <w:rPr>
          <w:rFonts w:ascii="Times New Roman" w:hAnsi="Times New Roman"/>
          <w:sz w:val="19"/>
        </w:rPr>
        <w:t>[12] D. Zhao, C. Ju, G. Zhu, J. Ning, D. Luo, D. Zhang, and H. Ma, "MePark: Using meters as sensors for citywide on-street parking availability prediction," IEEE Transactions on Intelligent Transportation Systems, vol. 23, no. 7, pp. 7244–7257, 2022. https://doi.org/10.1109/TITS.2021.3067675</w:t>
      </w:r>
    </w:p>
    <w:p>
      <w:pPr>
        <w:spacing w:before="0" w:after="60" w:line="252" w:lineRule="auto"/>
        <w:jc w:val="both"/>
      </w:pPr>
      <w:r>
        <w:rPr>
          <w:rFonts w:ascii="Times New Roman" w:hAnsi="Times New Roman"/>
          <w:sz w:val="19"/>
        </w:rPr>
        <w:t>[13] Q. Yang, Y. Liu, T. Chen, and Y. Tong, "Federated machine learning: Concept and applications," ACM Transactions on Intelligent Systems and Technology, vol. 10, no. 2, art. 12, pp. 1–19, 2019. https://doi.org/10.1145/3298981</w:t>
      </w:r>
    </w:p>
    <w:p>
      <w:pPr>
        <w:spacing w:before="0" w:after="60" w:line="252" w:lineRule="auto"/>
        <w:jc w:val="both"/>
      </w:pPr>
      <w:r>
        <w:rPr>
          <w:rFonts w:ascii="Times New Roman" w:hAnsi="Times New Roman"/>
          <w:sz w:val="19"/>
        </w:rPr>
        <w:t>[14] P. Kairouz, H. B. McMahan, B. Avent, A. Bellet, M. Bennis, A. N. Bhagoji, et al., "Advances and open problems in federated learning," Foundations and Trends in Machine Learning, vol. 14, no. 1–2, pp. 1–210, 2021. https://doi.org/10.1561/2200000083</w:t>
      </w:r>
    </w:p>
    <w:p>
      <w:pPr>
        <w:spacing w:before="0" w:after="60" w:line="252" w:lineRule="auto"/>
        <w:jc w:val="both"/>
      </w:pPr>
      <w:r>
        <w:rPr>
          <w:rFonts w:ascii="Times New Roman" w:hAnsi="Times New Roman"/>
          <w:sz w:val="19"/>
        </w:rPr>
        <w:t>[15] C. Zhang, Y. Xie, H. Bai, B. Yu, W. Li, and Y. Gao, "A survey on federated learning: The journey from centralized to distributed," Knowledge-Based Systems, vol. 216, art. 106775, pp. 1–16, 2021. https://doi.org/10.1016/j.knosys.2021.106775</w:t>
      </w:r>
    </w:p>
    <w:p>
      <w:pPr>
        <w:spacing w:before="0" w:after="60" w:line="252" w:lineRule="auto"/>
        <w:jc w:val="both"/>
      </w:pPr>
      <w:r>
        <w:rPr>
          <w:rFonts w:ascii="Times New Roman" w:hAnsi="Times New Roman"/>
          <w:sz w:val="19"/>
        </w:rPr>
        <w:t>[16] A. Attiah, S. Alahmadi, A. Hakeem, L. Mohaisen, A. G. Almakky, and R. M. Alhebshi, "FedPark: A federated learning crowdsensing solution for on-street parking availability," IEEE Access, vol. 13, pp. 99717–99733, 2025. https://doi.org/10.1109/ACCESS.2025.3577489</w:t>
      </w:r>
    </w:p>
    <w:p>
      <w:pPr>
        <w:spacing w:before="0" w:after="60" w:line="252" w:lineRule="auto"/>
        <w:jc w:val="both"/>
      </w:pPr>
      <w:r>
        <w:rPr>
          <w:rFonts w:ascii="Times New Roman" w:hAnsi="Times New Roman"/>
          <w:sz w:val="19"/>
        </w:rPr>
        <w:t>[17] S. Sharma and P. Kaur, "Fog-based federated time series forecasting for IoT data," Journal of Network and Systems Management, vol. 32, no. 2, art. 38, pp. 1–26, 2024. https://doi.org/10.1007/s10922-024-09802-2</w:t>
      </w:r>
    </w:p>
    <w:p>
      <w:pPr>
        <w:spacing w:before="0" w:after="60" w:line="252" w:lineRule="auto"/>
        <w:jc w:val="both"/>
      </w:pPr>
      <w:r>
        <w:rPr>
          <w:rFonts w:ascii="Times New Roman" w:hAnsi="Times New Roman"/>
          <w:sz w:val="19"/>
        </w:rPr>
        <w:t>[18] Y. Zhao, M. Li, L. Lai, N. Suda, D. Civin, and V. Chandra, "Federated learning with non-IID data," arXiv preprint arXiv:1806.00582, pp. 1–12, 2018. https://doi.org/10.48550/arXiv.1806.00582</w:t>
      </w:r>
    </w:p>
    <w:p>
      <w:pPr>
        <w:spacing w:before="0" w:after="60" w:line="252" w:lineRule="auto"/>
        <w:jc w:val="both"/>
      </w:pPr>
      <w:r>
        <w:rPr>
          <w:rFonts w:ascii="Times New Roman" w:hAnsi="Times New Roman"/>
          <w:sz w:val="19"/>
        </w:rPr>
        <w:t>[19] T. Li, A. K. Sahu, M. Zaheer, M. Sanjabi, A. Talwalkar, and V. Smith, "Federated optimization in heterogeneous networks," in Proc. Mach. Learn. Syst. (MLSys 2020), Austin, TX, vol. 2, 2020, pp. 429–450.</w:t>
      </w:r>
    </w:p>
    <w:p>
      <w:pPr>
        <w:spacing w:before="0" w:after="60" w:line="252" w:lineRule="auto"/>
        <w:jc w:val="both"/>
      </w:pPr>
      <w:r>
        <w:rPr>
          <w:rFonts w:ascii="Times New Roman" w:hAnsi="Times New Roman"/>
          <w:sz w:val="19"/>
        </w:rPr>
        <w:t>[20] A. Fallah, A. Mokhtari, and A. Ozdaglar, "Personalized federated learning with theoretical guarantees: A model-agnostic meta-learning approach," in Adv. Neural Inf. Process. Syst. (NeurIPS 2020), vol. 33, 2020, pp. 3557–3568.</w:t>
      </w:r>
    </w:p>
    <w:p>
      <w:pPr>
        <w:spacing w:before="0" w:after="60" w:line="252" w:lineRule="auto"/>
        <w:jc w:val="both"/>
      </w:pPr>
      <w:r>
        <w:rPr>
          <w:rFonts w:ascii="Times New Roman" w:hAnsi="Times New Roman"/>
          <w:sz w:val="19"/>
        </w:rPr>
        <w:t>[21] M. G. Arivazhagan, V. Aggarwal, A. K. Singh, and S. Choudhary, "Federated learning with personalization layers," arXiv preprint arXiv:1912.00818, pp. 1–10, 2019.</w:t>
      </w:r>
    </w:p>
    <w:p>
      <w:pPr>
        <w:spacing w:before="0" w:after="60" w:line="252" w:lineRule="auto"/>
        <w:jc w:val="both"/>
      </w:pPr>
      <w:r>
        <w:rPr>
          <w:rFonts w:ascii="Times New Roman" w:hAnsi="Times New Roman"/>
          <w:sz w:val="19"/>
        </w:rPr>
        <w:t>[22] F. R. di Torrepadula, M. Fisichella, S. Di Martino, and N. Mazzocca, "Fedflow: A personalized federated learning framework for passenger flow prediction," Machine Learning, vol. 114, no. 7, art. 166, pp. 1–24, 2025. https://doi.org/10.1007/s10994-025-06795-0</w:t>
      </w:r>
    </w:p>
    <w:p>
      <w:pPr>
        <w:spacing w:before="0" w:after="60" w:line="252" w:lineRule="auto"/>
        <w:jc w:val="both"/>
      </w:pPr>
      <w:r>
        <w:rPr>
          <w:rFonts w:ascii="Times New Roman" w:hAnsi="Times New Roman"/>
          <w:sz w:val="19"/>
        </w:rPr>
        <w:t>[23] C. T. Dinh, N. H. Tran, and T. D. Nguyen, "Personalized federated learning with Moreau envelopes," in Adv. Neural Inf. Process. Syst. (NeurIPS 2020), vol. 33, 2020, pp. 21394–21405.</w:t>
      </w:r>
    </w:p>
    <w:p>
      <w:pPr>
        <w:spacing w:before="0" w:after="60" w:line="252" w:lineRule="auto"/>
        <w:jc w:val="both"/>
      </w:pPr>
      <w:r>
        <w:rPr>
          <w:rFonts w:ascii="Times New Roman" w:hAnsi="Times New Roman"/>
          <w:sz w:val="19"/>
        </w:rPr>
        <w:t>[24] S. Hochreiter and J. Schmidhuber, "Long short-term memory," Neural Computation, vol. 9, no. 8, pp. 1735–1780, 1997. https://doi.org/10.1162/neco.1997.9.8.1735</w:t>
      </w:r>
    </w:p>
    <w:p>
      <w:pPr>
        <w:spacing w:before="0" w:after="60" w:line="252" w:lineRule="auto"/>
        <w:jc w:val="both"/>
      </w:pPr>
      <w:r>
        <w:rPr>
          <w:rFonts w:ascii="Times New Roman" w:hAnsi="Times New Roman"/>
          <w:sz w:val="19"/>
        </w:rPr>
        <w:t>[25] D. P. Kingma and J. Ba, "Adam: A method for stochastic optimization," in Proc. 3rd Int. Conf. Learn. Represent. (ICLR 2015), San Diego, CA, 2015, pp. 1–15.</w:t>
      </w:r>
    </w:p>
    <w:p>
      <w:pPr>
        <w:spacing w:before="0" w:after="60" w:line="252" w:lineRule="auto"/>
        <w:jc w:val="both"/>
      </w:pPr>
      <w:r>
        <w:rPr>
          <w:rFonts w:ascii="Times New Roman" w:hAnsi="Times New Roman"/>
          <w:sz w:val="19"/>
        </w:rPr>
        <w:t>[26] A. Z. Tan, H. Yu, L. Cui, and Q. Yang, "Towards personalized federated learning," IEEE Transactions on Neural Networks and Learning Systems, vol. 34, no. 12, pp. 9587–9603, 2023. https://doi.org/10.1109/TNNLS.2022.3160699</w:t>
      </w:r>
    </w:p>
    <w:p>
      <w:pPr>
        <w:spacing w:before="0" w:after="60" w:line="252" w:lineRule="auto"/>
        <w:jc w:val="both"/>
      </w:pPr>
      <w:r>
        <w:rPr>
          <w:rFonts w:ascii="Times New Roman" w:hAnsi="Times New Roman"/>
          <w:sz w:val="19"/>
        </w:rPr>
        <w:t>[27] K. Bonawitz, V. Ivanov, B. Kreuter, A. Marcedone, H. B. McMahan, S. Patel, et al., "Practical secure aggregation for privacy-preserving machine learning," in Proc. 2017 ACM SIGSAC Conf. Comput. Commun. Secur. (CCS '17), Dallas, TX, 2017, pp. 1175–1191. https://doi.org/10.1145/3133956.3133982</w:t>
      </w:r>
    </w:p>
    <w:p>
      <w:pPr>
        <w:spacing w:before="0" w:after="60" w:line="252" w:lineRule="auto"/>
        <w:jc w:val="both"/>
      </w:pPr>
      <w:r>
        <w:rPr>
          <w:rFonts w:ascii="Times New Roman" w:hAnsi="Times New Roman"/>
          <w:sz w:val="19"/>
        </w:rPr>
        <w:t>[28] C. Dwork, "Differential privacy: A survey of results," in Int. Conf. Theory Appl. Models Comput. (TAMC 2008), LNCS vol. 4978, Berlin, Heidelberg: Springer, 2008, pp. 1–19. https://doi.org/10.1007/978-3-540-79228-4_1</w:t>
      </w:r>
    </w:p>
    <w:p>
      <w:pPr>
        <w:spacing w:before="0" w:after="60" w:line="252" w:lineRule="auto"/>
        <w:jc w:val="both"/>
      </w:pPr>
      <w:r>
        <w:rPr>
          <w:rFonts w:ascii="Times New Roman" w:hAnsi="Times New Roman"/>
          <w:sz w:val="19"/>
        </w:rPr>
        <w:t>[29] D. H. Stolfi, E. Alba, and X. Yao, "Parking Birmingham," UCI Machine Learning Repository, 2017. https://doi.org/10.24432/C51K5Z</w:t>
      </w:r>
    </w:p>
    <w:p>
      <w:pPr>
        <w:spacing w:before="0" w:after="60" w:line="252" w:lineRule="auto"/>
        <w:jc w:val="both"/>
      </w:pPr>
      <w:r>
        <w:rPr>
          <w:rFonts w:ascii="Times New Roman" w:hAnsi="Times New Roman"/>
          <w:sz w:val="19"/>
        </w:rPr>
        <w:t>[30] P. Voigt and A. Von dem Bussche, The EU General Data Protection Regulation (GDPR): A Practical Guide. Cham, Switzerland: Springer International Publishing, 2017. https://doi.org/10.1007/978-3-319-57959-7</w:t>
      </w:r>
    </w:p>
    <w:sectPr w:rsidR="00FC693F" w:rsidRPr="0006063C"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