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0.0256 (33.4 physical bays), while a 4-weight local-only linear autoregressive model per facility—requiring zero communication and zero cross-facility data sharing—achieves an MAE of 0.0126 (13.9 bays), outperforming both centralized deep recurrent models (Attention-LSTM MAE: 0.0217; 26.9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provides an empirical decomposition under our experimental protocol: eliminating statistical heterogeneity accounts for 35.8% of the gap, while the remaining 64.2% residual deficit is strongly consistent with optimization under-training under communication round constraints (~256 local Adam steps per client versus 14,370 for centralized models), though definitive causal proof would require exhaustive compute-parity experiments.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0.1006 (126.8 bays) to 0.0607 (73.2 bays),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and institutional data sovereignty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keep all data private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4-parameter local-only linear AR model per facility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our experimental decomposition indicates that 35.8% of the performance gap is attributable to statistical heterogeneity, while the remaining 64.2% residual deficit is strongly consistent with optimization under-training under communication round constraints (~256 local Adam steps per client versus 14,370 centralized steps), though definitive causal proof would require exhaustive compute-parity experiments across extended rounds. Personalization fine-tuning resolves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fully private local estimators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Decentralized containment / Multi-operator governance</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(Fully Private): </w:t>
      </w:r>
      <w:r>
        <w:t>Each client independently fits an autoregressive linear ridge regression model on its own past 4 availability observations (a_{t-3}, ..., a_t).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4-parameter linear autoregressive model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benchmarking assumptions rather than a definitive causal proof; establishing conclusive causality would require extended round scaling up to strict gradient-step parity with centralized models.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w:t>
            </w:r>
          </w:p>
        </w:tc>
        <w:tc>
          <w:tcPr>
            <w:tcW w:type="dxa" w:w="1290"/>
            <w:shd w:fill="FFFFFF"/>
            <w:tcMar>
              <w:top w:w="60" w:type="dxa"/>
              <w:bottom w:w="60" w:type="dxa"/>
              <w:left w:w="80" w:type="dxa"/>
              <w:right w:w="80" w:type="dxa"/>
            </w:tcMar>
          </w:tcPr>
          <w:p>
            <w:pPr>
              <w:jc w:val="center"/>
            </w:pPr>
            <w:r>
              <w:rPr>
                <w:b/>
                <w:sz w:val="16"/>
              </w:rPr>
              <w:t>0.0386</w:t>
            </w:r>
          </w:p>
        </w:tc>
        <w:tc>
          <w:tcPr>
            <w:tcW w:type="dxa" w:w="1290"/>
            <w:shd w:fill="FFFFFF"/>
            <w:tcMar>
              <w:top w:w="60" w:type="dxa"/>
              <w:bottom w:w="60" w:type="dxa"/>
              <w:left w:w="80" w:type="dxa"/>
              <w:right w:w="80" w:type="dxa"/>
            </w:tcMar>
          </w:tcPr>
          <w:p>
            <w:pPr>
              <w:jc w:val="center"/>
            </w:pPr>
            <w:r>
              <w:rPr>
                <w:b/>
                <w:sz w:val="16"/>
              </w:rPr>
              <w:t>0.0249</w:t>
            </w:r>
          </w:p>
        </w:tc>
        <w:tc>
          <w:tcPr>
            <w:tcW w:type="dxa" w:w="1290"/>
            <w:shd w:fill="FFFFFF"/>
            <w:tcMar>
              <w:top w:w="60" w:type="dxa"/>
              <w:bottom w:w="60" w:type="dxa"/>
              <w:left w:w="80" w:type="dxa"/>
              <w:right w:w="80" w:type="dxa"/>
            </w:tcMar>
          </w:tcPr>
          <w:p>
            <w:pPr>
              <w:jc w:val="center"/>
            </w:pPr>
            <w:r>
              <w:rPr>
                <w:b/>
                <w:sz w:val="16"/>
              </w:rPr>
              <w:t>0.0134</w:t>
            </w:r>
          </w:p>
        </w:tc>
        <w:tc>
          <w:tcPr>
            <w:tcW w:type="dxa" w:w="1290"/>
            <w:shd w:fill="FFFFFF"/>
            <w:tcMar>
              <w:top w:w="60" w:type="dxa"/>
              <w:bottom w:w="60" w:type="dxa"/>
              <w:left w:w="80" w:type="dxa"/>
              <w:right w:w="80" w:type="dxa"/>
            </w:tcMar>
          </w:tcPr>
          <w:p>
            <w:pPr>
              <w:jc w:val="center"/>
            </w:pPr>
            <w:r>
              <w:rPr>
                <w:b/>
                <w:sz w:val="16"/>
              </w:rPr>
              <w:t>33.4</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0.0125</w:t>
            </w:r>
          </w:p>
        </w:tc>
        <w:tc>
          <w:tcPr>
            <w:tcW w:type="dxa" w:w="1290"/>
            <w:shd w:fill="F1F5F9"/>
            <w:tcMar>
              <w:top w:w="60" w:type="dxa"/>
              <w:bottom w:w="60" w:type="dxa"/>
              <w:left w:w="80" w:type="dxa"/>
              <w:right w:w="80" w:type="dxa"/>
            </w:tcMar>
          </w:tcPr>
          <w:p>
            <w:pPr>
              <w:jc w:val="center"/>
            </w:pPr>
            <w:r>
              <w:rPr>
                <w:b/>
                <w:sz w:val="16"/>
              </w:rPr>
              <w:t>0.0049</w:t>
            </w:r>
          </w:p>
        </w:tc>
        <w:tc>
          <w:tcPr>
            <w:tcW w:type="dxa" w:w="1290"/>
            <w:shd w:fill="F1F5F9"/>
            <w:tcMar>
              <w:top w:w="60" w:type="dxa"/>
              <w:bottom w:w="60" w:type="dxa"/>
              <w:left w:w="80" w:type="dxa"/>
              <w:right w:w="80" w:type="dxa"/>
            </w:tcMar>
          </w:tcPr>
          <w:p>
            <w:pPr>
              <w:jc w:val="center"/>
            </w:pPr>
            <w:r>
              <w:rPr>
                <w:b/>
                <w:sz w:val="16"/>
              </w:rPr>
              <w:t>13.9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14.7</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0.0201</w:t>
            </w:r>
          </w:p>
        </w:tc>
        <w:tc>
          <w:tcPr>
            <w:tcW w:type="dxa" w:w="1290"/>
            <w:shd w:fill="F8FAFC"/>
            <w:tcMar>
              <w:top w:w="60" w:type="dxa"/>
              <w:bottom w:w="60" w:type="dxa"/>
              <w:left w:w="80" w:type="dxa"/>
              <w:right w:w="80" w:type="dxa"/>
            </w:tcMar>
          </w:tcPr>
          <w:p>
            <w:pPr>
              <w:jc w:val="center"/>
            </w:pPr>
            <w:r>
              <w:rPr>
                <w:sz w:val="16"/>
              </w:rPr>
              <w:t>0.0152</w:t>
            </w:r>
          </w:p>
        </w:tc>
        <w:tc>
          <w:tcPr>
            <w:tcW w:type="dxa" w:w="1290"/>
            <w:shd w:fill="F8FAFC"/>
            <w:tcMar>
              <w:top w:w="60" w:type="dxa"/>
              <w:bottom w:w="60" w:type="dxa"/>
              <w:left w:w="80" w:type="dxa"/>
              <w:right w:w="80" w:type="dxa"/>
            </w:tcMar>
          </w:tcPr>
          <w:p>
            <w:pPr>
              <w:jc w:val="center"/>
            </w:pPr>
            <w:r>
              <w:rPr>
                <w:sz w:val="16"/>
              </w:rPr>
              <w:t>0.0057</w:t>
            </w:r>
          </w:p>
        </w:tc>
        <w:tc>
          <w:tcPr>
            <w:tcW w:type="dxa" w:w="1290"/>
            <w:shd w:fill="F8FAFC"/>
            <w:tcMar>
              <w:top w:w="60" w:type="dxa"/>
              <w:bottom w:w="60" w:type="dxa"/>
              <w:left w:w="80" w:type="dxa"/>
              <w:right w:w="80" w:type="dxa"/>
            </w:tcMar>
          </w:tcPr>
          <w:p>
            <w:pPr>
              <w:jc w:val="center"/>
            </w:pPr>
            <w:r>
              <w:rPr>
                <w:sz w:val="16"/>
              </w:rPr>
              <w:t>17.5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0.0230</w:t>
            </w:r>
          </w:p>
        </w:tc>
        <w:tc>
          <w:tcPr>
            <w:tcW w:type="dxa" w:w="1290"/>
            <w:shd w:fill="F8FAFC"/>
            <w:tcMar>
              <w:top w:w="60" w:type="dxa"/>
              <w:bottom w:w="60" w:type="dxa"/>
              <w:left w:w="80" w:type="dxa"/>
              <w:right w:w="80" w:type="dxa"/>
            </w:tcMar>
          </w:tcPr>
          <w:p>
            <w:pPr>
              <w:jc w:val="center"/>
            </w:pPr>
            <w:r>
              <w:rPr>
                <w:sz w:val="16"/>
              </w:rPr>
              <w:t>0.0109</w:t>
            </w:r>
          </w:p>
        </w:tc>
        <w:tc>
          <w:tcPr>
            <w:tcW w:type="dxa" w:w="1290"/>
            <w:shd w:fill="F8FAFC"/>
            <w:tcMar>
              <w:top w:w="60" w:type="dxa"/>
              <w:bottom w:w="60" w:type="dxa"/>
              <w:left w:w="80" w:type="dxa"/>
              <w:right w:w="80" w:type="dxa"/>
            </w:tcMar>
          </w:tcPr>
          <w:p>
            <w:pPr>
              <w:jc w:val="center"/>
            </w:pPr>
            <w:r>
              <w:rPr>
                <w:sz w:val="16"/>
              </w:rPr>
              <w:t>26.9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0.1006</w:t>
            </w:r>
          </w:p>
        </w:tc>
        <w:tc>
          <w:tcPr>
            <w:tcW w:type="dxa" w:w="1290"/>
            <w:shd w:fill="FFFFFF"/>
            <w:tcMar>
              <w:top w:w="60" w:type="dxa"/>
              <w:bottom w:w="60" w:type="dxa"/>
              <w:left w:w="80" w:type="dxa"/>
              <w:right w:w="80" w:type="dxa"/>
            </w:tcMar>
          </w:tcPr>
          <w:p>
            <w:pPr>
              <w:jc w:val="center"/>
            </w:pPr>
            <w:r>
              <w:rPr>
                <w:sz w:val="16"/>
              </w:rPr>
              <w:t>0.1309</w:t>
            </w:r>
          </w:p>
        </w:tc>
        <w:tc>
          <w:tcPr>
            <w:tcW w:type="dxa" w:w="1290"/>
            <w:shd w:fill="FFFFFF"/>
            <w:tcMar>
              <w:top w:w="60" w:type="dxa"/>
              <w:bottom w:w="60" w:type="dxa"/>
              <w:left w:w="80" w:type="dxa"/>
              <w:right w:w="80" w:type="dxa"/>
            </w:tcMar>
          </w:tcPr>
          <w:p>
            <w:pPr>
              <w:jc w:val="center"/>
            </w:pPr>
            <w:r>
              <w:rPr>
                <w:sz w:val="16"/>
              </w:rPr>
              <w:t>0.1030</w:t>
            </w:r>
          </w:p>
        </w:tc>
        <w:tc>
          <w:tcPr>
            <w:tcW w:type="dxa" w:w="1290"/>
            <w:shd w:fill="FFFFFF"/>
            <w:tcMar>
              <w:top w:w="60" w:type="dxa"/>
              <w:bottom w:w="60" w:type="dxa"/>
              <w:left w:w="80" w:type="dxa"/>
              <w:right w:w="80" w:type="dxa"/>
            </w:tcMar>
          </w:tcPr>
          <w:p>
            <w:pPr>
              <w:jc w:val="center"/>
            </w:pPr>
            <w:r>
              <w:rPr>
                <w:sz w:val="16"/>
              </w:rPr>
              <w:t>0.0534</w:t>
            </w:r>
          </w:p>
        </w:tc>
        <w:tc>
          <w:tcPr>
            <w:tcW w:type="dxa" w:w="1290"/>
            <w:shd w:fill="FFFFFF"/>
            <w:tcMar>
              <w:top w:w="60" w:type="dxa"/>
              <w:bottom w:w="60" w:type="dxa"/>
              <w:left w:w="80" w:type="dxa"/>
              <w:right w:w="80" w:type="dxa"/>
            </w:tcMar>
          </w:tcPr>
          <w:p>
            <w:pPr>
              <w:jc w:val="center"/>
            </w:pPr>
            <w:r>
              <w:rPr>
                <w:sz w:val="16"/>
              </w:rPr>
              <w:t>126.8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0.0279</w:t>
            </w:r>
          </w:p>
        </w:tc>
        <w:tc>
          <w:tcPr>
            <w:tcW w:type="dxa" w:w="1290"/>
            <w:shd w:fill="F1F5F9"/>
            <w:tcMar>
              <w:top w:w="60" w:type="dxa"/>
              <w:bottom w:w="60" w:type="dxa"/>
              <w:left w:w="80" w:type="dxa"/>
              <w:right w:w="80" w:type="dxa"/>
            </w:tcMar>
          </w:tcPr>
          <w:p>
            <w:pPr>
              <w:jc w:val="center"/>
            </w:pPr>
            <w:r>
              <w:rPr>
                <w:b/>
                <w:sz w:val="16"/>
              </w:rPr>
              <w:t>73.2</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0.0492</w:t>
            </w:r>
          </w:p>
        </w:tc>
        <w:tc>
          <w:tcPr>
            <w:tcW w:type="dxa" w:w="1290"/>
            <w:shd w:fill="FFFFFF"/>
            <w:tcMar>
              <w:top w:w="60" w:type="dxa"/>
              <w:bottom w:w="60" w:type="dxa"/>
              <w:left w:w="80" w:type="dxa"/>
              <w:right w:w="80" w:type="dxa"/>
            </w:tcMar>
          </w:tcPr>
          <w:p>
            <w:pPr>
              <w:jc w:val="center"/>
            </w:pPr>
            <w:r>
              <w:rPr>
                <w:b/>
                <w:sz w:val="16"/>
              </w:rPr>
              <w:t>0.0715</w:t>
            </w:r>
          </w:p>
        </w:tc>
        <w:tc>
          <w:tcPr>
            <w:tcW w:type="dxa" w:w="1290"/>
            <w:shd w:fill="FFFFFF"/>
            <w:tcMar>
              <w:top w:w="60" w:type="dxa"/>
              <w:bottom w:w="60" w:type="dxa"/>
              <w:left w:w="80" w:type="dxa"/>
              <w:right w:w="80" w:type="dxa"/>
            </w:tcMar>
          </w:tcPr>
          <w:p>
            <w:pPr>
              <w:jc w:val="center"/>
            </w:pPr>
            <w:r>
              <w:rPr>
                <w:b/>
                <w:sz w:val="16"/>
              </w:rPr>
              <w:t>0.0477</w:t>
            </w:r>
          </w:p>
        </w:tc>
        <w:tc>
          <w:tcPr>
            <w:tcW w:type="dxa" w:w="1290"/>
            <w:shd w:fill="FFFFFF"/>
            <w:tcMar>
              <w:top w:w="60" w:type="dxa"/>
              <w:bottom w:w="60" w:type="dxa"/>
              <w:left w:w="80" w:type="dxa"/>
              <w:right w:w="80" w:type="dxa"/>
            </w:tcMar>
          </w:tcPr>
          <w:p>
            <w:pPr>
              <w:jc w:val="center"/>
            </w:pPr>
            <w:r>
              <w:rPr>
                <w:b/>
                <w:sz w:val="16"/>
              </w:rPr>
              <w:t>0.0250</w:t>
            </w:r>
          </w:p>
        </w:tc>
        <w:tc>
          <w:tcPr>
            <w:tcW w:type="dxa" w:w="1290"/>
            <w:shd w:fill="FFFFFF"/>
            <w:tcMar>
              <w:top w:w="60" w:type="dxa"/>
              <w:bottom w:w="60" w:type="dxa"/>
              <w:left w:w="80" w:type="dxa"/>
              <w:right w:w="80" w:type="dxa"/>
            </w:tcMar>
          </w:tcPr>
          <w:p>
            <w:pPr>
              <w:jc w:val="center"/>
            </w:pPr>
            <w:r>
              <w:rPr>
                <w:b/>
                <w:sz w:val="16"/>
              </w:rPr>
              <w:t>64.2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0.0243</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28.4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0.0259</w:t>
            </w:r>
          </w:p>
        </w:tc>
        <w:tc>
          <w:tcPr>
            <w:tcW w:type="dxa" w:w="1290"/>
            <w:shd w:fill="FFFFFF"/>
            <w:tcMar>
              <w:top w:w="60" w:type="dxa"/>
              <w:bottom w:w="60" w:type="dxa"/>
              <w:left w:w="80" w:type="dxa"/>
              <w:right w:w="80" w:type="dxa"/>
            </w:tcMar>
          </w:tcPr>
          <w:p>
            <w:pPr>
              <w:jc w:val="center"/>
            </w:pPr>
            <w:r>
              <w:rPr>
                <w:sz w:val="16"/>
              </w:rPr>
              <w:t>0.0375</w:t>
            </w:r>
          </w:p>
        </w:tc>
        <w:tc>
          <w:tcPr>
            <w:tcW w:type="dxa" w:w="1290"/>
            <w:shd w:fill="FFFFFF"/>
            <w:tcMar>
              <w:top w:w="60" w:type="dxa"/>
              <w:bottom w:w="60" w:type="dxa"/>
              <w:left w:w="80" w:type="dxa"/>
              <w:right w:w="80" w:type="dxa"/>
            </w:tcMar>
          </w:tcPr>
          <w:p>
            <w:pPr>
              <w:jc w:val="center"/>
            </w:pPr>
            <w:r>
              <w:rPr>
                <w:sz w:val="16"/>
              </w:rPr>
              <w:t>0.0266</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0.0264</w:t>
            </w:r>
          </w:p>
        </w:tc>
        <w:tc>
          <w:tcPr>
            <w:tcW w:type="dxa" w:w="1290"/>
            <w:shd w:fill="F8FAFC"/>
            <w:tcMar>
              <w:top w:w="60" w:type="dxa"/>
              <w:bottom w:w="60" w:type="dxa"/>
              <w:left w:w="80" w:type="dxa"/>
              <w:right w:w="80" w:type="dxa"/>
            </w:tcMar>
          </w:tcPr>
          <w:p>
            <w:pPr>
              <w:jc w:val="center"/>
            </w:pPr>
            <w:r>
              <w:rPr>
                <w:sz w:val="16"/>
              </w:rPr>
              <w:t>0.0112</w:t>
            </w:r>
          </w:p>
        </w:tc>
        <w:tc>
          <w:tcPr>
            <w:tcW w:type="dxa" w:w="1290"/>
            <w:shd w:fill="F8FAFC"/>
            <w:tcMar>
              <w:top w:w="60" w:type="dxa"/>
              <w:bottom w:w="60" w:type="dxa"/>
              <w:left w:w="80" w:type="dxa"/>
              <w:right w:w="80" w:type="dxa"/>
            </w:tcMar>
          </w:tcPr>
          <w:p>
            <w:pPr>
              <w:jc w:val="center"/>
            </w:pPr>
            <w:r>
              <w:rPr>
                <w:sz w:val="16"/>
              </w:rPr>
              <w:t>30.1</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0.0305</w:t>
            </w:r>
          </w:p>
        </w:tc>
        <w:tc>
          <w:tcPr>
            <w:tcW w:type="dxa" w:w="1290"/>
            <w:shd w:fill="FFFFFF"/>
            <w:tcMar>
              <w:top w:w="60" w:type="dxa"/>
              <w:bottom w:w="60" w:type="dxa"/>
              <w:left w:w="80" w:type="dxa"/>
              <w:right w:w="80" w:type="dxa"/>
            </w:tcMar>
          </w:tcPr>
          <w:p>
            <w:pPr>
              <w:jc w:val="center"/>
            </w:pPr>
            <w:r>
              <w:rPr>
                <w:sz w:val="16"/>
              </w:rPr>
              <w:t>0.0117</w:t>
            </w:r>
          </w:p>
        </w:tc>
        <w:tc>
          <w:tcPr>
            <w:tcW w:type="dxa" w:w="1290"/>
            <w:shd w:fill="FFFFFF"/>
            <w:tcMar>
              <w:top w:w="60" w:type="dxa"/>
              <w:bottom w:w="60" w:type="dxa"/>
              <w:left w:w="80" w:type="dxa"/>
              <w:right w:w="80" w:type="dxa"/>
            </w:tcMar>
          </w:tcPr>
          <w:p>
            <w:pPr>
              <w:jc w:val="center"/>
            </w:pPr>
            <w:r>
              <w:rPr>
                <w:sz w:val="16"/>
              </w:rPr>
              <w:t>35.5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0.0316</w:t>
            </w:r>
          </w:p>
        </w:tc>
        <w:tc>
          <w:tcPr>
            <w:tcW w:type="dxa" w:w="1290"/>
            <w:shd w:fill="F8FAFC"/>
            <w:tcMar>
              <w:top w:w="60" w:type="dxa"/>
              <w:bottom w:w="60" w:type="dxa"/>
              <w:left w:w="80" w:type="dxa"/>
              <w:right w:w="80" w:type="dxa"/>
            </w:tcMar>
          </w:tcPr>
          <w:p>
            <w:pPr>
              <w:jc w:val="center"/>
            </w:pPr>
            <w:r>
              <w:rPr>
                <w:sz w:val="16"/>
              </w:rPr>
              <w:t>0.0118</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w:t>
            </w:r>
          </w:p>
        </w:tc>
        <w:tc>
          <w:tcPr>
            <w:tcW w:type="dxa" w:w="1290"/>
            <w:shd w:fill="FFFFFF"/>
            <w:tcMar>
              <w:top w:w="60" w:type="dxa"/>
              <w:bottom w:w="60" w:type="dxa"/>
              <w:left w:w="80" w:type="dxa"/>
              <w:right w:w="80" w:type="dxa"/>
            </w:tcMar>
          </w:tcPr>
          <w:p>
            <w:pPr>
              <w:jc w:val="center"/>
            </w:pPr>
            <w:r>
              <w:rPr>
                <w:sz w:val="16"/>
              </w:rPr>
              <w:t>0.1416</w:t>
            </w:r>
          </w:p>
        </w:tc>
        <w:tc>
          <w:tcPr>
            <w:tcW w:type="dxa" w:w="1290"/>
            <w:shd w:fill="FFFFFF"/>
            <w:tcMar>
              <w:top w:w="60" w:type="dxa"/>
              <w:bottom w:w="60" w:type="dxa"/>
              <w:left w:w="80" w:type="dxa"/>
              <w:right w:w="80" w:type="dxa"/>
            </w:tcMar>
          </w:tcPr>
          <w:p>
            <w:pPr>
              <w:jc w:val="center"/>
            </w:pPr>
            <w:r>
              <w:rPr>
                <w:sz w:val="16"/>
              </w:rPr>
              <w:t>0.1106</w:t>
            </w:r>
          </w:p>
        </w:tc>
        <w:tc>
          <w:tcPr>
            <w:tcW w:type="dxa" w:w="1290"/>
            <w:shd w:fill="FFFFFF"/>
            <w:tcMar>
              <w:top w:w="60" w:type="dxa"/>
              <w:bottom w:w="60" w:type="dxa"/>
              <w:left w:w="80" w:type="dxa"/>
              <w:right w:w="80" w:type="dxa"/>
            </w:tcMar>
          </w:tcPr>
          <w:p>
            <w:pPr>
              <w:jc w:val="center"/>
            </w:pPr>
            <w:r>
              <w:rPr>
                <w:sz w:val="16"/>
              </w:rPr>
              <w:t>0.0552</w:t>
            </w:r>
          </w:p>
        </w:tc>
        <w:tc>
          <w:tcPr>
            <w:tcW w:type="dxa" w:w="1290"/>
            <w:shd w:fill="FFFFFF"/>
            <w:tcMar>
              <w:top w:w="60" w:type="dxa"/>
              <w:bottom w:w="60" w:type="dxa"/>
              <w:left w:w="80" w:type="dxa"/>
              <w:right w:w="80" w:type="dxa"/>
            </w:tcMar>
          </w:tcPr>
          <w:p>
            <w:pPr>
              <w:jc w:val="center"/>
            </w:pPr>
            <w:r>
              <w:rPr>
                <w:sz w:val="16"/>
              </w:rPr>
              <w:t>137.1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0.0732</w:t>
            </w:r>
          </w:p>
        </w:tc>
        <w:tc>
          <w:tcPr>
            <w:tcW w:type="dxa" w:w="1290"/>
            <w:shd w:fill="F1F5F9"/>
            <w:tcMar>
              <w:top w:w="60" w:type="dxa"/>
              <w:bottom w:w="60" w:type="dxa"/>
              <w:left w:w="80" w:type="dxa"/>
              <w:right w:w="80" w:type="dxa"/>
            </w:tcMar>
          </w:tcPr>
          <w:p>
            <w:pPr>
              <w:jc w:val="center"/>
            </w:pPr>
            <w:r>
              <w:rPr>
                <w:b/>
                <w:sz w:val="16"/>
              </w:rPr>
              <w:t>0.0962</w:t>
            </w:r>
          </w:p>
        </w:tc>
        <w:tc>
          <w:tcPr>
            <w:tcW w:type="dxa" w:w="1290"/>
            <w:shd w:fill="F1F5F9"/>
            <w:tcMar>
              <w:top w:w="60" w:type="dxa"/>
              <w:bottom w:w="60" w:type="dxa"/>
              <w:left w:w="80" w:type="dxa"/>
              <w:right w:w="80" w:type="dxa"/>
            </w:tcMar>
          </w:tcPr>
          <w:p>
            <w:pPr>
              <w:jc w:val="center"/>
            </w:pPr>
            <w:r>
              <w:rPr>
                <w:b/>
                <w:sz w:val="16"/>
              </w:rPr>
              <w:t>0.0750</w:t>
            </w:r>
          </w:p>
        </w:tc>
        <w:tc>
          <w:tcPr>
            <w:tcW w:type="dxa" w:w="1290"/>
            <w:shd w:fill="F1F5F9"/>
            <w:tcMar>
              <w:top w:w="60" w:type="dxa"/>
              <w:bottom w:w="60" w:type="dxa"/>
              <w:left w:w="80" w:type="dxa"/>
              <w:right w:w="80" w:type="dxa"/>
            </w:tcMar>
          </w:tcPr>
          <w:p>
            <w:pPr>
              <w:jc w:val="center"/>
            </w:pPr>
            <w:r>
              <w:rPr>
                <w:b/>
                <w:sz w:val="16"/>
              </w:rPr>
              <w:t>0.0263</w:t>
            </w:r>
          </w:p>
        </w:tc>
        <w:tc>
          <w:tcPr>
            <w:tcW w:type="dxa" w:w="1290"/>
            <w:shd w:fill="F1F5F9"/>
            <w:tcMar>
              <w:top w:w="60" w:type="dxa"/>
              <w:bottom w:w="60" w:type="dxa"/>
              <w:left w:w="80" w:type="dxa"/>
              <w:right w:w="80" w:type="dxa"/>
            </w:tcMar>
          </w:tcPr>
          <w:p>
            <w:pPr>
              <w:jc w:val="center"/>
            </w:pPr>
            <w:r>
              <w:rPr>
                <w:b/>
                <w:sz w:val="16"/>
              </w:rPr>
              <w:t>92.3</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2105733"/>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Under our experimental decomposition, this residual deficit is strongly consistent with optimization under-training under communication round constraints, while non-IID client drift accounts for the remaining 35.8%, though definitive causal attribution would require full compute-parity training across extended communication rounds.</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private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0.1007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4-weight local linear autoregressive model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exactly 4 parameters per facility,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experimental decomposition indicates that optimization under-training under communication round constraints is a major contributing factor. Federated clients in an 8-round protocol execute barely ~200 local gradient steps, compared to over 14,000 steps executed by the centralized model. Our IID-shuffled control experiment (Table 3) provides an empirical decomposition of this division under our benchmarking protocol: statistical heterogeneity accounts for 35.8% of the performance deficit, while the remaining 64.2% is an empirical residual deficit strongly consistent with compute constraints and optimization under-training, though definitive causal proof would require exhaustive compute-parity experiments across extended rounds.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4 scalar weights (16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4-weight local linear autoregressive model per facility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rather than non-IID collapse (though definitive causal proof would require exhaustive compute-parity experiments across extended rounds).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