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advocated for smart parking forecasting across multi-operator facilities, yet decentralized claims often overlook simple local baselines. We conduct an empirical benchmark on the Birmingham IoT stream (30 facilities, 21,868 sequences) across 30- and 60-minute horizons. A persistence baseline achieves a 30-minute Mean Absolute Error (MAE) of 0.0256 (33.4 bays), while an isolated 5-parameter local linear autoregressive model per lot—requiring zero communication—achieves an MAE of 0.0126 (13.9 bays), outperforming centralized deep learning (Attention-LSTM MAE: 0.0217; 26.9 bays) and all federated models. Under standard communication budgets (8 rounds), global FedAvg achieves an MAE of 0.0935 ± 0.0032. An IID control leaves a large residual at eight rounds; at approximately 14,790 updates, IID FedAvg (MAE: 0.0384 ± 0.0010) outperforms non-IID FedAvg (0.0858 ± 0.0015), highlighting the regime-dependent roles of optimization budget and client heterogeneity. Local personalization reduces federated error to 0.0592 ± 0.0004 (82.4 bays), yet transmitting model weights incurs a 74.6-fold communication overhead compared to raw data transfers. Bilateral interpolation of daytime sensor gaps introduces potential within-day lookahead bias. We conclude that federation cannot be justified on bandwidth grounds and underperforms isolated local linear models, but offers institutional data containment when multi-stakeholder governance precludes centralization.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avoid cross-facility data sharing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should FL be justified primarily by commercial data governance and institutional data sovereignty considerations?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5-parameter local-only linear AR(4) model per facility (4 lag coefficients plus intercept) achieves a 30-minute MAE of 0.0126 (13.9 bays), outperforming both centralized Attention-LSTM (0.0217; 26.9 bays) and federated models while requiring zero communication, eliminating cross-facility data sharing, and preserving local data autonomy.</w:t>
      </w:r>
    </w:p>
    <w:p>
      <w:pPr>
        <w:pStyle w:val="ListParagraph"/>
        <w:spacing w:before="40" w:after="60"/>
      </w:pPr>
      <w:r>
        <w:rPr>
          <w:b/>
        </w:rPr>
        <w:t xml:space="preserve">3. Disentangling Under-Training from Non-IID Drift via Compute Parity: </w:t>
      </w:r>
      <w:r>
        <w:t>Through compute step audits, round scaling, and an IID-shuffled federated control (MAE: 0.0678 ± 0.0019), our experimental decomposition reveals that under practical communication constraints (8 rounds, ~256 updates/client), 35.8% of the initial gap is attributable to statistical heterogeneity, while the remaining 64.2% reflects optimization under-training. Crucially, approximately matched compute-budget experiments (15 rounds, 14,790 cumulative client updates vs. 14,370 centralized steps, 102.9%) confirm that IID-shuffled FedAvg converges to 0.0384 ± 0.0010 (47.5 bays), reducing the optimization gap by 63.8% and indicating that non-IID client heterogeneity accounts for 73.9% of the residual deficit under this matched-compute protocol once compute starvation is mitigated. Local personalization fine-tuning bridges this gap, achieving MAE 0.0592 ± 0.0004 at R=8 and 0.0548 ± 0.0012 at R=15, recovering over 50% of the centralized performance gap without sharing client telemetry.</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local-only estimators that avoid cross-facility data sharing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12"/>
            <w:shd w:fill="1F3864"/>
            <w:tcMar>
              <w:top w:w="100" w:type="dxa"/>
              <w:bottom w:w="100" w:type="dxa"/>
              <w:left w:w="120" w:type="dxa"/>
              <w:right w:w="120" w:type="dxa"/>
            </w:tcMar>
          </w:tcPr>
          <w:p>
            <w:pPr>
              <w:jc w:val="center"/>
            </w:pPr>
            <w:r>
              <w:rPr>
                <w:b/>
                <w:color w:val="FFFFFF"/>
                <w:sz w:val="18"/>
              </w:rPr>
              <w:t>Study &amp; Reference</w:t>
            </w:r>
          </w:p>
        </w:tc>
        <w:tc>
          <w:tcPr>
            <w:tcW w:type="dxa" w:w="1584"/>
            <w:shd w:fill="1F3864"/>
            <w:tcMar>
              <w:top w:w="100" w:type="dxa"/>
              <w:bottom w:w="100" w:type="dxa"/>
              <w:left w:w="120" w:type="dxa"/>
              <w:right w:w="120" w:type="dxa"/>
            </w:tcMar>
          </w:tcPr>
          <w:p>
            <w:pPr>
              <w:jc w:val="center"/>
            </w:pPr>
            <w:r>
              <w:rPr>
                <w:b/>
                <w:color w:val="FFFFFF"/>
                <w:sz w:val="18"/>
              </w:rPr>
              <w:t>Core Methodology</w:t>
            </w:r>
          </w:p>
        </w:tc>
        <w:tc>
          <w:tcPr>
            <w:tcW w:type="dxa" w:w="1440"/>
            <w:shd w:fill="1F3864"/>
            <w:tcMar>
              <w:top w:w="100" w:type="dxa"/>
              <w:bottom w:w="100" w:type="dxa"/>
              <w:left w:w="120" w:type="dxa"/>
              <w:right w:w="120" w:type="dxa"/>
            </w:tcMar>
          </w:tcPr>
          <w:p>
            <w:pPr>
              <w:jc w:val="center"/>
            </w:pPr>
            <w:r>
              <w:rPr>
                <w:b/>
                <w:color w:val="FFFFFF"/>
                <w:sz w:val="18"/>
              </w:rPr>
              <w:t>Dataset / Testbed</w:t>
            </w:r>
          </w:p>
        </w:tc>
        <w:tc>
          <w:tcPr>
            <w:tcW w:type="dxa" w:w="1512"/>
            <w:shd w:fill="1F3864"/>
            <w:tcMar>
              <w:top w:w="100" w:type="dxa"/>
              <w:bottom w:w="100" w:type="dxa"/>
              <w:left w:w="120" w:type="dxa"/>
              <w:right w:w="120" w:type="dxa"/>
            </w:tcMar>
          </w:tcPr>
          <w:p>
            <w:pPr>
              <w:jc w:val="center"/>
            </w:pPr>
            <w:r>
              <w:rPr>
                <w:b/>
                <w:color w:val="FFFFFF"/>
                <w:sz w:val="18"/>
              </w:rPr>
              <w:t>Privacy / Governance</w:t>
            </w:r>
          </w:p>
        </w:tc>
        <w:tc>
          <w:tcPr>
            <w:tcW w:type="dxa" w:w="1152"/>
            <w:shd w:fill="1F3864"/>
            <w:tcMar>
              <w:top w:w="100" w:type="dxa"/>
              <w:bottom w:w="100" w:type="dxa"/>
              <w:left w:w="120" w:type="dxa"/>
              <w:right w:w="120" w:type="dxa"/>
            </w:tcMar>
          </w:tcPr>
          <w:p>
            <w:pPr>
              <w:jc w:val="center"/>
            </w:pPr>
            <w:r>
              <w:rPr>
                <w:b/>
                <w:color w:val="FFFFFF"/>
                <w:sz w:val="18"/>
              </w:rPr>
              <w:t>Local Baseline Included?</w:t>
            </w:r>
          </w:p>
        </w:tc>
        <w:tc>
          <w:tcPr>
            <w:tcW w:type="dxa" w:w="2160"/>
            <w:shd w:fill="1F3864"/>
            <w:tcMar>
              <w:top w:w="100" w:type="dxa"/>
              <w:bottom w:w="100" w:type="dxa"/>
              <w:left w:w="120" w:type="dxa"/>
              <w:right w:w="120" w:type="dxa"/>
            </w:tcMar>
          </w:tcPr>
          <w:p>
            <w:pPr>
              <w:jc w:val="center"/>
            </w:pPr>
            <w:r>
              <w:rPr>
                <w:b/>
                <w:color w:val="FFFFFF"/>
                <w:sz w:val="18"/>
              </w:rPr>
              <w:t>Key Limitations</w:t>
            </w:r>
          </w:p>
        </w:tc>
      </w:tr>
      <w:tr>
        <w:tc>
          <w:tcPr>
            <w:tcW w:type="dxa" w:w="1512"/>
            <w:shd w:fill="F8FAFC"/>
            <w:tcMar>
              <w:top w:w="70" w:type="dxa"/>
              <w:bottom w:w="70" w:type="dxa"/>
              <w:left w:w="100" w:type="dxa"/>
              <w:right w:w="100" w:type="dxa"/>
            </w:tcMar>
          </w:tcPr>
          <w:p>
            <w:pPr>
              <w:jc w:val="center"/>
            </w:pPr>
            <w:r>
              <w:rPr>
                <w:sz w:val="17"/>
              </w:rPr>
              <w:t>Rong et al. (2018) [11]</w:t>
            </w:r>
          </w:p>
        </w:tc>
        <w:tc>
          <w:tcPr>
            <w:tcW w:type="dxa" w:w="1584"/>
            <w:shd w:fill="F8FAFC"/>
            <w:tcMar>
              <w:top w:w="70" w:type="dxa"/>
              <w:bottom w:w="70" w:type="dxa"/>
              <w:left w:w="100" w:type="dxa"/>
              <w:right w:w="100" w:type="dxa"/>
            </w:tcMar>
          </w:tcPr>
          <w:p>
            <w:pPr>
              <w:jc w:val="left"/>
            </w:pPr>
            <w:r>
              <w:rPr>
                <w:sz w:val="17"/>
              </w:rPr>
              <w:t>Du-Parking (LSTM + Context)</w:t>
            </w:r>
          </w:p>
        </w:tc>
        <w:tc>
          <w:tcPr>
            <w:tcW w:type="dxa" w:w="1440"/>
            <w:shd w:fill="F8FAFC"/>
            <w:tcMar>
              <w:top w:w="70" w:type="dxa"/>
              <w:bottom w:w="70" w:type="dxa"/>
              <w:left w:w="100" w:type="dxa"/>
              <w:right w:w="100" w:type="dxa"/>
            </w:tcMar>
          </w:tcPr>
          <w:p>
            <w:pPr>
              <w:jc w:val="left"/>
            </w:pPr>
            <w:r>
              <w:rPr>
                <w:sz w:val="17"/>
              </w:rPr>
              <w:t>Baidu Maps (China)</w:t>
            </w:r>
          </w:p>
        </w:tc>
        <w:tc>
          <w:tcPr>
            <w:tcW w:type="dxa" w:w="1512"/>
            <w:shd w:fill="F8FAFC"/>
            <w:tcMar>
              <w:top w:w="70" w:type="dxa"/>
              <w:bottom w:w="70" w:type="dxa"/>
              <w:left w:w="100" w:type="dxa"/>
              <w:right w:w="100" w:type="dxa"/>
            </w:tcMar>
          </w:tcPr>
          <w:p>
            <w:pPr>
              <w:jc w:val="center"/>
            </w:pPr>
            <w:r>
              <w:rPr>
                <w:sz w:val="17"/>
              </w:rPr>
              <w:t>Centralized only</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Proprietary commercial dataset; missing local linear baselines and privacy guarantees</w:t>
            </w:r>
          </w:p>
        </w:tc>
      </w:tr>
      <w:tr>
        <w:tc>
          <w:tcPr>
            <w:tcW w:type="dxa" w:w="1512"/>
            <w:shd w:fill="FFFFFF"/>
            <w:tcMar>
              <w:top w:w="70" w:type="dxa"/>
              <w:bottom w:w="70" w:type="dxa"/>
              <w:left w:w="100" w:type="dxa"/>
              <w:right w:w="100" w:type="dxa"/>
            </w:tcMar>
          </w:tcPr>
          <w:p>
            <w:pPr>
              <w:jc w:val="center"/>
            </w:pPr>
            <w:r>
              <w:rPr>
                <w:sz w:val="17"/>
              </w:rPr>
              <w:t>Zhao et al. (2022) [12]</w:t>
            </w:r>
          </w:p>
        </w:tc>
        <w:tc>
          <w:tcPr>
            <w:tcW w:type="dxa" w:w="1584"/>
            <w:shd w:fill="FFFFFF"/>
            <w:tcMar>
              <w:top w:w="70" w:type="dxa"/>
              <w:bottom w:w="70" w:type="dxa"/>
              <w:left w:w="100" w:type="dxa"/>
              <w:right w:w="100" w:type="dxa"/>
            </w:tcMar>
          </w:tcPr>
          <w:p>
            <w:pPr>
              <w:jc w:val="left"/>
            </w:pPr>
            <w:r>
              <w:rPr>
                <w:sz w:val="17"/>
              </w:rPr>
              <w:t>MePark (Meter Sensing)</w:t>
            </w:r>
          </w:p>
        </w:tc>
        <w:tc>
          <w:tcPr>
            <w:tcW w:type="dxa" w:w="1440"/>
            <w:shd w:fill="FFFFFF"/>
            <w:tcMar>
              <w:top w:w="70" w:type="dxa"/>
              <w:bottom w:w="70" w:type="dxa"/>
              <w:left w:w="100" w:type="dxa"/>
              <w:right w:w="100" w:type="dxa"/>
            </w:tcMar>
          </w:tcPr>
          <w:p>
            <w:pPr>
              <w:jc w:val="left"/>
            </w:pPr>
            <w:r>
              <w:rPr>
                <w:sz w:val="17"/>
              </w:rPr>
              <w:t>San Francisco / Melbourne</w:t>
            </w:r>
          </w:p>
        </w:tc>
        <w:tc>
          <w:tcPr>
            <w:tcW w:type="dxa" w:w="1512"/>
            <w:shd w:fill="FFFFFF"/>
            <w:tcMar>
              <w:top w:w="70" w:type="dxa"/>
              <w:bottom w:w="70" w:type="dxa"/>
              <w:left w:w="100" w:type="dxa"/>
              <w:right w:w="100" w:type="dxa"/>
            </w:tcMar>
          </w:tcPr>
          <w:p>
            <w:pPr>
              <w:jc w:val="center"/>
            </w:pPr>
            <w:r>
              <w:rPr>
                <w:sz w:val="17"/>
              </w:rPr>
              <w:t>Centralized telemetry</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Transaction-based proxy; missing ground-truth physical sensor validation</w:t>
            </w:r>
          </w:p>
        </w:tc>
      </w:tr>
      <w:tr>
        <w:tc>
          <w:tcPr>
            <w:tcW w:type="dxa" w:w="1512"/>
            <w:shd w:fill="F8FAFC"/>
            <w:tcMar>
              <w:top w:w="70" w:type="dxa"/>
              <w:bottom w:w="70" w:type="dxa"/>
              <w:left w:w="100" w:type="dxa"/>
              <w:right w:w="100" w:type="dxa"/>
            </w:tcMar>
          </w:tcPr>
          <w:p>
            <w:pPr>
              <w:jc w:val="center"/>
            </w:pPr>
            <w:r>
              <w:rPr>
                <w:sz w:val="17"/>
              </w:rPr>
              <w:t>McMahan et al. (2017) [7]</w:t>
            </w:r>
          </w:p>
        </w:tc>
        <w:tc>
          <w:tcPr>
            <w:tcW w:type="dxa" w:w="1584"/>
            <w:shd w:fill="F8FAFC"/>
            <w:tcMar>
              <w:top w:w="70" w:type="dxa"/>
              <w:bottom w:w="70" w:type="dxa"/>
              <w:left w:w="100" w:type="dxa"/>
              <w:right w:w="100" w:type="dxa"/>
            </w:tcMar>
          </w:tcPr>
          <w:p>
            <w:pPr>
              <w:jc w:val="left"/>
            </w:pPr>
            <w:r>
              <w:rPr>
                <w:sz w:val="17"/>
              </w:rPr>
              <w:t>Standard FedAvg</w:t>
            </w:r>
          </w:p>
        </w:tc>
        <w:tc>
          <w:tcPr>
            <w:tcW w:type="dxa" w:w="1440"/>
            <w:shd w:fill="F8FAFC"/>
            <w:tcMar>
              <w:top w:w="70" w:type="dxa"/>
              <w:bottom w:w="70" w:type="dxa"/>
              <w:left w:w="100" w:type="dxa"/>
              <w:right w:w="100" w:type="dxa"/>
            </w:tcMar>
          </w:tcPr>
          <w:p>
            <w:pPr>
              <w:jc w:val="left"/>
            </w:pPr>
            <w:r>
              <w:rPr>
                <w:sz w:val="17"/>
              </w:rPr>
              <w:t>Synthetic &amp; vision benchmarks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Yes (on vision)</w:t>
            </w:r>
          </w:p>
        </w:tc>
        <w:tc>
          <w:tcPr>
            <w:tcW w:type="dxa" w:w="2160"/>
            <w:shd w:fill="F8FAFC"/>
            <w:tcMar>
              <w:top w:w="70" w:type="dxa"/>
              <w:bottom w:w="70" w:type="dxa"/>
              <w:left w:w="100" w:type="dxa"/>
              <w:right w:w="100" w:type="dxa"/>
            </w:tcMar>
          </w:tcPr>
          <w:p>
            <w:pPr>
              <w:jc w:val="left"/>
            </w:pPr>
            <w:r>
              <w:rPr>
                <w:sz w:val="17"/>
              </w:rPr>
              <w:t>Evaluated on vision benchmarks; not evaluated on municipal IoT streams</w:t>
            </w:r>
          </w:p>
        </w:tc>
      </w:tr>
      <w:tr>
        <w:tc>
          <w:tcPr>
            <w:tcW w:type="dxa" w:w="1512"/>
            <w:shd w:fill="FFFFFF"/>
            <w:tcMar>
              <w:top w:w="70" w:type="dxa"/>
              <w:bottom w:w="70" w:type="dxa"/>
              <w:left w:w="100" w:type="dxa"/>
              <w:right w:w="100" w:type="dxa"/>
            </w:tcMar>
          </w:tcPr>
          <w:p>
            <w:pPr>
              <w:jc w:val="center"/>
            </w:pPr>
            <w:r>
              <w:rPr>
                <w:sz w:val="17"/>
              </w:rPr>
              <w:t>Li et al. (2020) [19]</w:t>
            </w:r>
          </w:p>
        </w:tc>
        <w:tc>
          <w:tcPr>
            <w:tcW w:type="dxa" w:w="1584"/>
            <w:shd w:fill="FFFFFF"/>
            <w:tcMar>
              <w:top w:w="70" w:type="dxa"/>
              <w:bottom w:w="70" w:type="dxa"/>
              <w:left w:w="100" w:type="dxa"/>
              <w:right w:w="100" w:type="dxa"/>
            </w:tcMar>
          </w:tcPr>
          <w:p>
            <w:pPr>
              <w:jc w:val="left"/>
            </w:pPr>
            <w:r>
              <w:rPr>
                <w:sz w:val="17"/>
              </w:rPr>
              <w:t>FedProx (Proximal term)</w:t>
            </w:r>
          </w:p>
        </w:tc>
        <w:tc>
          <w:tcPr>
            <w:tcW w:type="dxa" w:w="1440"/>
            <w:shd w:fill="FFFFFF"/>
            <w:tcMar>
              <w:top w:w="70" w:type="dxa"/>
              <w:bottom w:w="70" w:type="dxa"/>
              <w:left w:w="100" w:type="dxa"/>
              <w:right w:w="100" w:type="dxa"/>
            </w:tcMar>
          </w:tcPr>
          <w:p>
            <w:pPr>
              <w:jc w:val="left"/>
            </w:pPr>
            <w:r>
              <w:rPr>
                <w:sz w:val="17"/>
              </w:rPr>
              <w:t>Federated NLP &amp; vision</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Yes (partial)</w:t>
            </w:r>
          </w:p>
        </w:tc>
        <w:tc>
          <w:tcPr>
            <w:tcW w:type="dxa" w:w="2160"/>
            <w:shd w:fill="FFFFFF"/>
            <w:tcMar>
              <w:top w:w="70" w:type="dxa"/>
              <w:bottom w:w="70" w:type="dxa"/>
              <w:left w:w="100" w:type="dxa"/>
              <w:right w:w="100" w:type="dxa"/>
            </w:tcMar>
          </w:tcPr>
          <w:p>
            <w:pPr>
              <w:jc w:val="left"/>
            </w:pPr>
            <w:r>
              <w:rPr>
                <w:sz w:val="17"/>
              </w:rPr>
              <w:t>Proximal penalty hyperparameter mu adds optimization friction under compute starvation</w:t>
            </w:r>
          </w:p>
        </w:tc>
      </w:tr>
      <w:tr>
        <w:tc>
          <w:tcPr>
            <w:tcW w:type="dxa" w:w="1512"/>
            <w:shd w:fill="F8FAFC"/>
            <w:tcMar>
              <w:top w:w="70" w:type="dxa"/>
              <w:bottom w:w="70" w:type="dxa"/>
              <w:left w:w="100" w:type="dxa"/>
              <w:right w:w="100" w:type="dxa"/>
            </w:tcMar>
          </w:tcPr>
          <w:p>
            <w:pPr>
              <w:jc w:val="center"/>
            </w:pPr>
            <w:r>
              <w:rPr>
                <w:sz w:val="17"/>
              </w:rPr>
              <w:t>Attiah et al. (2025) [16]</w:t>
            </w:r>
          </w:p>
        </w:tc>
        <w:tc>
          <w:tcPr>
            <w:tcW w:type="dxa" w:w="1584"/>
            <w:shd w:fill="F8FAFC"/>
            <w:tcMar>
              <w:top w:w="70" w:type="dxa"/>
              <w:bottom w:w="70" w:type="dxa"/>
              <w:left w:w="100" w:type="dxa"/>
              <w:right w:w="100" w:type="dxa"/>
            </w:tcMar>
          </w:tcPr>
          <w:p>
            <w:pPr>
              <w:jc w:val="left"/>
            </w:pPr>
            <w:r>
              <w:rPr>
                <w:sz w:val="17"/>
              </w:rPr>
              <w:t>FedPark (Crowdsensing)</w:t>
            </w:r>
          </w:p>
        </w:tc>
        <w:tc>
          <w:tcPr>
            <w:tcW w:type="dxa" w:w="1440"/>
            <w:shd w:fill="F8FAFC"/>
            <w:tcMar>
              <w:top w:w="70" w:type="dxa"/>
              <w:bottom w:w="70" w:type="dxa"/>
              <w:left w:w="100" w:type="dxa"/>
              <w:right w:w="100" w:type="dxa"/>
            </w:tcMar>
          </w:tcPr>
          <w:p>
            <w:pPr>
              <w:jc w:val="left"/>
            </w:pPr>
            <w:r>
              <w:rPr>
                <w:sz w:val="17"/>
              </w:rPr>
              <w:t>Crowdsourced mobile logs</w:t>
            </w:r>
          </w:p>
        </w:tc>
        <w:tc>
          <w:tcPr>
            <w:tcW w:type="dxa" w:w="1512"/>
            <w:shd w:fill="F8FAFC"/>
            <w:tcMar>
              <w:top w:w="70" w:type="dxa"/>
              <w:bottom w:w="70" w:type="dxa"/>
              <w:left w:w="100" w:type="dxa"/>
              <w:right w:w="100" w:type="dxa"/>
            </w:tcMar>
          </w:tcPr>
          <w:p>
            <w:pPr>
              <w:jc w:val="center"/>
            </w:pPr>
            <w:r>
              <w:rPr>
                <w:sz w:val="17"/>
              </w:rPr>
              <w:t>Decentralized / private</w:t>
            </w:r>
          </w:p>
        </w:tc>
        <w:tc>
          <w:tcPr>
            <w:tcW w:type="dxa" w:w="1152"/>
            <w:shd w:fill="F8FAFC"/>
            <w:tcMar>
              <w:top w:w="70" w:type="dxa"/>
              <w:bottom w:w="70" w:type="dxa"/>
              <w:left w:w="100" w:type="dxa"/>
              <w:right w:w="100" w:type="dxa"/>
            </w:tcMar>
          </w:tcPr>
          <w:p>
            <w:pPr>
              <w:jc w:val="center"/>
            </w:pPr>
            <w:r>
              <w:rPr>
                <w:sz w:val="17"/>
              </w:rPr>
              <w:t>No</w:t>
            </w:r>
          </w:p>
        </w:tc>
        <w:tc>
          <w:tcPr>
            <w:tcW w:type="dxa" w:w="2160"/>
            <w:shd w:fill="F8FAFC"/>
            <w:tcMar>
              <w:top w:w="70" w:type="dxa"/>
              <w:bottom w:w="70" w:type="dxa"/>
              <w:left w:w="100" w:type="dxa"/>
              <w:right w:w="100" w:type="dxa"/>
            </w:tcMar>
          </w:tcPr>
          <w:p>
            <w:pPr>
              <w:jc w:val="left"/>
            </w:pPr>
            <w:r>
              <w:rPr>
                <w:sz w:val="17"/>
              </w:rPr>
              <w:t>On-street crowdsensing focus; lacks simple persistence and linear baselines</w:t>
            </w:r>
          </w:p>
        </w:tc>
      </w:tr>
      <w:tr>
        <w:tc>
          <w:tcPr>
            <w:tcW w:type="dxa" w:w="1512"/>
            <w:shd w:fill="FFFFFF"/>
            <w:tcMar>
              <w:top w:w="70" w:type="dxa"/>
              <w:bottom w:w="70" w:type="dxa"/>
              <w:left w:w="100" w:type="dxa"/>
              <w:right w:w="100" w:type="dxa"/>
            </w:tcMar>
          </w:tcPr>
          <w:p>
            <w:pPr>
              <w:jc w:val="center"/>
            </w:pPr>
            <w:r>
              <w:rPr>
                <w:sz w:val="17"/>
              </w:rPr>
              <w:t>Rocco di Torrepadula et al. (2025) [22]</w:t>
            </w:r>
          </w:p>
        </w:tc>
        <w:tc>
          <w:tcPr>
            <w:tcW w:type="dxa" w:w="1584"/>
            <w:shd w:fill="FFFFFF"/>
            <w:tcMar>
              <w:top w:w="70" w:type="dxa"/>
              <w:bottom w:w="70" w:type="dxa"/>
              <w:left w:w="100" w:type="dxa"/>
              <w:right w:w="100" w:type="dxa"/>
            </w:tcMar>
          </w:tcPr>
          <w:p>
            <w:pPr>
              <w:jc w:val="left"/>
            </w:pPr>
            <w:r>
              <w:rPr>
                <w:sz w:val="17"/>
              </w:rPr>
              <w:t>FedFlow (Personalized FL)</w:t>
            </w:r>
          </w:p>
        </w:tc>
        <w:tc>
          <w:tcPr>
            <w:tcW w:type="dxa" w:w="1440"/>
            <w:shd w:fill="FFFFFF"/>
            <w:tcMar>
              <w:top w:w="70" w:type="dxa"/>
              <w:bottom w:w="70" w:type="dxa"/>
              <w:left w:w="100" w:type="dxa"/>
              <w:right w:w="100" w:type="dxa"/>
            </w:tcMar>
          </w:tcPr>
          <w:p>
            <w:pPr>
              <w:jc w:val="left"/>
            </w:pPr>
            <w:r>
              <w:rPr>
                <w:sz w:val="17"/>
              </w:rPr>
              <w:t>Mobility passenger flows</w:t>
            </w:r>
          </w:p>
        </w:tc>
        <w:tc>
          <w:tcPr>
            <w:tcW w:type="dxa" w:w="1512"/>
            <w:shd w:fill="FFFFFF"/>
            <w:tcMar>
              <w:top w:w="70" w:type="dxa"/>
              <w:bottom w:w="70" w:type="dxa"/>
              <w:left w:w="100" w:type="dxa"/>
              <w:right w:w="100" w:type="dxa"/>
            </w:tcMar>
          </w:tcPr>
          <w:p>
            <w:pPr>
              <w:jc w:val="center"/>
            </w:pPr>
            <w:r>
              <w:rPr>
                <w:sz w:val="17"/>
              </w:rPr>
              <w:t>Decentralized / private</w:t>
            </w:r>
          </w:p>
        </w:tc>
        <w:tc>
          <w:tcPr>
            <w:tcW w:type="dxa" w:w="1152"/>
            <w:shd w:fill="FFFFFF"/>
            <w:tcMar>
              <w:top w:w="70" w:type="dxa"/>
              <w:bottom w:w="70" w:type="dxa"/>
              <w:left w:w="100" w:type="dxa"/>
              <w:right w:w="100" w:type="dxa"/>
            </w:tcMar>
          </w:tcPr>
          <w:p>
            <w:pPr>
              <w:jc w:val="center"/>
            </w:pPr>
            <w:r>
              <w:rPr>
                <w:sz w:val="17"/>
              </w:rPr>
              <w:t>No</w:t>
            </w:r>
          </w:p>
        </w:tc>
        <w:tc>
          <w:tcPr>
            <w:tcW w:type="dxa" w:w="2160"/>
            <w:shd w:fill="FFFFFF"/>
            <w:tcMar>
              <w:top w:w="70" w:type="dxa"/>
              <w:bottom w:w="70" w:type="dxa"/>
              <w:left w:w="100" w:type="dxa"/>
              <w:right w:w="100" w:type="dxa"/>
            </w:tcMar>
          </w:tcPr>
          <w:p>
            <w:pPr>
              <w:jc w:val="left"/>
            </w:pPr>
            <w:r>
              <w:rPr>
                <w:sz w:val="17"/>
              </w:rPr>
              <w:t>Passenger flow domain; lacks smart parking and local baseline analysis</w:t>
            </w:r>
          </w:p>
        </w:tc>
      </w:tr>
      <w:tr>
        <w:tc>
          <w:tcPr>
            <w:tcW w:type="dxa" w:w="1512"/>
            <w:shd w:fill="F8FAFC"/>
            <w:tcMar>
              <w:top w:w="70" w:type="dxa"/>
              <w:bottom w:w="70" w:type="dxa"/>
              <w:left w:w="100" w:type="dxa"/>
              <w:right w:w="100" w:type="dxa"/>
            </w:tcMar>
          </w:tcPr>
          <w:p>
            <w:pPr>
              <w:jc w:val="center"/>
            </w:pPr>
            <w:r>
              <w:rPr>
                <w:sz w:val="17"/>
              </w:rPr>
              <w:t>This Study (2026)</w:t>
            </w:r>
          </w:p>
        </w:tc>
        <w:tc>
          <w:tcPr>
            <w:tcW w:type="dxa" w:w="1584"/>
            <w:shd w:fill="F8FAFC"/>
            <w:tcMar>
              <w:top w:w="70" w:type="dxa"/>
              <w:bottom w:w="70" w:type="dxa"/>
              <w:left w:w="100" w:type="dxa"/>
              <w:right w:w="100" w:type="dxa"/>
            </w:tcMar>
          </w:tcPr>
          <w:p>
            <w:pPr>
              <w:jc w:val="left"/>
            </w:pPr>
            <w:r>
              <w:rPr>
                <w:sz w:val="17"/>
              </w:rPr>
              <w:t>Empirical FL &amp; Local Baselines</w:t>
            </w:r>
          </w:p>
        </w:tc>
        <w:tc>
          <w:tcPr>
            <w:tcW w:type="dxa" w:w="1440"/>
            <w:shd w:fill="F8FAFC"/>
            <w:tcMar>
              <w:top w:w="70" w:type="dxa"/>
              <w:bottom w:w="70" w:type="dxa"/>
              <w:left w:w="100" w:type="dxa"/>
              <w:right w:w="100" w:type="dxa"/>
            </w:tcMar>
          </w:tcPr>
          <w:p>
            <w:pPr>
              <w:jc w:val="left"/>
            </w:pPr>
            <w:r>
              <w:rPr>
                <w:sz w:val="17"/>
              </w:rPr>
              <w:t>Birmingham IoT (30 lots)</w:t>
            </w:r>
          </w:p>
        </w:tc>
        <w:tc>
          <w:tcPr>
            <w:tcW w:type="dxa" w:w="1512"/>
            <w:shd w:fill="F8FAFC"/>
            <w:tcMar>
              <w:top w:w="70" w:type="dxa"/>
              <w:bottom w:w="70" w:type="dxa"/>
              <w:left w:w="100" w:type="dxa"/>
              <w:right w:w="100" w:type="dxa"/>
            </w:tcMar>
          </w:tcPr>
          <w:p>
            <w:pPr>
              <w:jc w:val="center"/>
            </w:pPr>
            <w:r>
              <w:rPr>
                <w:sz w:val="17"/>
              </w:rPr>
              <w:t>Decentralized containment / Multi-operator governance</w:t>
            </w:r>
          </w:p>
        </w:tc>
        <w:tc>
          <w:tcPr>
            <w:tcW w:type="dxa" w:w="1152"/>
            <w:shd w:fill="F8FAFC"/>
            <w:tcMar>
              <w:top w:w="70" w:type="dxa"/>
              <w:bottom w:w="70" w:type="dxa"/>
              <w:left w:w="100" w:type="dxa"/>
              <w:right w:w="100" w:type="dxa"/>
            </w:tcMar>
          </w:tcPr>
          <w:p>
            <w:pPr>
              <w:jc w:val="center"/>
            </w:pPr>
            <w:r>
              <w:rPr>
                <w:sz w:val="17"/>
              </w:rPr>
              <w:t>Yes (Persistence + Local Linear)</w:t>
            </w:r>
          </w:p>
        </w:tc>
        <w:tc>
          <w:tcPr>
            <w:tcW w:type="dxa" w:w="2160"/>
            <w:shd w:fill="F8FAFC"/>
            <w:tcMar>
              <w:top w:w="70" w:type="dxa"/>
              <w:bottom w:w="70" w:type="dxa"/>
              <w:left w:w="100" w:type="dxa"/>
              <w:right w:w="100" w:type="dxa"/>
            </w:tcMar>
          </w:tcPr>
          <w:p>
            <w:pPr>
              <w:jc w:val="left"/>
            </w:pPr>
            <w:r>
              <w:rPr>
                <w:sz w:val="17"/>
              </w:rPr>
              <w:t>Single municipal dataset; within-day bilateral interpolation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Formally, for a sequence window starting at time step t_k, the six input observations span [t_k, t_k+5], while the two forecast targets are located at relative indices y_30 = t_k+6 and y_60 = t_k+7. For each facility i generating N_i chronological sliding windows, the training partition spans indices [0, floor(0.70 N_i)), ending with window k = floor(0.70 N_i) - 1 whose final target is at t_k+7. The subsequent boundary transition window at index floor(0.70 N_i) (starting at t_{k+1}) is purged. Consequently, the first window of the subsequent validation partition begins at index floor(0.70 N_i) + 1 (starting at t_{k+2}), so its earliest forecast target y_30 occurs at relative index (t_k+2) + 6 = t_k+8. Because t_k+8 &gt; t_k+7, the latest target of the preceding partition strictly precedes the earliest target of the subsequent partition, mathematically eliminating label overlap between adjacent partitions. An identical purge gap is enforced at the validation/test boundary at index floor(0.85 N_i).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consideration in IoT time series forecasting is evaluating the potential for predictive lookahead leakage. In our preprocessing pipeline, we institute three structural boundaries to control and mitigate temporal information contamination:</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However, an inherent limitation of bilateral interpolation is that it uses subsequent observations within the same calendar day to impute earlier missing slots; hence, within sparse daytime sessions, imputed features at step t theoretically incorporate within-day future readings that would not have been available in real-time streaming operations.</w:t>
      </w:r>
    </w:p>
    <w:p>
      <w:pPr>
        <w:pStyle w:val="ListParagraph"/>
        <w:spacing w:before="40" w:after="40"/>
      </w:pPr>
      <w:r>
        <w:rPr>
          <w:b/>
        </w:rPr>
        <w:t xml:space="preserve">2. Chronological Timeline Partitioning with Embargo Purge Gaps: </w:t>
      </w:r>
      <w:r>
        <w:t>To strictly isolate evaluation partitions, the 70% train, 15% validation, and 15% test split is executed chronologically along each facility's active operational timeline at the sequence-window level, separated by an embargo/purge gap (g = 1 sequence window) at each boundary. This ensures that the forecast targets of training windows (up to y_60 at t+7) never overlap with validation targets, and validation targets never overlap with test targets. Because training sequences strictly precede validation sequences, which strictly precede test sequences, no test-period data can influence model training or hyperparameter selection.</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at future time steps.</w:t>
      </w:r>
    </w:p>
    <w:p>
      <w:pPr>
        <w:spacing w:before="0" w:after="100" w:line="276" w:lineRule="auto"/>
        <w:jc w:val="both"/>
      </w:pPr>
      <w:r>
        <w:rPr>
          <w:rFonts w:ascii="Times New Roman" w:hAnsi="Times New Roman"/>
          <w:sz w:val="22"/>
        </w:rPr>
        <w:t>To evaluate the practical empirical impact of intra-day interpolation on model performance,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emphasize that this empirical sensitivity analysis does not prove the complete absence of lookahead bias across imputed time steps. Rather, it provides strong empirical evidence that our core benchmark findings—namely, the superiority of local linear models, the under-training of FedAvg, and the relative recovery achieved via personalization—are robust, stable, and not artifacts of daytime linear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(Local Isolation): </w:t>
      </w:r>
      <w:r>
        <w:t>Each client independently fits an autoregressive linear ridge regression model on its own past 4 availability observations (a_{t-3}, ..., a_t) plus an intercept term (5 fitted parameters per facility). Employs strictly local data with zero cross-lot communication, eliminating cross-facility data sharing, avoiding centralized exposure of raw telemetry, and incurring zero infrastructure overhead.</w:t>
      </w:r>
    </w:p>
    <w:p>
      <w:pPr>
        <w:pStyle w:val="ListParagraph"/>
        <w:spacing w:before="40" w:after="40"/>
      </w:pPr>
      <w:r>
        <w:rPr>
          <w:b/>
        </w:rPr>
        <w:t xml:space="preserve">3. Pooled Centralized Linear AR(4) Baseline: </w:t>
      </w:r>
      <w:r>
        <w:t>A single global 5-parameter linear autoregressive model (4 lag coefficients plus intercept)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Comparing cumulative system-wide optimizer updates provides a useful empirical proxy for training compute volume. Across all 30 clients, the 8-round federated protocol executes a total of 7,888 client-side optimizer updates (approximately 256 updates per client), representing 54.9% of the 14,370 updates executed by the centralized model over 30 epochs. In contrast, the 15-round protocol scales to 14,790 cumulative client-side updates across the federation (approximately 493 updates per client), achieving an approximately matched optimizer-update budget (102.9% of centralized compute, a +2.9% difference). We note that optimizer-update counts serve as a pragmatic compute proxy rather than proof of identical optimization dynamics, as decentralized client drift, localized mini-batches, and periodic parameter averaging induce distinct loss landscape trajectories. Under the 8-round communication budget, an IID-shuffled control experiment indicates that statistical heterogeneity accounts for 35.8% of the initial gap between FedAvg and centralized models, while the remaining 64.2% residual deficit is consistent with optimization under-training. Extending rounds to the approximately matched 15-round budget shifts this balance, indicating that non-IID heterogeneity accounts for 73.9% of the deficit once compute starvation is mitigated (Section 4.2 and Section 5.2). Because FedAvg test error improves gradually when communication rounds are extended,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Multi-Seed Mean ± Std across Seeds {42, 101, 2024},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 ± 0.0000</w:t>
            </w:r>
          </w:p>
        </w:tc>
        <w:tc>
          <w:tcPr>
            <w:tcW w:type="dxa" w:w="1290"/>
            <w:shd w:fill="FFFFFF"/>
            <w:tcMar>
              <w:top w:w="60" w:type="dxa"/>
              <w:bottom w:w="60" w:type="dxa"/>
              <w:left w:w="80" w:type="dxa"/>
              <w:right w:w="80" w:type="dxa"/>
            </w:tcMar>
          </w:tcPr>
          <w:p>
            <w:pPr>
              <w:jc w:val="center"/>
            </w:pPr>
            <w:r>
              <w:rPr>
                <w:b/>
                <w:sz w:val="16"/>
              </w:rPr>
              <w:t>0.0387 ± 0.0000</w:t>
            </w:r>
          </w:p>
        </w:tc>
        <w:tc>
          <w:tcPr>
            <w:tcW w:type="dxa" w:w="1290"/>
            <w:shd w:fill="FFFFFF"/>
            <w:tcMar>
              <w:top w:w="60" w:type="dxa"/>
              <w:bottom w:w="60" w:type="dxa"/>
              <w:left w:w="80" w:type="dxa"/>
              <w:right w:w="80" w:type="dxa"/>
            </w:tcMar>
          </w:tcPr>
          <w:p>
            <w:pPr>
              <w:jc w:val="center"/>
            </w:pPr>
            <w:r>
              <w:rPr>
                <w:b/>
                <w:sz w:val="16"/>
              </w:rPr>
              <w:t>0.0247 ± 0.0000</w:t>
            </w:r>
          </w:p>
        </w:tc>
        <w:tc>
          <w:tcPr>
            <w:tcW w:type="dxa" w:w="1290"/>
            <w:shd w:fill="FFFFFF"/>
            <w:tcMar>
              <w:top w:w="60" w:type="dxa"/>
              <w:bottom w:w="60" w:type="dxa"/>
              <w:left w:w="80" w:type="dxa"/>
              <w:right w:w="80" w:type="dxa"/>
            </w:tcMar>
          </w:tcPr>
          <w:p>
            <w:pPr>
              <w:jc w:val="center"/>
            </w:pPr>
            <w:r>
              <w:rPr>
                <w:b/>
                <w:sz w:val="16"/>
              </w:rPr>
              <w:t>0.0135 ± 0.0000</w:t>
            </w:r>
          </w:p>
        </w:tc>
        <w:tc>
          <w:tcPr>
            <w:tcW w:type="dxa" w:w="1290"/>
            <w:shd w:fill="FFFFFF"/>
            <w:tcMar>
              <w:top w:w="60" w:type="dxa"/>
              <w:bottom w:w="60" w:type="dxa"/>
              <w:left w:w="80" w:type="dxa"/>
              <w:right w:w="80" w:type="dxa"/>
            </w:tcMar>
          </w:tcPr>
          <w:p>
            <w:pPr>
              <w:jc w:val="center"/>
            </w:pPr>
            <w:r>
              <w:rPr>
                <w:b/>
                <w:sz w:val="16"/>
              </w:rPr>
              <w:t>33.3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0.0126 ± 0.0000</w:t>
            </w:r>
          </w:p>
        </w:tc>
        <w:tc>
          <w:tcPr>
            <w:tcW w:type="dxa" w:w="1290"/>
            <w:shd w:fill="F1F5F9"/>
            <w:tcMar>
              <w:top w:w="60" w:type="dxa"/>
              <w:bottom w:w="60" w:type="dxa"/>
              <w:left w:w="80" w:type="dxa"/>
              <w:right w:w="80" w:type="dxa"/>
            </w:tcMar>
          </w:tcPr>
          <w:p>
            <w:pPr>
              <w:jc w:val="center"/>
            </w:pPr>
            <w:r>
              <w:rPr>
                <w:b/>
                <w:sz w:val="16"/>
              </w:rPr>
              <w:t>0.0179 ± 0.0000</w:t>
            </w:r>
          </w:p>
        </w:tc>
        <w:tc>
          <w:tcPr>
            <w:tcW w:type="dxa" w:w="1290"/>
            <w:shd w:fill="F1F5F9"/>
            <w:tcMar>
              <w:top w:w="60" w:type="dxa"/>
              <w:bottom w:w="60" w:type="dxa"/>
              <w:left w:w="80" w:type="dxa"/>
              <w:right w:w="80" w:type="dxa"/>
            </w:tcMar>
          </w:tcPr>
          <w:p>
            <w:pPr>
              <w:jc w:val="center"/>
            </w:pPr>
            <w:r>
              <w:rPr>
                <w:b/>
                <w:sz w:val="16"/>
              </w:rPr>
              <w:t>0.0124 ± 0.0000</w:t>
            </w:r>
          </w:p>
        </w:tc>
        <w:tc>
          <w:tcPr>
            <w:tcW w:type="dxa" w:w="1290"/>
            <w:shd w:fill="F1F5F9"/>
            <w:tcMar>
              <w:top w:w="60" w:type="dxa"/>
              <w:bottom w:w="60" w:type="dxa"/>
              <w:left w:w="80" w:type="dxa"/>
              <w:right w:w="80" w:type="dxa"/>
            </w:tcMar>
          </w:tcPr>
          <w:p>
            <w:pPr>
              <w:jc w:val="center"/>
            </w:pPr>
            <w:r>
              <w:rPr>
                <w:b/>
                <w:sz w:val="16"/>
              </w:rPr>
              <w:t>0.0049 ± 0.0000</w:t>
            </w:r>
          </w:p>
        </w:tc>
        <w:tc>
          <w:tcPr>
            <w:tcW w:type="dxa" w:w="1290"/>
            <w:shd w:fill="F1F5F9"/>
            <w:tcMar>
              <w:top w:w="60" w:type="dxa"/>
              <w:bottom w:w="60" w:type="dxa"/>
              <w:left w:w="80" w:type="dxa"/>
              <w:right w:w="80" w:type="dxa"/>
            </w:tcMar>
          </w:tcPr>
          <w:p>
            <w:pPr>
              <w:jc w:val="center"/>
            </w:pPr>
            <w:r>
              <w:rPr>
                <w:b/>
                <w:sz w:val="16"/>
              </w:rPr>
              <w:t>13.9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 ± 0.0000</w:t>
            </w:r>
          </w:p>
        </w:tc>
        <w:tc>
          <w:tcPr>
            <w:tcW w:type="dxa" w:w="1290"/>
            <w:shd w:fill="FFFFFF"/>
            <w:tcMar>
              <w:top w:w="60" w:type="dxa"/>
              <w:bottom w:w="60" w:type="dxa"/>
              <w:left w:w="80" w:type="dxa"/>
              <w:right w:w="80" w:type="dxa"/>
            </w:tcMar>
          </w:tcPr>
          <w:p>
            <w:pPr>
              <w:jc w:val="center"/>
            </w:pPr>
            <w:r>
              <w:rPr>
                <w:sz w:val="16"/>
              </w:rPr>
              <w:t>0.0190 ± 0.0000</w:t>
            </w:r>
          </w:p>
        </w:tc>
        <w:tc>
          <w:tcPr>
            <w:tcW w:type="dxa" w:w="1290"/>
            <w:shd w:fill="FFFFFF"/>
            <w:tcMar>
              <w:top w:w="60" w:type="dxa"/>
              <w:bottom w:w="60" w:type="dxa"/>
              <w:left w:w="80" w:type="dxa"/>
              <w:right w:w="80" w:type="dxa"/>
            </w:tcMar>
          </w:tcPr>
          <w:p>
            <w:pPr>
              <w:jc w:val="center"/>
            </w:pPr>
            <w:r>
              <w:rPr>
                <w:sz w:val="16"/>
              </w:rPr>
              <w:t>0.0132 ± 0.0000</w:t>
            </w:r>
          </w:p>
        </w:tc>
        <w:tc>
          <w:tcPr>
            <w:tcW w:type="dxa" w:w="1290"/>
            <w:shd w:fill="FFFFFF"/>
            <w:tcMar>
              <w:top w:w="60" w:type="dxa"/>
              <w:bottom w:w="60" w:type="dxa"/>
              <w:left w:w="80" w:type="dxa"/>
              <w:right w:w="80" w:type="dxa"/>
            </w:tcMar>
          </w:tcPr>
          <w:p>
            <w:pPr>
              <w:jc w:val="center"/>
            </w:pPr>
            <w:r>
              <w:rPr>
                <w:sz w:val="16"/>
              </w:rPr>
              <w:t>0.0050 ± 0.0000</w:t>
            </w:r>
          </w:p>
        </w:tc>
        <w:tc>
          <w:tcPr>
            <w:tcW w:type="dxa" w:w="1290"/>
            <w:shd w:fill="FFFFFF"/>
            <w:tcMar>
              <w:top w:w="60" w:type="dxa"/>
              <w:bottom w:w="60" w:type="dxa"/>
              <w:left w:w="80" w:type="dxa"/>
              <w:right w:w="80" w:type="dxa"/>
            </w:tcMar>
          </w:tcPr>
          <w:p>
            <w:pPr>
              <w:jc w:val="center"/>
            </w:pPr>
            <w:r>
              <w:rPr>
                <w:sz w:val="16"/>
              </w:rPr>
              <w:t>14.8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0.0133 ± 0.0000</w:t>
            </w:r>
          </w:p>
        </w:tc>
        <w:tc>
          <w:tcPr>
            <w:tcW w:type="dxa" w:w="1290"/>
            <w:shd w:fill="F8FAFC"/>
            <w:tcMar>
              <w:top w:w="60" w:type="dxa"/>
              <w:bottom w:w="60" w:type="dxa"/>
              <w:left w:w="80" w:type="dxa"/>
              <w:right w:w="80" w:type="dxa"/>
            </w:tcMar>
          </w:tcPr>
          <w:p>
            <w:pPr>
              <w:jc w:val="center"/>
            </w:pPr>
            <w:r>
              <w:rPr>
                <w:sz w:val="16"/>
              </w:rPr>
              <w:t>0.0187 ± 0.0000</w:t>
            </w:r>
          </w:p>
        </w:tc>
        <w:tc>
          <w:tcPr>
            <w:tcW w:type="dxa" w:w="1290"/>
            <w:shd w:fill="F8FAFC"/>
            <w:tcMar>
              <w:top w:w="60" w:type="dxa"/>
              <w:bottom w:w="60" w:type="dxa"/>
              <w:left w:w="80" w:type="dxa"/>
              <w:right w:w="80" w:type="dxa"/>
            </w:tcMar>
          </w:tcPr>
          <w:p>
            <w:pPr>
              <w:jc w:val="center"/>
            </w:pPr>
            <w:r>
              <w:rPr>
                <w:sz w:val="16"/>
              </w:rPr>
              <w:t>0.0141 ± 0.0000</w:t>
            </w:r>
          </w:p>
        </w:tc>
        <w:tc>
          <w:tcPr>
            <w:tcW w:type="dxa" w:w="1290"/>
            <w:shd w:fill="F8FAFC"/>
            <w:tcMar>
              <w:top w:w="60" w:type="dxa"/>
              <w:bottom w:w="60" w:type="dxa"/>
              <w:left w:w="80" w:type="dxa"/>
              <w:right w:w="80" w:type="dxa"/>
            </w:tcMar>
          </w:tcPr>
          <w:p>
            <w:pPr>
              <w:jc w:val="center"/>
            </w:pPr>
            <w:r>
              <w:rPr>
                <w:sz w:val="16"/>
              </w:rPr>
              <w:t>0.0056 ± 0.0000</w:t>
            </w:r>
          </w:p>
        </w:tc>
        <w:tc>
          <w:tcPr>
            <w:tcW w:type="dxa" w:w="1290"/>
            <w:shd w:fill="F8FAFC"/>
            <w:tcMar>
              <w:top w:w="60" w:type="dxa"/>
              <w:bottom w:w="60" w:type="dxa"/>
              <w:left w:w="80" w:type="dxa"/>
              <w:right w:w="80" w:type="dxa"/>
            </w:tcMar>
          </w:tcPr>
          <w:p>
            <w:pPr>
              <w:jc w:val="center"/>
            </w:pPr>
            <w:r>
              <w:rPr>
                <w:sz w:val="16"/>
              </w:rPr>
              <w:t>15.8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 ± 0.0005</w:t>
            </w:r>
          </w:p>
        </w:tc>
        <w:tc>
          <w:tcPr>
            <w:tcW w:type="dxa" w:w="1290"/>
            <w:shd w:fill="FFFFFF"/>
            <w:tcMar>
              <w:top w:w="60" w:type="dxa"/>
              <w:bottom w:w="60" w:type="dxa"/>
              <w:left w:w="80" w:type="dxa"/>
              <w:right w:w="80" w:type="dxa"/>
            </w:tcMar>
          </w:tcPr>
          <w:p>
            <w:pPr>
              <w:jc w:val="center"/>
            </w:pPr>
            <w:r>
              <w:rPr>
                <w:sz w:val="16"/>
              </w:rPr>
              <w:t>0.0300 ± 0.0004</w:t>
            </w:r>
          </w:p>
        </w:tc>
        <w:tc>
          <w:tcPr>
            <w:tcW w:type="dxa" w:w="1290"/>
            <w:shd w:fill="FFFFFF"/>
            <w:tcMar>
              <w:top w:w="60" w:type="dxa"/>
              <w:bottom w:w="60" w:type="dxa"/>
              <w:left w:w="80" w:type="dxa"/>
              <w:right w:w="80" w:type="dxa"/>
            </w:tcMar>
          </w:tcPr>
          <w:p>
            <w:pPr>
              <w:jc w:val="center"/>
            </w:pPr>
            <w:r>
              <w:rPr>
                <w:sz w:val="16"/>
              </w:rPr>
              <w:t>0.0233 ± 0.0004</w:t>
            </w:r>
          </w:p>
        </w:tc>
        <w:tc>
          <w:tcPr>
            <w:tcW w:type="dxa" w:w="1290"/>
            <w:shd w:fill="FFFFFF"/>
            <w:tcMar>
              <w:top w:w="60" w:type="dxa"/>
              <w:bottom w:w="60" w:type="dxa"/>
              <w:left w:w="80" w:type="dxa"/>
              <w:right w:w="80" w:type="dxa"/>
            </w:tcMar>
          </w:tcPr>
          <w:p>
            <w:pPr>
              <w:jc w:val="center"/>
            </w:pPr>
            <w:r>
              <w:rPr>
                <w:sz w:val="16"/>
              </w:rPr>
              <w:t>0.0131 ± 0.0003</w:t>
            </w:r>
          </w:p>
        </w:tc>
        <w:tc>
          <w:tcPr>
            <w:tcW w:type="dxa" w:w="1290"/>
            <w:shd w:fill="FFFFFF"/>
            <w:tcMar>
              <w:top w:w="60" w:type="dxa"/>
              <w:bottom w:w="60" w:type="dxa"/>
              <w:left w:w="80" w:type="dxa"/>
              <w:right w:w="80" w:type="dxa"/>
            </w:tcMar>
          </w:tcPr>
          <w:p>
            <w:pPr>
              <w:jc w:val="center"/>
            </w:pPr>
            <w:r>
              <w:rPr>
                <w:sz w:val="16"/>
              </w:rPr>
              <w:t>25.2 ± 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 ± 0.0004</w:t>
            </w:r>
          </w:p>
        </w:tc>
        <w:tc>
          <w:tcPr>
            <w:tcW w:type="dxa" w:w="1290"/>
            <w:shd w:fill="F8FAFC"/>
            <w:tcMar>
              <w:top w:w="60" w:type="dxa"/>
              <w:bottom w:w="60" w:type="dxa"/>
              <w:left w:w="80" w:type="dxa"/>
              <w:right w:w="80" w:type="dxa"/>
            </w:tcMar>
          </w:tcPr>
          <w:p>
            <w:pPr>
              <w:jc w:val="center"/>
            </w:pPr>
            <w:r>
              <w:rPr>
                <w:sz w:val="16"/>
              </w:rPr>
              <w:t>0.0285 ± 0.0003</w:t>
            </w:r>
          </w:p>
        </w:tc>
        <w:tc>
          <w:tcPr>
            <w:tcW w:type="dxa" w:w="1290"/>
            <w:shd w:fill="F8FAFC"/>
            <w:tcMar>
              <w:top w:w="60" w:type="dxa"/>
              <w:bottom w:w="60" w:type="dxa"/>
              <w:left w:w="80" w:type="dxa"/>
              <w:right w:w="80" w:type="dxa"/>
            </w:tcMar>
          </w:tcPr>
          <w:p>
            <w:pPr>
              <w:jc w:val="center"/>
            </w:pPr>
            <w:r>
              <w:rPr>
                <w:sz w:val="16"/>
              </w:rPr>
              <w:t>0.0230 ± 0.0003</w:t>
            </w:r>
          </w:p>
        </w:tc>
        <w:tc>
          <w:tcPr>
            <w:tcW w:type="dxa" w:w="1290"/>
            <w:shd w:fill="F8FAFC"/>
            <w:tcMar>
              <w:top w:w="60" w:type="dxa"/>
              <w:bottom w:w="60" w:type="dxa"/>
              <w:left w:w="80" w:type="dxa"/>
              <w:right w:w="80" w:type="dxa"/>
            </w:tcMar>
          </w:tcPr>
          <w:p>
            <w:pPr>
              <w:jc w:val="center"/>
            </w:pPr>
            <w:r>
              <w:rPr>
                <w:sz w:val="16"/>
              </w:rPr>
              <w:t>0.0113 ± 0.0002</w:t>
            </w:r>
          </w:p>
        </w:tc>
        <w:tc>
          <w:tcPr>
            <w:tcW w:type="dxa" w:w="1290"/>
            <w:shd w:fill="F8FAFC"/>
            <w:tcMar>
              <w:top w:w="60" w:type="dxa"/>
              <w:bottom w:w="60" w:type="dxa"/>
              <w:left w:w="80" w:type="dxa"/>
              <w:right w:w="80" w:type="dxa"/>
            </w:tcMar>
          </w:tcPr>
          <w:p>
            <w:pPr>
              <w:jc w:val="center"/>
            </w:pPr>
            <w:r>
              <w:rPr>
                <w:sz w:val="16"/>
              </w:rPr>
              <w:t>26.9 ± 0.3</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0.0935 ± 0.0032</w:t>
            </w:r>
          </w:p>
        </w:tc>
        <w:tc>
          <w:tcPr>
            <w:tcW w:type="dxa" w:w="1290"/>
            <w:shd w:fill="FFFFFF"/>
            <w:tcMar>
              <w:top w:w="60" w:type="dxa"/>
              <w:bottom w:w="60" w:type="dxa"/>
              <w:left w:w="80" w:type="dxa"/>
              <w:right w:w="80" w:type="dxa"/>
            </w:tcMar>
          </w:tcPr>
          <w:p>
            <w:pPr>
              <w:jc w:val="center"/>
            </w:pPr>
            <w:r>
              <w:rPr>
                <w:sz w:val="16"/>
              </w:rPr>
              <w:t>0.1230 ± 0.0030</w:t>
            </w:r>
          </w:p>
        </w:tc>
        <w:tc>
          <w:tcPr>
            <w:tcW w:type="dxa" w:w="1290"/>
            <w:shd w:fill="FFFFFF"/>
            <w:tcMar>
              <w:top w:w="60" w:type="dxa"/>
              <w:bottom w:w="60" w:type="dxa"/>
              <w:left w:w="80" w:type="dxa"/>
              <w:right w:w="80" w:type="dxa"/>
            </w:tcMar>
          </w:tcPr>
          <w:p>
            <w:pPr>
              <w:jc w:val="center"/>
            </w:pPr>
            <w:r>
              <w:rPr>
                <w:sz w:val="16"/>
              </w:rPr>
              <w:t>0.0963 ± 0.0029</w:t>
            </w:r>
          </w:p>
        </w:tc>
        <w:tc>
          <w:tcPr>
            <w:tcW w:type="dxa" w:w="1290"/>
            <w:shd w:fill="FFFFFF"/>
            <w:tcMar>
              <w:top w:w="60" w:type="dxa"/>
              <w:bottom w:w="60" w:type="dxa"/>
              <w:left w:w="80" w:type="dxa"/>
              <w:right w:w="80" w:type="dxa"/>
            </w:tcMar>
          </w:tcPr>
          <w:p>
            <w:pPr>
              <w:jc w:val="center"/>
            </w:pPr>
            <w:r>
              <w:rPr>
                <w:sz w:val="16"/>
              </w:rPr>
              <w:t>0.0498 ± 0.0013</w:t>
            </w:r>
          </w:p>
        </w:tc>
        <w:tc>
          <w:tcPr>
            <w:tcW w:type="dxa" w:w="1290"/>
            <w:shd w:fill="FFFFFF"/>
            <w:tcMar>
              <w:top w:w="60" w:type="dxa"/>
              <w:bottom w:w="60" w:type="dxa"/>
              <w:left w:w="80" w:type="dxa"/>
              <w:right w:w="80" w:type="dxa"/>
            </w:tcMar>
          </w:tcPr>
          <w:p>
            <w:pPr>
              <w:jc w:val="center"/>
            </w:pPr>
            <w:r>
              <w:rPr>
                <w:sz w:val="16"/>
              </w:rPr>
              <w:t>118.5 ± 2.6</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0.0592 ± 0.0004</w:t>
            </w:r>
          </w:p>
        </w:tc>
        <w:tc>
          <w:tcPr>
            <w:tcW w:type="dxa" w:w="1290"/>
            <w:shd w:fill="F1F5F9"/>
            <w:tcMar>
              <w:top w:w="60" w:type="dxa"/>
              <w:bottom w:w="60" w:type="dxa"/>
              <w:left w:w="80" w:type="dxa"/>
              <w:right w:w="80" w:type="dxa"/>
            </w:tcMar>
          </w:tcPr>
          <w:p>
            <w:pPr>
              <w:jc w:val="center"/>
            </w:pPr>
            <w:r>
              <w:rPr>
                <w:b/>
                <w:sz w:val="16"/>
              </w:rPr>
              <w:t>0.0786 ± 0.0001</w:t>
            </w:r>
          </w:p>
        </w:tc>
        <w:tc>
          <w:tcPr>
            <w:tcW w:type="dxa" w:w="1290"/>
            <w:shd w:fill="F1F5F9"/>
            <w:tcMar>
              <w:top w:w="60" w:type="dxa"/>
              <w:bottom w:w="60" w:type="dxa"/>
              <w:left w:w="80" w:type="dxa"/>
              <w:right w:w="80" w:type="dxa"/>
            </w:tcMar>
          </w:tcPr>
          <w:p>
            <w:pPr>
              <w:jc w:val="center"/>
            </w:pPr>
            <w:r>
              <w:rPr>
                <w:b/>
                <w:sz w:val="16"/>
              </w:rPr>
              <w:t>0.0612 ± 0.0001</w:t>
            </w:r>
          </w:p>
        </w:tc>
        <w:tc>
          <w:tcPr>
            <w:tcW w:type="dxa" w:w="1290"/>
            <w:shd w:fill="F1F5F9"/>
            <w:tcMar>
              <w:top w:w="60" w:type="dxa"/>
              <w:bottom w:w="60" w:type="dxa"/>
              <w:left w:w="80" w:type="dxa"/>
              <w:right w:w="80" w:type="dxa"/>
            </w:tcMar>
          </w:tcPr>
          <w:p>
            <w:pPr>
              <w:jc w:val="center"/>
            </w:pPr>
            <w:r>
              <w:rPr>
                <w:b/>
                <w:sz w:val="16"/>
              </w:rPr>
              <w:t>0.0243 ± 0.0014</w:t>
            </w:r>
          </w:p>
        </w:tc>
        <w:tc>
          <w:tcPr>
            <w:tcW w:type="dxa" w:w="1290"/>
            <w:shd w:fill="F1F5F9"/>
            <w:tcMar>
              <w:top w:w="60" w:type="dxa"/>
              <w:bottom w:w="60" w:type="dxa"/>
              <w:left w:w="80" w:type="dxa"/>
              <w:right w:w="80" w:type="dxa"/>
            </w:tcMar>
          </w:tcPr>
          <w:p>
            <w:pPr>
              <w:jc w:val="center"/>
            </w:pPr>
            <w:r>
              <w:rPr>
                <w:b/>
                <w:sz w:val="16"/>
              </w:rPr>
              <w:t>82.4 ± 0.4</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0.0493 ± 0.0000</w:t>
            </w:r>
          </w:p>
        </w:tc>
        <w:tc>
          <w:tcPr>
            <w:tcW w:type="dxa" w:w="1290"/>
            <w:shd w:fill="FFFFFF"/>
            <w:tcMar>
              <w:top w:w="60" w:type="dxa"/>
              <w:bottom w:w="60" w:type="dxa"/>
              <w:left w:w="80" w:type="dxa"/>
              <w:right w:w="80" w:type="dxa"/>
            </w:tcMar>
          </w:tcPr>
          <w:p>
            <w:pPr>
              <w:jc w:val="center"/>
            </w:pPr>
            <w:r>
              <w:rPr>
                <w:b/>
                <w:sz w:val="16"/>
              </w:rPr>
              <w:t>0.0716 ± 0.0000</w:t>
            </w:r>
          </w:p>
        </w:tc>
        <w:tc>
          <w:tcPr>
            <w:tcW w:type="dxa" w:w="1290"/>
            <w:shd w:fill="FFFFFF"/>
            <w:tcMar>
              <w:top w:w="60" w:type="dxa"/>
              <w:bottom w:w="60" w:type="dxa"/>
              <w:left w:w="80" w:type="dxa"/>
              <w:right w:w="80" w:type="dxa"/>
            </w:tcMar>
          </w:tcPr>
          <w:p>
            <w:pPr>
              <w:jc w:val="center"/>
            </w:pPr>
            <w:r>
              <w:rPr>
                <w:b/>
                <w:sz w:val="16"/>
              </w:rPr>
              <w:t>0.0476 ± 0.0000</w:t>
            </w:r>
          </w:p>
        </w:tc>
        <w:tc>
          <w:tcPr>
            <w:tcW w:type="dxa" w:w="1290"/>
            <w:shd w:fill="FFFFFF"/>
            <w:tcMar>
              <w:top w:w="60" w:type="dxa"/>
              <w:bottom w:w="60" w:type="dxa"/>
              <w:left w:w="80" w:type="dxa"/>
              <w:right w:w="80" w:type="dxa"/>
            </w:tcMar>
          </w:tcPr>
          <w:p>
            <w:pPr>
              <w:jc w:val="center"/>
            </w:pPr>
            <w:r>
              <w:rPr>
                <w:b/>
                <w:sz w:val="16"/>
              </w:rPr>
              <w:t>0.0252 ± 0.0000</w:t>
            </w:r>
          </w:p>
        </w:tc>
        <w:tc>
          <w:tcPr>
            <w:tcW w:type="dxa" w:w="1290"/>
            <w:shd w:fill="FFFFFF"/>
            <w:tcMar>
              <w:top w:w="60" w:type="dxa"/>
              <w:bottom w:w="60" w:type="dxa"/>
              <w:left w:w="80" w:type="dxa"/>
              <w:right w:w="80" w:type="dxa"/>
            </w:tcMar>
          </w:tcPr>
          <w:p>
            <w:pPr>
              <w:jc w:val="center"/>
            </w:pPr>
            <w:r>
              <w:rPr>
                <w:b/>
                <w:sz w:val="16"/>
              </w:rPr>
              <w:t>64.2 ± 0.0</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(Local isolation)</w:t>
            </w:r>
          </w:p>
        </w:tc>
        <w:tc>
          <w:tcPr>
            <w:tcW w:type="dxa" w:w="1290"/>
            <w:shd w:fill="F1F5F9"/>
            <w:tcMar>
              <w:top w:w="60" w:type="dxa"/>
              <w:bottom w:w="60" w:type="dxa"/>
              <w:left w:w="80" w:type="dxa"/>
              <w:right w:w="80" w:type="dxa"/>
            </w:tcMar>
          </w:tcPr>
          <w:p>
            <w:pPr>
              <w:jc w:val="center"/>
            </w:pPr>
            <w:r>
              <w:rPr>
                <w:b/>
                <w:sz w:val="16"/>
              </w:rPr>
              <w:t>0.0248 ± 0.0000</w:t>
            </w:r>
          </w:p>
        </w:tc>
        <w:tc>
          <w:tcPr>
            <w:tcW w:type="dxa" w:w="1290"/>
            <w:shd w:fill="F1F5F9"/>
            <w:tcMar>
              <w:top w:w="60" w:type="dxa"/>
              <w:bottom w:w="60" w:type="dxa"/>
              <w:left w:w="80" w:type="dxa"/>
              <w:right w:w="80" w:type="dxa"/>
            </w:tcMar>
          </w:tcPr>
          <w:p>
            <w:pPr>
              <w:jc w:val="center"/>
            </w:pPr>
            <w:r>
              <w:rPr>
                <w:b/>
                <w:sz w:val="16"/>
              </w:rPr>
              <w:t>0.0350 ± 0.0000</w:t>
            </w:r>
          </w:p>
        </w:tc>
        <w:tc>
          <w:tcPr>
            <w:tcW w:type="dxa" w:w="1290"/>
            <w:shd w:fill="F1F5F9"/>
            <w:tcMar>
              <w:top w:w="60" w:type="dxa"/>
              <w:bottom w:w="60" w:type="dxa"/>
              <w:left w:w="80" w:type="dxa"/>
              <w:right w:w="80" w:type="dxa"/>
            </w:tcMar>
          </w:tcPr>
          <w:p>
            <w:pPr>
              <w:jc w:val="center"/>
            </w:pPr>
            <w:r>
              <w:rPr>
                <w:b/>
                <w:sz w:val="16"/>
              </w:rPr>
              <w:t>0.0242 ± 0.0000</w:t>
            </w:r>
          </w:p>
        </w:tc>
        <w:tc>
          <w:tcPr>
            <w:tcW w:type="dxa" w:w="1290"/>
            <w:shd w:fill="F1F5F9"/>
            <w:tcMar>
              <w:top w:w="60" w:type="dxa"/>
              <w:bottom w:w="60" w:type="dxa"/>
              <w:left w:w="80" w:type="dxa"/>
              <w:right w:w="80" w:type="dxa"/>
            </w:tcMar>
          </w:tcPr>
          <w:p>
            <w:pPr>
              <w:jc w:val="center"/>
            </w:pPr>
            <w:r>
              <w:rPr>
                <w:b/>
                <w:sz w:val="16"/>
              </w:rPr>
              <w:t>0.0096 ± 0.0000</w:t>
            </w:r>
          </w:p>
        </w:tc>
        <w:tc>
          <w:tcPr>
            <w:tcW w:type="dxa" w:w="1290"/>
            <w:shd w:fill="F1F5F9"/>
            <w:tcMar>
              <w:top w:w="60" w:type="dxa"/>
              <w:bottom w:w="60" w:type="dxa"/>
              <w:left w:w="80" w:type="dxa"/>
              <w:right w:w="80" w:type="dxa"/>
            </w:tcMar>
          </w:tcPr>
          <w:p>
            <w:pPr>
              <w:jc w:val="center"/>
            </w:pPr>
            <w:r>
              <w:rPr>
                <w:b/>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0.0260 ± 0.0000</w:t>
            </w:r>
          </w:p>
        </w:tc>
        <w:tc>
          <w:tcPr>
            <w:tcW w:type="dxa" w:w="1290"/>
            <w:shd w:fill="FFFFFF"/>
            <w:tcMar>
              <w:top w:w="60" w:type="dxa"/>
              <w:bottom w:w="60" w:type="dxa"/>
              <w:left w:w="80" w:type="dxa"/>
              <w:right w:w="80" w:type="dxa"/>
            </w:tcMar>
          </w:tcPr>
          <w:p>
            <w:pPr>
              <w:jc w:val="center"/>
            </w:pPr>
            <w:r>
              <w:rPr>
                <w:sz w:val="16"/>
              </w:rPr>
              <w:t>0.0376 ± 0.0000</w:t>
            </w:r>
          </w:p>
        </w:tc>
        <w:tc>
          <w:tcPr>
            <w:tcW w:type="dxa" w:w="1290"/>
            <w:shd w:fill="FFFFFF"/>
            <w:tcMar>
              <w:top w:w="60" w:type="dxa"/>
              <w:bottom w:w="60" w:type="dxa"/>
              <w:left w:w="80" w:type="dxa"/>
              <w:right w:w="80" w:type="dxa"/>
            </w:tcMar>
          </w:tcPr>
          <w:p>
            <w:pPr>
              <w:jc w:val="center"/>
            </w:pPr>
            <w:r>
              <w:rPr>
                <w:sz w:val="16"/>
              </w:rPr>
              <w:t>0.0267 ± 0.0000</w:t>
            </w:r>
          </w:p>
        </w:tc>
        <w:tc>
          <w:tcPr>
            <w:tcW w:type="dxa" w:w="1290"/>
            <w:shd w:fill="FFFFFF"/>
            <w:tcMar>
              <w:top w:w="60" w:type="dxa"/>
              <w:bottom w:w="60" w:type="dxa"/>
              <w:left w:w="80" w:type="dxa"/>
              <w:right w:w="80" w:type="dxa"/>
            </w:tcMar>
          </w:tcPr>
          <w:p>
            <w:pPr>
              <w:jc w:val="center"/>
            </w:pPr>
            <w:r>
              <w:rPr>
                <w:sz w:val="16"/>
              </w:rPr>
              <w:t>0.0096 ± 0.0000</w:t>
            </w:r>
          </w:p>
        </w:tc>
        <w:tc>
          <w:tcPr>
            <w:tcW w:type="dxa" w:w="1290"/>
            <w:shd w:fill="FFFFFF"/>
            <w:tcMar>
              <w:top w:w="60" w:type="dxa"/>
              <w:bottom w:w="60" w:type="dxa"/>
              <w:left w:w="80" w:type="dxa"/>
              <w:right w:w="80" w:type="dxa"/>
            </w:tcMar>
          </w:tcPr>
          <w:p>
            <w:pPr>
              <w:jc w:val="center"/>
            </w:pPr>
            <w:r>
              <w:rPr>
                <w:sz w:val="16"/>
              </w:rPr>
              <w:t>30.6 ± 0.0</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0.0233 ± 0.0000</w:t>
            </w:r>
          </w:p>
        </w:tc>
        <w:tc>
          <w:tcPr>
            <w:tcW w:type="dxa" w:w="1290"/>
            <w:shd w:fill="F8FAFC"/>
            <w:tcMar>
              <w:top w:w="60" w:type="dxa"/>
              <w:bottom w:w="60" w:type="dxa"/>
              <w:left w:w="80" w:type="dxa"/>
              <w:right w:w="80" w:type="dxa"/>
            </w:tcMar>
          </w:tcPr>
          <w:p>
            <w:pPr>
              <w:jc w:val="center"/>
            </w:pPr>
            <w:r>
              <w:rPr>
                <w:sz w:val="16"/>
              </w:rPr>
              <w:t>0.0325 ± 0.0000</w:t>
            </w:r>
          </w:p>
        </w:tc>
        <w:tc>
          <w:tcPr>
            <w:tcW w:type="dxa" w:w="1290"/>
            <w:shd w:fill="F8FAFC"/>
            <w:tcMar>
              <w:top w:w="60" w:type="dxa"/>
              <w:bottom w:w="60" w:type="dxa"/>
              <w:left w:w="80" w:type="dxa"/>
              <w:right w:w="80" w:type="dxa"/>
            </w:tcMar>
          </w:tcPr>
          <w:p>
            <w:pPr>
              <w:jc w:val="center"/>
            </w:pPr>
            <w:r>
              <w:rPr>
                <w:sz w:val="16"/>
              </w:rPr>
              <w:t>0.0254 ± 0.0000</w:t>
            </w:r>
          </w:p>
        </w:tc>
        <w:tc>
          <w:tcPr>
            <w:tcW w:type="dxa" w:w="1290"/>
            <w:shd w:fill="F8FAFC"/>
            <w:tcMar>
              <w:top w:w="60" w:type="dxa"/>
              <w:bottom w:w="60" w:type="dxa"/>
              <w:left w:w="80" w:type="dxa"/>
              <w:right w:w="80" w:type="dxa"/>
            </w:tcMar>
          </w:tcPr>
          <w:p>
            <w:pPr>
              <w:jc w:val="center"/>
            </w:pPr>
            <w:r>
              <w:rPr>
                <w:sz w:val="16"/>
              </w:rPr>
              <w:t>0.0116 ± 0.0000</w:t>
            </w:r>
          </w:p>
        </w:tc>
        <w:tc>
          <w:tcPr>
            <w:tcW w:type="dxa" w:w="1290"/>
            <w:shd w:fill="F8FAFC"/>
            <w:tcMar>
              <w:top w:w="60" w:type="dxa"/>
              <w:bottom w:w="60" w:type="dxa"/>
              <w:left w:w="80" w:type="dxa"/>
              <w:right w:w="80" w:type="dxa"/>
            </w:tcMar>
          </w:tcPr>
          <w:p>
            <w:pPr>
              <w:jc w:val="center"/>
            </w:pPr>
            <w:r>
              <w:rPr>
                <w:sz w:val="16"/>
              </w:rPr>
              <w:t>28.4 ± 0.0</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 ± 0.0006</w:t>
            </w:r>
          </w:p>
        </w:tc>
        <w:tc>
          <w:tcPr>
            <w:tcW w:type="dxa" w:w="1290"/>
            <w:shd w:fill="FFFFFF"/>
            <w:tcMar>
              <w:top w:w="60" w:type="dxa"/>
              <w:bottom w:w="60" w:type="dxa"/>
              <w:left w:w="80" w:type="dxa"/>
              <w:right w:w="80" w:type="dxa"/>
            </w:tcMar>
          </w:tcPr>
          <w:p>
            <w:pPr>
              <w:jc w:val="center"/>
            </w:pPr>
            <w:r>
              <w:rPr>
                <w:sz w:val="16"/>
              </w:rPr>
              <w:t>0.0402 ± 0.0005</w:t>
            </w:r>
          </w:p>
        </w:tc>
        <w:tc>
          <w:tcPr>
            <w:tcW w:type="dxa" w:w="1290"/>
            <w:shd w:fill="FFFFFF"/>
            <w:tcMar>
              <w:top w:w="60" w:type="dxa"/>
              <w:bottom w:w="60" w:type="dxa"/>
              <w:left w:w="80" w:type="dxa"/>
              <w:right w:w="80" w:type="dxa"/>
            </w:tcMar>
          </w:tcPr>
          <w:p>
            <w:pPr>
              <w:jc w:val="center"/>
            </w:pPr>
            <w:r>
              <w:rPr>
                <w:sz w:val="16"/>
              </w:rPr>
              <w:t>0.0304 ± 0.0005</w:t>
            </w:r>
          </w:p>
        </w:tc>
        <w:tc>
          <w:tcPr>
            <w:tcW w:type="dxa" w:w="1290"/>
            <w:shd w:fill="FFFFFF"/>
            <w:tcMar>
              <w:top w:w="60" w:type="dxa"/>
              <w:bottom w:w="60" w:type="dxa"/>
              <w:left w:w="80" w:type="dxa"/>
              <w:right w:w="80" w:type="dxa"/>
            </w:tcMar>
          </w:tcPr>
          <w:p>
            <w:pPr>
              <w:jc w:val="center"/>
            </w:pPr>
            <w:r>
              <w:rPr>
                <w:sz w:val="16"/>
              </w:rPr>
              <w:t>0.0118 ± 0.0004</w:t>
            </w:r>
          </w:p>
        </w:tc>
        <w:tc>
          <w:tcPr>
            <w:tcW w:type="dxa" w:w="1290"/>
            <w:shd w:fill="FFFFFF"/>
            <w:tcMar>
              <w:top w:w="60" w:type="dxa"/>
              <w:bottom w:w="60" w:type="dxa"/>
              <w:left w:w="80" w:type="dxa"/>
              <w:right w:w="80" w:type="dxa"/>
            </w:tcMar>
          </w:tcPr>
          <w:p>
            <w:pPr>
              <w:jc w:val="center"/>
            </w:pPr>
            <w:r>
              <w:rPr>
                <w:sz w:val="16"/>
              </w:rPr>
              <w:t>35.5 ± 0.5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0.0305 ± 0.0005</w:t>
            </w:r>
          </w:p>
        </w:tc>
        <w:tc>
          <w:tcPr>
            <w:tcW w:type="dxa" w:w="1290"/>
            <w:shd w:fill="F8FAFC"/>
            <w:tcMar>
              <w:top w:w="60" w:type="dxa"/>
              <w:bottom w:w="60" w:type="dxa"/>
              <w:left w:w="80" w:type="dxa"/>
              <w:right w:w="80" w:type="dxa"/>
            </w:tcMar>
          </w:tcPr>
          <w:p>
            <w:pPr>
              <w:jc w:val="center"/>
            </w:pPr>
            <w:r>
              <w:rPr>
                <w:sz w:val="16"/>
              </w:rPr>
              <w:t>0.0416 ± 0.0004</w:t>
            </w:r>
          </w:p>
        </w:tc>
        <w:tc>
          <w:tcPr>
            <w:tcW w:type="dxa" w:w="1290"/>
            <w:shd w:fill="F8FAFC"/>
            <w:tcMar>
              <w:top w:w="60" w:type="dxa"/>
              <w:bottom w:w="60" w:type="dxa"/>
              <w:left w:w="80" w:type="dxa"/>
              <w:right w:w="80" w:type="dxa"/>
            </w:tcMar>
          </w:tcPr>
          <w:p>
            <w:pPr>
              <w:jc w:val="center"/>
            </w:pPr>
            <w:r>
              <w:rPr>
                <w:sz w:val="16"/>
              </w:rPr>
              <w:t>0.0318 ± 0.0004</w:t>
            </w:r>
          </w:p>
        </w:tc>
        <w:tc>
          <w:tcPr>
            <w:tcW w:type="dxa" w:w="1290"/>
            <w:shd w:fill="F8FAFC"/>
            <w:tcMar>
              <w:top w:w="60" w:type="dxa"/>
              <w:bottom w:w="60" w:type="dxa"/>
              <w:left w:w="80" w:type="dxa"/>
              <w:right w:w="80" w:type="dxa"/>
            </w:tcMar>
          </w:tcPr>
          <w:p>
            <w:pPr>
              <w:jc w:val="center"/>
            </w:pPr>
            <w:r>
              <w:rPr>
                <w:sz w:val="16"/>
              </w:rPr>
              <w:t>0.0120 ± 0.0003</w:t>
            </w:r>
          </w:p>
        </w:tc>
        <w:tc>
          <w:tcPr>
            <w:tcW w:type="dxa" w:w="1290"/>
            <w:shd w:fill="F8FAFC"/>
            <w:tcMar>
              <w:top w:w="60" w:type="dxa"/>
              <w:bottom w:w="60" w:type="dxa"/>
              <w:left w:w="80" w:type="dxa"/>
              <w:right w:w="80" w:type="dxa"/>
            </w:tcMar>
          </w:tcPr>
          <w:p>
            <w:pPr>
              <w:jc w:val="center"/>
            </w:pPr>
            <w:r>
              <w:rPr>
                <w:sz w:val="16"/>
              </w:rPr>
              <w:t>37.4 ± 0.4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 ± 0.0035</w:t>
            </w:r>
          </w:p>
        </w:tc>
        <w:tc>
          <w:tcPr>
            <w:tcW w:type="dxa" w:w="1290"/>
            <w:shd w:fill="FFFFFF"/>
            <w:tcMar>
              <w:top w:w="60" w:type="dxa"/>
              <w:bottom w:w="60" w:type="dxa"/>
              <w:left w:w="80" w:type="dxa"/>
              <w:right w:w="80" w:type="dxa"/>
            </w:tcMar>
          </w:tcPr>
          <w:p>
            <w:pPr>
              <w:jc w:val="center"/>
            </w:pPr>
            <w:r>
              <w:rPr>
                <w:sz w:val="16"/>
              </w:rPr>
              <w:t>0.1415 ± 0.0032</w:t>
            </w:r>
          </w:p>
        </w:tc>
        <w:tc>
          <w:tcPr>
            <w:tcW w:type="dxa" w:w="1290"/>
            <w:shd w:fill="FFFFFF"/>
            <w:tcMar>
              <w:top w:w="60" w:type="dxa"/>
              <w:bottom w:w="60" w:type="dxa"/>
              <w:left w:w="80" w:type="dxa"/>
              <w:right w:w="80" w:type="dxa"/>
            </w:tcMar>
          </w:tcPr>
          <w:p>
            <w:pPr>
              <w:jc w:val="center"/>
            </w:pPr>
            <w:r>
              <w:rPr>
                <w:sz w:val="16"/>
              </w:rPr>
              <w:t>0.1109 ± 0.0031</w:t>
            </w:r>
          </w:p>
        </w:tc>
        <w:tc>
          <w:tcPr>
            <w:tcW w:type="dxa" w:w="1290"/>
            <w:shd w:fill="FFFFFF"/>
            <w:tcMar>
              <w:top w:w="60" w:type="dxa"/>
              <w:bottom w:w="60" w:type="dxa"/>
              <w:left w:w="80" w:type="dxa"/>
              <w:right w:w="80" w:type="dxa"/>
            </w:tcMar>
          </w:tcPr>
          <w:p>
            <w:pPr>
              <w:jc w:val="center"/>
            </w:pPr>
            <w:r>
              <w:rPr>
                <w:sz w:val="16"/>
              </w:rPr>
              <w:t>0.0560 ± 0.0015</w:t>
            </w:r>
          </w:p>
        </w:tc>
        <w:tc>
          <w:tcPr>
            <w:tcW w:type="dxa" w:w="1290"/>
            <w:shd w:fill="FFFFFF"/>
            <w:tcMar>
              <w:top w:w="60" w:type="dxa"/>
              <w:bottom w:w="60" w:type="dxa"/>
              <w:left w:w="80" w:type="dxa"/>
              <w:right w:w="80" w:type="dxa"/>
            </w:tcMar>
          </w:tcPr>
          <w:p>
            <w:pPr>
              <w:jc w:val="center"/>
            </w:pPr>
            <w:r>
              <w:rPr>
                <w:sz w:val="16"/>
              </w:rPr>
              <w:t>137.1 ± 3.1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(Local Adaptation)</w:t>
            </w:r>
          </w:p>
        </w:tc>
        <w:tc>
          <w:tcPr>
            <w:tcW w:type="dxa" w:w="1290"/>
            <w:shd w:fill="F1F5F9"/>
            <w:tcMar>
              <w:top w:w="60" w:type="dxa"/>
              <w:bottom w:w="60" w:type="dxa"/>
              <w:left w:w="80" w:type="dxa"/>
              <w:right w:w="80" w:type="dxa"/>
            </w:tcMar>
          </w:tcPr>
          <w:p>
            <w:pPr>
              <w:jc w:val="center"/>
            </w:pPr>
            <w:r>
              <w:rPr>
                <w:b/>
                <w:sz w:val="16"/>
              </w:rPr>
              <w:t>0.0732 ± 0.0005</w:t>
            </w:r>
          </w:p>
        </w:tc>
        <w:tc>
          <w:tcPr>
            <w:tcW w:type="dxa" w:w="1290"/>
            <w:shd w:fill="F1F5F9"/>
            <w:tcMar>
              <w:top w:w="60" w:type="dxa"/>
              <w:bottom w:w="60" w:type="dxa"/>
              <w:left w:w="80" w:type="dxa"/>
              <w:right w:w="80" w:type="dxa"/>
            </w:tcMar>
          </w:tcPr>
          <w:p>
            <w:pPr>
              <w:jc w:val="center"/>
            </w:pPr>
            <w:r>
              <w:rPr>
                <w:b/>
                <w:sz w:val="16"/>
              </w:rPr>
              <w:t>0.0962 ± 0.0003</w:t>
            </w:r>
          </w:p>
        </w:tc>
        <w:tc>
          <w:tcPr>
            <w:tcW w:type="dxa" w:w="1290"/>
            <w:shd w:fill="F1F5F9"/>
            <w:tcMar>
              <w:top w:w="60" w:type="dxa"/>
              <w:bottom w:w="60" w:type="dxa"/>
              <w:left w:w="80" w:type="dxa"/>
              <w:right w:w="80" w:type="dxa"/>
            </w:tcMar>
          </w:tcPr>
          <w:p>
            <w:pPr>
              <w:jc w:val="center"/>
            </w:pPr>
            <w:r>
              <w:rPr>
                <w:b/>
                <w:sz w:val="16"/>
              </w:rPr>
              <w:t>0.0750 ± 0.0003</w:t>
            </w:r>
          </w:p>
        </w:tc>
        <w:tc>
          <w:tcPr>
            <w:tcW w:type="dxa" w:w="1290"/>
            <w:shd w:fill="F1F5F9"/>
            <w:tcMar>
              <w:top w:w="60" w:type="dxa"/>
              <w:bottom w:w="60" w:type="dxa"/>
              <w:left w:w="80" w:type="dxa"/>
              <w:right w:w="80" w:type="dxa"/>
            </w:tcMar>
          </w:tcPr>
          <w:p>
            <w:pPr>
              <w:jc w:val="center"/>
            </w:pPr>
            <w:r>
              <w:rPr>
                <w:b/>
                <w:sz w:val="16"/>
              </w:rPr>
              <w:t>0.0263 ± 0.0012</w:t>
            </w:r>
          </w:p>
        </w:tc>
        <w:tc>
          <w:tcPr>
            <w:tcW w:type="dxa" w:w="1290"/>
            <w:shd w:fill="F1F5F9"/>
            <w:tcMar>
              <w:top w:w="60" w:type="dxa"/>
              <w:bottom w:w="60" w:type="dxa"/>
              <w:left w:w="80" w:type="dxa"/>
              <w:right w:w="80" w:type="dxa"/>
            </w:tcMar>
          </w:tcPr>
          <w:p>
            <w:pPr>
              <w:jc w:val="center"/>
            </w:pPr>
            <w:r>
              <w:rPr>
                <w:b/>
                <w:sz w:val="16"/>
              </w:rPr>
              <w:t>92.3 ± 0.6</w:t>
            </w:r>
          </w:p>
        </w:tc>
      </w:tr>
    </w:tbl>
    <w:p>
      <w:pPr>
        <w:spacing w:before="0" w:after="80" w:line="276" w:lineRule="auto"/>
        <w:jc w:val="both"/>
      </w:pPr>
      <w:r>
        <w:rPr>
          <w:i/>
          <w:color w:val="64748B"/>
          <w:sz w:val="16"/>
        </w:rPr>
        <w:t>Note: Baseline models (Persistence, Local Linear, Pooled Linear, and XGBoost) are deterministic and seed-invariant (± 0.0000). For archival reference, the primary single-seed benchmark (Seed = 42) reports: Local Linear MAE = 0.0126 (13.9 bays), Centralized Attention-LSTM MAE = 0.0217 (26.9 bays), Global FedAvg MAE = 0.1006 (126.8 bays), and Personalized FedAvg MAE = 0.0607 (73.2 bays).</w:t>
      </w:r>
    </w:p>
    <w:p>
      <w:pPr>
        <w:spacing w:before="0" w:after="120" w:line="276" w:lineRule="auto"/>
        <w:jc w:val="both"/>
      </w:pPr>
    </w:p>
    <w:p>
      <w:pPr>
        <w:jc w:val="center"/>
      </w:pPr>
      <w:r>
        <w:drawing>
          <wp:inline xmlns:a="http://schemas.openxmlformats.org/drawingml/2006/main" xmlns:pic="http://schemas.openxmlformats.org/drawingml/2006/picture">
            <wp:extent cx="5669280" cy="1965350"/>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196535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across Communication-Constrained (R=8) and Approximately Matched Compute-Budget (R=15) Regimes (30-Minute Horizon, Mean ± Std across Seeds {42, 101, 2024}).</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656"/>
            <w:shd w:fill="1F3864"/>
            <w:tcMar>
              <w:top w:w="100" w:type="dxa"/>
              <w:bottom w:w="100" w:type="dxa"/>
              <w:left w:w="100" w:type="dxa"/>
              <w:right w:w="100" w:type="dxa"/>
            </w:tcMar>
          </w:tcPr>
          <w:p>
            <w:pPr>
              <w:jc w:val="center"/>
            </w:pPr>
            <w:r>
              <w:rPr>
                <w:b/>
                <w:color w:val="FFFFFF"/>
                <w:sz w:val="16"/>
              </w:rPr>
              <w:t>Regime &amp; Protocol</w:t>
            </w:r>
          </w:p>
        </w:tc>
        <w:tc>
          <w:tcPr>
            <w:tcW w:type="dxa" w:w="2232"/>
            <w:shd w:fill="1F3864"/>
            <w:tcMar>
              <w:top w:w="100" w:type="dxa"/>
              <w:bottom w:w="100" w:type="dxa"/>
              <w:left w:w="100" w:type="dxa"/>
              <w:right w:w="100" w:type="dxa"/>
            </w:tcMar>
          </w:tcPr>
          <w:p>
            <w:pPr>
              <w:jc w:val="center"/>
            </w:pPr>
            <w:r>
              <w:rPr>
                <w:b/>
                <w:color w:val="FFFFFF"/>
                <w:sz w:val="16"/>
              </w:rPr>
              <w:t>Federated Paradigm / Algorithm</w:t>
            </w:r>
          </w:p>
        </w:tc>
        <w:tc>
          <w:tcPr>
            <w:tcW w:type="dxa" w:w="1152"/>
            <w:shd w:fill="1F3864"/>
            <w:tcMar>
              <w:top w:w="100" w:type="dxa"/>
              <w:bottom w:w="100" w:type="dxa"/>
              <w:left w:w="100" w:type="dxa"/>
              <w:right w:w="100" w:type="dxa"/>
            </w:tcMar>
          </w:tcPr>
          <w:p>
            <w:pPr>
              <w:jc w:val="center"/>
            </w:pPr>
            <w:r>
              <w:rPr>
                <w:b/>
                <w:color w:val="FFFFFF"/>
                <w:sz w:val="16"/>
              </w:rPr>
              <w:t>Pooled MAE (Micro)</w:t>
            </w:r>
          </w:p>
        </w:tc>
        <w:tc>
          <w:tcPr>
            <w:tcW w:type="dxa" w:w="1080"/>
            <w:shd w:fill="1F3864"/>
            <w:tcMar>
              <w:top w:w="100" w:type="dxa"/>
              <w:bottom w:w="100" w:type="dxa"/>
              <w:left w:w="100" w:type="dxa"/>
              <w:right w:w="100" w:type="dxa"/>
            </w:tcMar>
          </w:tcPr>
          <w:p>
            <w:pPr>
              <w:jc w:val="center"/>
            </w:pPr>
            <w:r>
              <w:rPr>
                <w:b/>
                <w:color w:val="FFFFFF"/>
                <w:sz w:val="16"/>
              </w:rPr>
              <w:t>Pooled RMSE</w:t>
            </w:r>
          </w:p>
        </w:tc>
        <w:tc>
          <w:tcPr>
            <w:tcW w:type="dxa" w:w="1080"/>
            <w:shd w:fill="1F3864"/>
            <w:tcMar>
              <w:top w:w="100" w:type="dxa"/>
              <w:bottom w:w="100" w:type="dxa"/>
              <w:left w:w="100" w:type="dxa"/>
              <w:right w:w="100" w:type="dxa"/>
            </w:tcMar>
          </w:tcPr>
          <w:p>
            <w:pPr>
              <w:jc w:val="center"/>
            </w:pPr>
            <w:r>
              <w:rPr>
                <w:b/>
                <w:color w:val="FFFFFF"/>
                <w:sz w:val="16"/>
              </w:rPr>
              <w:t>Macro Mean MAE</w:t>
            </w:r>
          </w:p>
        </w:tc>
        <w:tc>
          <w:tcPr>
            <w:tcW w:type="dxa" w:w="1080"/>
            <w:shd w:fill="1F3864"/>
            <w:tcMar>
              <w:top w:w="100" w:type="dxa"/>
              <w:bottom w:w="100" w:type="dxa"/>
              <w:left w:w="100" w:type="dxa"/>
              <w:right w:w="100" w:type="dxa"/>
            </w:tcMar>
          </w:tcPr>
          <w:p>
            <w:pPr>
              <w:jc w:val="center"/>
            </w:pPr>
            <w:r>
              <w:rPr>
                <w:b/>
                <w:color w:val="FFFFFF"/>
                <w:sz w:val="16"/>
              </w:rPr>
              <w:t>Between-Lot Std (sigma)</w:t>
            </w:r>
          </w:p>
        </w:tc>
        <w:tc>
          <w:tcPr>
            <w:tcW w:type="dxa" w:w="1080"/>
            <w:shd w:fill="1F3864"/>
            <w:tcMar>
              <w:top w:w="100" w:type="dxa"/>
              <w:bottom w:w="100" w:type="dxa"/>
              <w:left w:w="100" w:type="dxa"/>
              <w:right w:w="100" w:type="dxa"/>
            </w:tcMar>
          </w:tcPr>
          <w:p>
            <w:pPr>
              <w:jc w:val="center"/>
            </w:pPr>
            <w:r>
              <w:rPr>
                <w:b/>
                <w:color w:val="FFFFFF"/>
                <w:sz w:val="16"/>
              </w:rPr>
              <w:t>Mean Space Error (bays)</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Global FedAvg (R=8, B=32) [7]</w:t>
            </w:r>
          </w:p>
        </w:tc>
        <w:tc>
          <w:tcPr>
            <w:tcW w:type="dxa" w:w="1152"/>
            <w:shd w:fill="FFFFFF"/>
            <w:tcMar>
              <w:top w:w="60" w:type="dxa"/>
              <w:bottom w:w="60" w:type="dxa"/>
              <w:left w:w="80" w:type="dxa"/>
              <w:right w:w="80" w:type="dxa"/>
            </w:tcMar>
          </w:tcPr>
          <w:p>
            <w:pPr>
              <w:jc w:val="center"/>
            </w:pPr>
            <w:r>
              <w:rPr>
                <w:sz w:val="16"/>
              </w:rPr>
              <w:t>0.0935 ± 0.0032</w:t>
            </w:r>
          </w:p>
        </w:tc>
        <w:tc>
          <w:tcPr>
            <w:tcW w:type="dxa" w:w="1080"/>
            <w:shd w:fill="FFFFFF"/>
            <w:tcMar>
              <w:top w:w="60" w:type="dxa"/>
              <w:bottom w:w="60" w:type="dxa"/>
              <w:left w:w="80" w:type="dxa"/>
              <w:right w:w="80" w:type="dxa"/>
            </w:tcMar>
          </w:tcPr>
          <w:p>
            <w:pPr>
              <w:jc w:val="center"/>
            </w:pPr>
            <w:r>
              <w:rPr>
                <w:sz w:val="16"/>
              </w:rPr>
              <w:t>0.1230 ± 0.0030</w:t>
            </w:r>
          </w:p>
        </w:tc>
        <w:tc>
          <w:tcPr>
            <w:tcW w:type="dxa" w:w="1080"/>
            <w:shd w:fill="FFFFFF"/>
            <w:tcMar>
              <w:top w:w="60" w:type="dxa"/>
              <w:bottom w:w="60" w:type="dxa"/>
              <w:left w:w="80" w:type="dxa"/>
              <w:right w:w="80" w:type="dxa"/>
            </w:tcMar>
          </w:tcPr>
          <w:p>
            <w:pPr>
              <w:jc w:val="center"/>
            </w:pPr>
            <w:r>
              <w:rPr>
                <w:sz w:val="16"/>
              </w:rPr>
              <w:t>0.0963 ± 0.0029</w:t>
            </w:r>
          </w:p>
        </w:tc>
        <w:tc>
          <w:tcPr>
            <w:tcW w:type="dxa" w:w="1080"/>
            <w:shd w:fill="FFFFFF"/>
            <w:tcMar>
              <w:top w:w="60" w:type="dxa"/>
              <w:bottom w:w="60" w:type="dxa"/>
              <w:left w:w="80" w:type="dxa"/>
              <w:right w:w="80" w:type="dxa"/>
            </w:tcMar>
          </w:tcPr>
          <w:p>
            <w:pPr>
              <w:jc w:val="center"/>
            </w:pPr>
            <w:r>
              <w:rPr>
                <w:sz w:val="16"/>
              </w:rPr>
              <w:t>0.0498 ± 0.0013</w:t>
            </w:r>
          </w:p>
        </w:tc>
        <w:tc>
          <w:tcPr>
            <w:tcW w:type="dxa" w:w="1080"/>
            <w:shd w:fill="FFFFFF"/>
            <w:tcMar>
              <w:top w:w="60" w:type="dxa"/>
              <w:bottom w:w="60" w:type="dxa"/>
              <w:left w:w="80" w:type="dxa"/>
              <w:right w:w="80" w:type="dxa"/>
            </w:tcMar>
          </w:tcPr>
          <w:p>
            <w:pPr>
              <w:jc w:val="center"/>
            </w:pPr>
            <w:r>
              <w:rPr>
                <w:sz w:val="16"/>
              </w:rPr>
              <w:t>118.5 ± 2.6</w:t>
            </w:r>
          </w:p>
        </w:tc>
      </w:tr>
      <w:tr>
        <w:tc>
          <w:tcPr>
            <w:tcW w:type="dxa" w:w="1656"/>
            <w:shd w:fill="F1F5F9"/>
            <w:tcMar>
              <w:top w:w="60" w:type="dxa"/>
              <w:bottom w:w="60" w:type="dxa"/>
              <w:left w:w="80" w:type="dxa"/>
              <w:right w:w="80" w:type="dxa"/>
            </w:tcMar>
          </w:tcPr>
          <w:p>
            <w:pPr>
              <w:jc w:val="left"/>
            </w:pPr>
            <w:r>
              <w:rPr>
                <w:sz w:val="16"/>
              </w:rPr>
              <w:t>Communication-Constrained (R=8, E=2, ~7,888 steps)</w:t>
            </w:r>
          </w:p>
        </w:tc>
        <w:tc>
          <w:tcPr>
            <w:tcW w:type="dxa" w:w="2232"/>
            <w:shd w:fill="F1F5F9"/>
            <w:tcMar>
              <w:top w:w="60" w:type="dxa"/>
              <w:bottom w:w="60" w:type="dxa"/>
              <w:left w:w="80" w:type="dxa"/>
              <w:right w:w="80" w:type="dxa"/>
            </w:tcMar>
          </w:tcPr>
          <w:p>
            <w:pPr>
              <w:jc w:val="left"/>
            </w:pPr>
            <w:r>
              <w:rPr>
                <w:sz w:val="16"/>
              </w:rPr>
              <w:t>IID-Shuffled FedAvg Control</w:t>
            </w:r>
          </w:p>
        </w:tc>
        <w:tc>
          <w:tcPr>
            <w:tcW w:type="dxa" w:w="1152"/>
            <w:shd w:fill="F1F5F9"/>
            <w:tcMar>
              <w:top w:w="60" w:type="dxa"/>
              <w:bottom w:w="60" w:type="dxa"/>
              <w:left w:w="80" w:type="dxa"/>
              <w:right w:w="80" w:type="dxa"/>
            </w:tcMar>
          </w:tcPr>
          <w:p>
            <w:pPr>
              <w:jc w:val="center"/>
            </w:pPr>
            <w:r>
              <w:rPr>
                <w:sz w:val="16"/>
              </w:rPr>
              <w:t>0.0678 ± 0.0019</w:t>
            </w:r>
          </w:p>
        </w:tc>
        <w:tc>
          <w:tcPr>
            <w:tcW w:type="dxa" w:w="1080"/>
            <w:shd w:fill="F1F5F9"/>
            <w:tcMar>
              <w:top w:w="60" w:type="dxa"/>
              <w:bottom w:w="60" w:type="dxa"/>
              <w:left w:w="80" w:type="dxa"/>
              <w:right w:w="80" w:type="dxa"/>
            </w:tcMar>
          </w:tcPr>
          <w:p>
            <w:pPr>
              <w:jc w:val="center"/>
            </w:pPr>
            <w:r>
              <w:rPr>
                <w:sz w:val="16"/>
              </w:rPr>
              <w:t>0.0956 ± 0.0023</w:t>
            </w:r>
          </w:p>
        </w:tc>
        <w:tc>
          <w:tcPr>
            <w:tcW w:type="dxa" w:w="1080"/>
            <w:shd w:fill="F1F5F9"/>
            <w:tcMar>
              <w:top w:w="60" w:type="dxa"/>
              <w:bottom w:w="60" w:type="dxa"/>
              <w:left w:w="80" w:type="dxa"/>
              <w:right w:w="80" w:type="dxa"/>
            </w:tcMar>
          </w:tcPr>
          <w:p>
            <w:pPr>
              <w:jc w:val="center"/>
            </w:pPr>
            <w:r>
              <w:rPr>
                <w:sz w:val="16"/>
              </w:rPr>
              <w:t>0.0711 ± 0.0019</w:t>
            </w:r>
          </w:p>
        </w:tc>
        <w:tc>
          <w:tcPr>
            <w:tcW w:type="dxa" w:w="1080"/>
            <w:shd w:fill="F1F5F9"/>
            <w:tcMar>
              <w:top w:w="60" w:type="dxa"/>
              <w:bottom w:w="60" w:type="dxa"/>
              <w:left w:w="80" w:type="dxa"/>
              <w:right w:w="80" w:type="dxa"/>
            </w:tcMar>
          </w:tcPr>
          <w:p>
            <w:pPr>
              <w:jc w:val="center"/>
            </w:pPr>
            <w:r>
              <w:rPr>
                <w:sz w:val="16"/>
              </w:rPr>
              <w:t>0.0361 ± 0.0012</w:t>
            </w:r>
          </w:p>
        </w:tc>
        <w:tc>
          <w:tcPr>
            <w:tcW w:type="dxa" w:w="1080"/>
            <w:shd w:fill="F1F5F9"/>
            <w:tcMar>
              <w:top w:w="60" w:type="dxa"/>
              <w:bottom w:w="60" w:type="dxa"/>
              <w:left w:w="80" w:type="dxa"/>
              <w:right w:w="80" w:type="dxa"/>
            </w:tcMar>
          </w:tcPr>
          <w:p>
            <w:pPr>
              <w:jc w:val="center"/>
            </w:pPr>
            <w:r>
              <w:rPr>
                <w:sz w:val="16"/>
              </w:rPr>
              <w:t>90.4 ± 1.5</w:t>
            </w:r>
          </w:p>
        </w:tc>
      </w:tr>
      <w:tr>
        <w:tc>
          <w:tcPr>
            <w:tcW w:type="dxa" w:w="1656"/>
            <w:shd w:fill="FFFFFF"/>
            <w:tcMar>
              <w:top w:w="60" w:type="dxa"/>
              <w:bottom w:w="60" w:type="dxa"/>
              <w:left w:w="80" w:type="dxa"/>
              <w:right w:w="80" w:type="dxa"/>
            </w:tcMar>
          </w:tcPr>
          <w:p>
            <w:pPr>
              <w:jc w:val="left"/>
            </w:pPr>
            <w:r>
              <w:rPr>
                <w:sz w:val="16"/>
              </w:rPr>
              <w:t>Communication-Constrained (R=8, E=2, ~7,888 steps)</w:t>
            </w:r>
          </w:p>
        </w:tc>
        <w:tc>
          <w:tcPr>
            <w:tcW w:type="dxa" w:w="2232"/>
            <w:shd w:fill="FFFFFF"/>
            <w:tcMar>
              <w:top w:w="60" w:type="dxa"/>
              <w:bottom w:w="60" w:type="dxa"/>
              <w:left w:w="80" w:type="dxa"/>
              <w:right w:w="80" w:type="dxa"/>
            </w:tcMar>
          </w:tcPr>
          <w:p>
            <w:pPr>
              <w:jc w:val="left"/>
            </w:pPr>
            <w:r>
              <w:rPr>
                <w:sz w:val="16"/>
              </w:rPr>
              <w:t>FedProx (mu = 0.01) [19]</w:t>
            </w:r>
          </w:p>
        </w:tc>
        <w:tc>
          <w:tcPr>
            <w:tcW w:type="dxa" w:w="1152"/>
            <w:shd w:fill="FFFFFF"/>
            <w:tcMar>
              <w:top w:w="60" w:type="dxa"/>
              <w:bottom w:w="60" w:type="dxa"/>
              <w:left w:w="80" w:type="dxa"/>
              <w:right w:w="80" w:type="dxa"/>
            </w:tcMar>
          </w:tcPr>
          <w:p>
            <w:pPr>
              <w:jc w:val="center"/>
            </w:pPr>
            <w:r>
              <w:rPr>
                <w:sz w:val="16"/>
              </w:rPr>
              <w:t>0.1305 ± 0.0162</w:t>
            </w:r>
          </w:p>
        </w:tc>
        <w:tc>
          <w:tcPr>
            <w:tcW w:type="dxa" w:w="1080"/>
            <w:shd w:fill="FFFFFF"/>
            <w:tcMar>
              <w:top w:w="60" w:type="dxa"/>
              <w:bottom w:w="60" w:type="dxa"/>
              <w:left w:w="80" w:type="dxa"/>
              <w:right w:w="80" w:type="dxa"/>
            </w:tcMar>
          </w:tcPr>
          <w:p>
            <w:pPr>
              <w:jc w:val="center"/>
            </w:pPr>
            <w:r>
              <w:rPr>
                <w:sz w:val="16"/>
              </w:rPr>
              <w:t>0.1607 ± 0.0157</w:t>
            </w:r>
          </w:p>
        </w:tc>
        <w:tc>
          <w:tcPr>
            <w:tcW w:type="dxa" w:w="1080"/>
            <w:shd w:fill="FFFFFF"/>
            <w:tcMar>
              <w:top w:w="60" w:type="dxa"/>
              <w:bottom w:w="60" w:type="dxa"/>
              <w:left w:w="80" w:type="dxa"/>
              <w:right w:w="80" w:type="dxa"/>
            </w:tcMar>
          </w:tcPr>
          <w:p>
            <w:pPr>
              <w:jc w:val="center"/>
            </w:pPr>
            <w:r>
              <w:rPr>
                <w:sz w:val="16"/>
              </w:rPr>
              <w:t>0.1333 ± 0.0169</w:t>
            </w:r>
          </w:p>
        </w:tc>
        <w:tc>
          <w:tcPr>
            <w:tcW w:type="dxa" w:w="1080"/>
            <w:shd w:fill="FFFFFF"/>
            <w:tcMar>
              <w:top w:w="60" w:type="dxa"/>
              <w:bottom w:w="60" w:type="dxa"/>
              <w:left w:w="80" w:type="dxa"/>
              <w:right w:w="80" w:type="dxa"/>
            </w:tcMar>
          </w:tcPr>
          <w:p>
            <w:pPr>
              <w:jc w:val="center"/>
            </w:pPr>
            <w:r>
              <w:rPr>
                <w:sz w:val="16"/>
              </w:rPr>
              <w:t>0.0573 ± 0.0040</w:t>
            </w:r>
          </w:p>
        </w:tc>
        <w:tc>
          <w:tcPr>
            <w:tcW w:type="dxa" w:w="1080"/>
            <w:shd w:fill="FFFFFF"/>
            <w:tcMar>
              <w:top w:w="60" w:type="dxa"/>
              <w:bottom w:w="60" w:type="dxa"/>
              <w:left w:w="80" w:type="dxa"/>
              <w:right w:w="80" w:type="dxa"/>
            </w:tcMar>
          </w:tcPr>
          <w:p>
            <w:pPr>
              <w:jc w:val="center"/>
            </w:pPr>
            <w:r>
              <w:rPr>
                <w:sz w:val="16"/>
              </w:rPr>
              <w:t>162.8 ± 18.5</w:t>
            </w:r>
          </w:p>
        </w:tc>
      </w:tr>
      <w:tr>
        <w:tc>
          <w:tcPr>
            <w:tcW w:type="dxa" w:w="1656"/>
            <w:shd w:fill="F8FAFC"/>
            <w:tcMar>
              <w:top w:w="60" w:type="dxa"/>
              <w:bottom w:w="60" w:type="dxa"/>
              <w:left w:w="80" w:type="dxa"/>
              <w:right w:w="80" w:type="dxa"/>
            </w:tcMar>
          </w:tcPr>
          <w:p>
            <w:pPr>
              <w:jc w:val="left"/>
            </w:pPr>
            <w:r>
              <w:rPr>
                <w:sz w:val="16"/>
              </w:rPr>
              <w:t>Communication-Constrained (R=8, E=2, ~7,888 steps)</w:t>
            </w:r>
          </w:p>
        </w:tc>
        <w:tc>
          <w:tcPr>
            <w:tcW w:type="dxa" w:w="2232"/>
            <w:shd w:fill="F8FAFC"/>
            <w:tcMar>
              <w:top w:w="60" w:type="dxa"/>
              <w:bottom w:w="60" w:type="dxa"/>
              <w:left w:w="80" w:type="dxa"/>
              <w:right w:w="80" w:type="dxa"/>
            </w:tcMar>
          </w:tcPr>
          <w:p>
            <w:pPr>
              <w:jc w:val="left"/>
            </w:pPr>
            <w:r>
              <w:rPr>
                <w:sz w:val="16"/>
              </w:rPr>
              <w:t>FedPer (Shared Base, Private Head) [21]</w:t>
            </w:r>
          </w:p>
        </w:tc>
        <w:tc>
          <w:tcPr>
            <w:tcW w:type="dxa" w:w="1152"/>
            <w:shd w:fill="F8FAFC"/>
            <w:tcMar>
              <w:top w:w="60" w:type="dxa"/>
              <w:bottom w:w="60" w:type="dxa"/>
              <w:left w:w="80" w:type="dxa"/>
              <w:right w:w="80" w:type="dxa"/>
            </w:tcMar>
          </w:tcPr>
          <w:p>
            <w:pPr>
              <w:jc w:val="center"/>
            </w:pPr>
            <w:r>
              <w:rPr>
                <w:sz w:val="16"/>
              </w:rPr>
              <w:t>0.0775 ± 0.0012</w:t>
            </w:r>
          </w:p>
        </w:tc>
        <w:tc>
          <w:tcPr>
            <w:tcW w:type="dxa" w:w="1080"/>
            <w:shd w:fill="F8FAFC"/>
            <w:tcMar>
              <w:top w:w="60" w:type="dxa"/>
              <w:bottom w:w="60" w:type="dxa"/>
              <w:left w:w="80" w:type="dxa"/>
              <w:right w:w="80" w:type="dxa"/>
            </w:tcMar>
          </w:tcPr>
          <w:p>
            <w:pPr>
              <w:jc w:val="center"/>
            </w:pPr>
            <w:r>
              <w:rPr>
                <w:sz w:val="16"/>
              </w:rPr>
              <w:t>0.1056 ± 0.0007</w:t>
            </w:r>
          </w:p>
        </w:tc>
        <w:tc>
          <w:tcPr>
            <w:tcW w:type="dxa" w:w="1080"/>
            <w:shd w:fill="F8FAFC"/>
            <w:tcMar>
              <w:top w:w="60" w:type="dxa"/>
              <w:bottom w:w="60" w:type="dxa"/>
              <w:left w:w="80" w:type="dxa"/>
              <w:right w:w="80" w:type="dxa"/>
            </w:tcMar>
          </w:tcPr>
          <w:p>
            <w:pPr>
              <w:jc w:val="center"/>
            </w:pPr>
            <w:r>
              <w:rPr>
                <w:sz w:val="16"/>
              </w:rPr>
              <w:t>0.0798 ± 0.0009</w:t>
            </w:r>
          </w:p>
        </w:tc>
        <w:tc>
          <w:tcPr>
            <w:tcW w:type="dxa" w:w="1080"/>
            <w:shd w:fill="F8FAFC"/>
            <w:tcMar>
              <w:top w:w="60" w:type="dxa"/>
              <w:bottom w:w="60" w:type="dxa"/>
              <w:left w:w="80" w:type="dxa"/>
              <w:right w:w="80" w:type="dxa"/>
            </w:tcMar>
          </w:tcPr>
          <w:p>
            <w:pPr>
              <w:jc w:val="center"/>
            </w:pPr>
            <w:r>
              <w:rPr>
                <w:sz w:val="16"/>
              </w:rPr>
              <w:t>0.0379 ± 0.0007</w:t>
            </w:r>
          </w:p>
        </w:tc>
        <w:tc>
          <w:tcPr>
            <w:tcW w:type="dxa" w:w="1080"/>
            <w:shd w:fill="F8FAFC"/>
            <w:tcMar>
              <w:top w:w="60" w:type="dxa"/>
              <w:bottom w:w="60" w:type="dxa"/>
              <w:left w:w="80" w:type="dxa"/>
              <w:right w:w="80" w:type="dxa"/>
            </w:tcMar>
          </w:tcPr>
          <w:p>
            <w:pPr>
              <w:jc w:val="center"/>
            </w:pPr>
            <w:r>
              <w:rPr>
                <w:sz w:val="16"/>
              </w:rPr>
              <w:t>99.8 ± 1.2</w:t>
            </w:r>
          </w:p>
        </w:tc>
      </w:tr>
      <w:tr>
        <w:tc>
          <w:tcPr>
            <w:tcW w:type="dxa" w:w="1656"/>
            <w:shd w:fill="F1F5F9"/>
            <w:tcMar>
              <w:top w:w="60" w:type="dxa"/>
              <w:bottom w:w="60" w:type="dxa"/>
              <w:left w:w="80" w:type="dxa"/>
              <w:right w:w="80" w:type="dxa"/>
            </w:tcMar>
          </w:tcPr>
          <w:p>
            <w:pPr>
              <w:jc w:val="left"/>
            </w:pPr>
            <w:r>
              <w:rPr>
                <w:b/>
                <w:sz w:val="16"/>
              </w:rPr>
              <w:t>Communication-Constrained (R=8, E=2, ~7,888 steps)</w:t>
            </w:r>
          </w:p>
        </w:tc>
        <w:tc>
          <w:tcPr>
            <w:tcW w:type="dxa" w:w="2232"/>
            <w:shd w:fill="F1F5F9"/>
            <w:tcMar>
              <w:top w:w="60" w:type="dxa"/>
              <w:bottom w:w="60" w:type="dxa"/>
              <w:left w:w="80" w:type="dxa"/>
              <w:right w:w="80" w:type="dxa"/>
            </w:tcMar>
          </w:tcPr>
          <w:p>
            <w:pPr>
              <w:jc w:val="left"/>
            </w:pPr>
            <w:r>
              <w:rPr>
                <w:b/>
                <w:sz w:val="16"/>
              </w:rPr>
              <w:t>Personalized FedAvg (Local Adaptation)</w:t>
            </w:r>
          </w:p>
        </w:tc>
        <w:tc>
          <w:tcPr>
            <w:tcW w:type="dxa" w:w="1152"/>
            <w:shd w:fill="F1F5F9"/>
            <w:tcMar>
              <w:top w:w="60" w:type="dxa"/>
              <w:bottom w:w="60" w:type="dxa"/>
              <w:left w:w="80" w:type="dxa"/>
              <w:right w:w="80" w:type="dxa"/>
            </w:tcMar>
          </w:tcPr>
          <w:p>
            <w:pPr>
              <w:jc w:val="center"/>
            </w:pPr>
            <w:r>
              <w:rPr>
                <w:b/>
                <w:sz w:val="16"/>
              </w:rPr>
              <w:t>0.0592 ± 0.0004</w:t>
            </w:r>
          </w:p>
        </w:tc>
        <w:tc>
          <w:tcPr>
            <w:tcW w:type="dxa" w:w="1080"/>
            <w:shd w:fill="F1F5F9"/>
            <w:tcMar>
              <w:top w:w="60" w:type="dxa"/>
              <w:bottom w:w="60" w:type="dxa"/>
              <w:left w:w="80" w:type="dxa"/>
              <w:right w:w="80" w:type="dxa"/>
            </w:tcMar>
          </w:tcPr>
          <w:p>
            <w:pPr>
              <w:jc w:val="center"/>
            </w:pPr>
            <w:r>
              <w:rPr>
                <w:b/>
                <w:sz w:val="16"/>
              </w:rPr>
              <w:t>0.0786 ± 0.0001</w:t>
            </w:r>
          </w:p>
        </w:tc>
        <w:tc>
          <w:tcPr>
            <w:tcW w:type="dxa" w:w="1080"/>
            <w:shd w:fill="F1F5F9"/>
            <w:tcMar>
              <w:top w:w="60" w:type="dxa"/>
              <w:bottom w:w="60" w:type="dxa"/>
              <w:left w:w="80" w:type="dxa"/>
              <w:right w:w="80" w:type="dxa"/>
            </w:tcMar>
          </w:tcPr>
          <w:p>
            <w:pPr>
              <w:jc w:val="center"/>
            </w:pPr>
            <w:r>
              <w:rPr>
                <w:b/>
                <w:sz w:val="16"/>
              </w:rPr>
              <w:t>0.0612 ± 0.0001</w:t>
            </w:r>
          </w:p>
        </w:tc>
        <w:tc>
          <w:tcPr>
            <w:tcW w:type="dxa" w:w="1080"/>
            <w:shd w:fill="F1F5F9"/>
            <w:tcMar>
              <w:top w:w="60" w:type="dxa"/>
              <w:bottom w:w="60" w:type="dxa"/>
              <w:left w:w="80" w:type="dxa"/>
              <w:right w:w="80" w:type="dxa"/>
            </w:tcMar>
          </w:tcPr>
          <w:p>
            <w:pPr>
              <w:jc w:val="center"/>
            </w:pPr>
            <w:r>
              <w:rPr>
                <w:b/>
                <w:sz w:val="16"/>
              </w:rPr>
              <w:t>0.0243 ± 0.0014</w:t>
            </w:r>
          </w:p>
        </w:tc>
        <w:tc>
          <w:tcPr>
            <w:tcW w:type="dxa" w:w="1080"/>
            <w:shd w:fill="F1F5F9"/>
            <w:tcMar>
              <w:top w:w="60" w:type="dxa"/>
              <w:bottom w:w="60" w:type="dxa"/>
              <w:left w:w="80" w:type="dxa"/>
              <w:right w:w="80" w:type="dxa"/>
            </w:tcMar>
          </w:tcPr>
          <w:p>
            <w:pPr>
              <w:jc w:val="center"/>
            </w:pPr>
            <w:r>
              <w:rPr>
                <w:b/>
                <w:sz w:val="16"/>
              </w:rPr>
              <w:t>82.4 ± 0.4</w:t>
            </w:r>
          </w:p>
        </w:tc>
      </w:tr>
      <w:tr>
        <w:tc>
          <w:tcPr>
            <w:tcW w:type="dxa" w:w="1656"/>
            <w:shd w:fill="EFF6FF"/>
            <w:tcMar>
              <w:top w:w="60" w:type="dxa"/>
              <w:bottom w:w="60" w:type="dxa"/>
              <w:left w:w="80" w:type="dxa"/>
              <w:right w:w="80" w:type="dxa"/>
            </w:tcMar>
          </w:tcPr>
          <w:p>
            <w:pPr>
              <w:jc w:val="left"/>
            </w:pPr>
            <w:r>
              <w:rPr>
                <w:b/>
                <w:color w:val="1E3A8A"/>
                <w:sz w:val="16"/>
              </w:rPr>
              <w:t>Decomposition (R=8 Budget)</w:t>
            </w:r>
          </w:p>
        </w:tc>
        <w:tc>
          <w:tcPr>
            <w:tcW w:type="dxa" w:w="7740"/>
            <w:gridSpan w:val="6"/>
            <w:shd w:fill="EFF6FF"/>
            <w:tcMar>
              <w:top w:w="60" w:type="dxa"/>
              <w:bottom w:w="60" w:type="dxa"/>
              <w:left w:w="80" w:type="dxa"/>
              <w:right w:w="80" w:type="dxa"/>
            </w:tcMar>
          </w:tcPr>
          <w:p>
            <w:pPr>
              <w:jc w:val="left"/>
            </w:pPr>
            <w:r>
              <w:rPr>
                <w:b/>
                <w:color w:val="1E3A8A"/>
                <w:sz w:val="16"/>
              </w:rPr>
              <w:t>Heterogeneity Gap: 0.0257 (35.8%) | Under-Training Deficit: 0.0461 (64.2%) | Total Gap: 0.0718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Global FedAvg (R=15, Non-IID)</w:t>
            </w:r>
          </w:p>
        </w:tc>
        <w:tc>
          <w:tcPr>
            <w:tcW w:type="dxa" w:w="1152"/>
            <w:shd w:fill="F1F5F9"/>
            <w:tcMar>
              <w:top w:w="60" w:type="dxa"/>
              <w:bottom w:w="60" w:type="dxa"/>
              <w:left w:w="80" w:type="dxa"/>
              <w:right w:w="80" w:type="dxa"/>
            </w:tcMar>
          </w:tcPr>
          <w:p>
            <w:pPr>
              <w:jc w:val="center"/>
            </w:pPr>
            <w:r>
              <w:rPr>
                <w:sz w:val="16"/>
              </w:rPr>
              <w:t>0.0858 ± 0.0015</w:t>
            </w:r>
          </w:p>
        </w:tc>
        <w:tc>
          <w:tcPr>
            <w:tcW w:type="dxa" w:w="1080"/>
            <w:shd w:fill="F1F5F9"/>
            <w:tcMar>
              <w:top w:w="60" w:type="dxa"/>
              <w:bottom w:w="60" w:type="dxa"/>
              <w:left w:w="80" w:type="dxa"/>
              <w:right w:w="80" w:type="dxa"/>
            </w:tcMar>
          </w:tcPr>
          <w:p>
            <w:pPr>
              <w:jc w:val="center"/>
            </w:pPr>
            <w:r>
              <w:rPr>
                <w:sz w:val="16"/>
              </w:rPr>
              <w:t>0.1139 ± 0.0011</w:t>
            </w:r>
          </w:p>
        </w:tc>
        <w:tc>
          <w:tcPr>
            <w:tcW w:type="dxa" w:w="1080"/>
            <w:shd w:fill="F1F5F9"/>
            <w:tcMar>
              <w:top w:w="60" w:type="dxa"/>
              <w:bottom w:w="60" w:type="dxa"/>
              <w:left w:w="80" w:type="dxa"/>
              <w:right w:w="80" w:type="dxa"/>
            </w:tcMar>
          </w:tcPr>
          <w:p>
            <w:pPr>
              <w:jc w:val="center"/>
            </w:pPr>
            <w:r>
              <w:rPr>
                <w:sz w:val="16"/>
              </w:rPr>
              <w:t>0.0889 ± 0.0016</w:t>
            </w:r>
          </w:p>
        </w:tc>
        <w:tc>
          <w:tcPr>
            <w:tcW w:type="dxa" w:w="1080"/>
            <w:shd w:fill="F1F5F9"/>
            <w:tcMar>
              <w:top w:w="60" w:type="dxa"/>
              <w:bottom w:w="60" w:type="dxa"/>
              <w:left w:w="80" w:type="dxa"/>
              <w:right w:w="80" w:type="dxa"/>
            </w:tcMar>
          </w:tcPr>
          <w:p>
            <w:pPr>
              <w:jc w:val="center"/>
            </w:pPr>
            <w:r>
              <w:rPr>
                <w:sz w:val="16"/>
              </w:rPr>
              <w:t>0.0465 ± 0.0007</w:t>
            </w:r>
          </w:p>
        </w:tc>
        <w:tc>
          <w:tcPr>
            <w:tcW w:type="dxa" w:w="1080"/>
            <w:shd w:fill="F1F5F9"/>
            <w:tcMar>
              <w:top w:w="60" w:type="dxa"/>
              <w:bottom w:w="60" w:type="dxa"/>
              <w:left w:w="80" w:type="dxa"/>
              <w:right w:w="80" w:type="dxa"/>
            </w:tcMar>
          </w:tcPr>
          <w:p>
            <w:pPr>
              <w:jc w:val="center"/>
            </w:pPr>
            <w:r>
              <w:rPr>
                <w:sz w:val="16"/>
              </w:rPr>
              <w:t>109.5 ± 1.8</w:t>
            </w:r>
          </w:p>
        </w:tc>
      </w:tr>
      <w:tr>
        <w:tc>
          <w:tcPr>
            <w:tcW w:type="dxa" w:w="1656"/>
            <w:shd w:fill="F1F5F9"/>
            <w:tcMar>
              <w:top w:w="60" w:type="dxa"/>
              <w:bottom w:w="60" w:type="dxa"/>
              <w:left w:w="80" w:type="dxa"/>
              <w:right w:w="80" w:type="dxa"/>
            </w:tcMar>
          </w:tcPr>
          <w:p>
            <w:pPr>
              <w:jc w:val="left"/>
            </w:pPr>
            <w:r>
              <w:rPr>
                <w:sz w:val="16"/>
              </w:rPr>
              <w:t>Matched Compute Budget (R=15, ~14,790 steps)</w:t>
            </w:r>
          </w:p>
        </w:tc>
        <w:tc>
          <w:tcPr>
            <w:tcW w:type="dxa" w:w="2232"/>
            <w:shd w:fill="F1F5F9"/>
            <w:tcMar>
              <w:top w:w="60" w:type="dxa"/>
              <w:bottom w:w="60" w:type="dxa"/>
              <w:left w:w="80" w:type="dxa"/>
              <w:right w:w="80" w:type="dxa"/>
            </w:tcMar>
          </w:tcPr>
          <w:p>
            <w:pPr>
              <w:jc w:val="left"/>
            </w:pPr>
            <w:r>
              <w:rPr>
                <w:sz w:val="16"/>
              </w:rPr>
              <w:t>Compute-Matched IID-Shuffled FedAvg (R=15)</w:t>
            </w:r>
          </w:p>
        </w:tc>
        <w:tc>
          <w:tcPr>
            <w:tcW w:type="dxa" w:w="1152"/>
            <w:shd w:fill="F1F5F9"/>
            <w:tcMar>
              <w:top w:w="60" w:type="dxa"/>
              <w:bottom w:w="60" w:type="dxa"/>
              <w:left w:w="80" w:type="dxa"/>
              <w:right w:w="80" w:type="dxa"/>
            </w:tcMar>
          </w:tcPr>
          <w:p>
            <w:pPr>
              <w:jc w:val="center"/>
            </w:pPr>
            <w:r>
              <w:rPr>
                <w:sz w:val="16"/>
              </w:rPr>
              <w:t>0.0384 ± 0.0010</w:t>
            </w:r>
          </w:p>
        </w:tc>
        <w:tc>
          <w:tcPr>
            <w:tcW w:type="dxa" w:w="1080"/>
            <w:shd w:fill="F1F5F9"/>
            <w:tcMar>
              <w:top w:w="60" w:type="dxa"/>
              <w:bottom w:w="60" w:type="dxa"/>
              <w:left w:w="80" w:type="dxa"/>
              <w:right w:w="80" w:type="dxa"/>
            </w:tcMar>
          </w:tcPr>
          <w:p>
            <w:pPr>
              <w:jc w:val="center"/>
            </w:pPr>
            <w:r>
              <w:rPr>
                <w:sz w:val="16"/>
              </w:rPr>
              <w:t>0.0541 ± 0.0018</w:t>
            </w:r>
          </w:p>
        </w:tc>
        <w:tc>
          <w:tcPr>
            <w:tcW w:type="dxa" w:w="1080"/>
            <w:shd w:fill="F1F5F9"/>
            <w:tcMar>
              <w:top w:w="60" w:type="dxa"/>
              <w:bottom w:w="60" w:type="dxa"/>
              <w:left w:w="80" w:type="dxa"/>
              <w:right w:w="80" w:type="dxa"/>
            </w:tcMar>
          </w:tcPr>
          <w:p>
            <w:pPr>
              <w:jc w:val="center"/>
            </w:pPr>
            <w:r>
              <w:rPr>
                <w:sz w:val="16"/>
              </w:rPr>
              <w:t>0.0405 ± 0.0010</w:t>
            </w:r>
          </w:p>
        </w:tc>
        <w:tc>
          <w:tcPr>
            <w:tcW w:type="dxa" w:w="1080"/>
            <w:shd w:fill="F1F5F9"/>
            <w:tcMar>
              <w:top w:w="60" w:type="dxa"/>
              <w:bottom w:w="60" w:type="dxa"/>
              <w:left w:w="80" w:type="dxa"/>
              <w:right w:w="80" w:type="dxa"/>
            </w:tcMar>
          </w:tcPr>
          <w:p>
            <w:pPr>
              <w:jc w:val="center"/>
            </w:pPr>
            <w:r>
              <w:rPr>
                <w:sz w:val="16"/>
              </w:rPr>
              <w:t>0.0198 ± 0.0008</w:t>
            </w:r>
          </w:p>
        </w:tc>
        <w:tc>
          <w:tcPr>
            <w:tcW w:type="dxa" w:w="1080"/>
            <w:shd w:fill="F1F5F9"/>
            <w:tcMar>
              <w:top w:w="60" w:type="dxa"/>
              <w:bottom w:w="60" w:type="dxa"/>
              <w:left w:w="80" w:type="dxa"/>
              <w:right w:w="80" w:type="dxa"/>
            </w:tcMar>
          </w:tcPr>
          <w:p>
            <w:pPr>
              <w:jc w:val="center"/>
            </w:pPr>
            <w:r>
              <w:rPr>
                <w:sz w:val="16"/>
              </w:rPr>
              <w:t>47.5 ± 1.0</w:t>
            </w:r>
          </w:p>
        </w:tc>
      </w:tr>
      <w:tr>
        <w:tc>
          <w:tcPr>
            <w:tcW w:type="dxa" w:w="1656"/>
            <w:shd w:fill="F1F5F9"/>
            <w:tcMar>
              <w:top w:w="60" w:type="dxa"/>
              <w:bottom w:w="60" w:type="dxa"/>
              <w:left w:w="80" w:type="dxa"/>
              <w:right w:w="80" w:type="dxa"/>
            </w:tcMar>
          </w:tcPr>
          <w:p>
            <w:pPr>
              <w:jc w:val="left"/>
            </w:pPr>
            <w:r>
              <w:rPr>
                <w:b/>
                <w:sz w:val="16"/>
              </w:rPr>
              <w:t>Matched Compute Budget (R=15, ~14,790 steps)</w:t>
            </w:r>
          </w:p>
        </w:tc>
        <w:tc>
          <w:tcPr>
            <w:tcW w:type="dxa" w:w="2232"/>
            <w:shd w:fill="F1F5F9"/>
            <w:tcMar>
              <w:top w:w="60" w:type="dxa"/>
              <w:bottom w:w="60" w:type="dxa"/>
              <w:left w:w="80" w:type="dxa"/>
              <w:right w:w="80" w:type="dxa"/>
            </w:tcMar>
          </w:tcPr>
          <w:p>
            <w:pPr>
              <w:jc w:val="left"/>
            </w:pPr>
            <w:r>
              <w:rPr>
                <w:b/>
                <w:sz w:val="16"/>
              </w:rPr>
              <w:t>Compute-Matched Personalized FedAvg (R=15)</w:t>
            </w:r>
          </w:p>
        </w:tc>
        <w:tc>
          <w:tcPr>
            <w:tcW w:type="dxa" w:w="1152"/>
            <w:shd w:fill="F1F5F9"/>
            <w:tcMar>
              <w:top w:w="60" w:type="dxa"/>
              <w:bottom w:w="60" w:type="dxa"/>
              <w:left w:w="80" w:type="dxa"/>
              <w:right w:w="80" w:type="dxa"/>
            </w:tcMar>
          </w:tcPr>
          <w:p>
            <w:pPr>
              <w:jc w:val="center"/>
            </w:pPr>
            <w:r>
              <w:rPr>
                <w:b/>
                <w:sz w:val="16"/>
              </w:rPr>
              <w:t>0.0548 ± 0.0012</w:t>
            </w:r>
          </w:p>
        </w:tc>
        <w:tc>
          <w:tcPr>
            <w:tcW w:type="dxa" w:w="1080"/>
            <w:shd w:fill="F1F5F9"/>
            <w:tcMar>
              <w:top w:w="60" w:type="dxa"/>
              <w:bottom w:w="60" w:type="dxa"/>
              <w:left w:w="80" w:type="dxa"/>
              <w:right w:w="80" w:type="dxa"/>
            </w:tcMar>
          </w:tcPr>
          <w:p>
            <w:pPr>
              <w:jc w:val="center"/>
            </w:pPr>
            <w:r>
              <w:rPr>
                <w:b/>
                <w:sz w:val="16"/>
              </w:rPr>
              <w:t>0.0741 ± 0.0022</w:t>
            </w:r>
          </w:p>
        </w:tc>
        <w:tc>
          <w:tcPr>
            <w:tcW w:type="dxa" w:w="1080"/>
            <w:shd w:fill="F1F5F9"/>
            <w:tcMar>
              <w:top w:w="60" w:type="dxa"/>
              <w:bottom w:w="60" w:type="dxa"/>
              <w:left w:w="80" w:type="dxa"/>
              <w:right w:w="80" w:type="dxa"/>
            </w:tcMar>
          </w:tcPr>
          <w:p>
            <w:pPr>
              <w:jc w:val="center"/>
            </w:pPr>
            <w:r>
              <w:rPr>
                <w:b/>
                <w:sz w:val="16"/>
              </w:rPr>
              <w:t>0.0565 ± 0.0015</w:t>
            </w:r>
          </w:p>
        </w:tc>
        <w:tc>
          <w:tcPr>
            <w:tcW w:type="dxa" w:w="1080"/>
            <w:shd w:fill="F1F5F9"/>
            <w:tcMar>
              <w:top w:w="60" w:type="dxa"/>
              <w:bottom w:w="60" w:type="dxa"/>
              <w:left w:w="80" w:type="dxa"/>
              <w:right w:w="80" w:type="dxa"/>
            </w:tcMar>
          </w:tcPr>
          <w:p>
            <w:pPr>
              <w:jc w:val="center"/>
            </w:pPr>
            <w:r>
              <w:rPr>
                <w:b/>
                <w:sz w:val="16"/>
              </w:rPr>
              <w:t>0.0222 ± 0.0022</w:t>
            </w:r>
          </w:p>
        </w:tc>
        <w:tc>
          <w:tcPr>
            <w:tcW w:type="dxa" w:w="1080"/>
            <w:shd w:fill="F1F5F9"/>
            <w:tcMar>
              <w:top w:w="60" w:type="dxa"/>
              <w:bottom w:w="60" w:type="dxa"/>
              <w:left w:w="80" w:type="dxa"/>
              <w:right w:w="80" w:type="dxa"/>
            </w:tcMar>
          </w:tcPr>
          <w:p>
            <w:pPr>
              <w:jc w:val="center"/>
            </w:pPr>
            <w:r>
              <w:rPr>
                <w:b/>
                <w:sz w:val="16"/>
              </w:rPr>
              <w:t>67.5 ± 1.6</w:t>
            </w:r>
          </w:p>
        </w:tc>
      </w:tr>
      <w:tr>
        <w:tc>
          <w:tcPr>
            <w:tcW w:type="dxa" w:w="1656"/>
            <w:shd w:fill="EFF6FF"/>
            <w:tcMar>
              <w:top w:w="60" w:type="dxa"/>
              <w:bottom w:w="60" w:type="dxa"/>
              <w:left w:w="80" w:type="dxa"/>
              <w:right w:w="80" w:type="dxa"/>
            </w:tcMar>
          </w:tcPr>
          <w:p>
            <w:pPr>
              <w:jc w:val="left"/>
            </w:pPr>
            <w:r>
              <w:rPr>
                <w:b/>
                <w:color w:val="1E3A8A"/>
                <w:sz w:val="16"/>
              </w:rPr>
              <w:t>Decomposition (R=15 Budget)</w:t>
            </w:r>
          </w:p>
        </w:tc>
        <w:tc>
          <w:tcPr>
            <w:tcW w:type="dxa" w:w="7740"/>
            <w:gridSpan w:val="6"/>
            <w:shd w:fill="EFF6FF"/>
            <w:tcMar>
              <w:top w:w="60" w:type="dxa"/>
              <w:bottom w:w="60" w:type="dxa"/>
              <w:left w:w="80" w:type="dxa"/>
              <w:right w:w="80" w:type="dxa"/>
            </w:tcMar>
          </w:tcPr>
          <w:p>
            <w:pPr>
              <w:jc w:val="left"/>
            </w:pPr>
            <w:r>
              <w:rPr>
                <w:b/>
                <w:color w:val="1E3A8A"/>
                <w:sz w:val="16"/>
              </w:rPr>
              <w:t>Heterogeneity Gap: 0.0474 (73.9%) | Residual Optimization Gap: 0.0167 (26.1%) | Total Gap: 0.0641</w:t>
            </w:r>
          </w:p>
        </w:tc>
      </w:tr>
    </w:tbl>
    <w:p>
      <w:pPr>
        <w:spacing w:before="0" w:after="80" w:line="276" w:lineRule="auto"/>
        <w:jc w:val="both"/>
      </w:pPr>
      <w:r>
        <w:rPr>
          <w:i/>
          <w:color w:val="64748B"/>
          <w:sz w:val="16"/>
        </w:rPr>
        <w:t>Note: All metrics report multi-seed mean ± std across seeds {42, 101, 2024}. The mathematical decomposition isolates heterogeneity and optimization effects via: Δ_total = MAE_Non-IID - MAE_Centralized (Centralized Attention-LSTM benchmark = 0.0217 ± 0.0004); Δ_heterogeneity = MAE_Non-IID - MAE_IID-Shuffled; Δ_optimization = MAE_IID-Shuffled - MAE_Centralized. Seed-level results: Panel 1 (R=8): Global FedAvg MAE = [0.0970 (seed 42), 0.0925 (seed 101), 0.0908 (seed 2024)]; IID-Shuffled FedAvg MAE = [0.0659, 0.0677, 0.0698]; Personalized FedAvg MAE = [0.0596, 0.0593, 0.0587]. Panel 2 (R=15 Compute Parity): Non-IID FedAvg MAE = [0.0857 (seed 42), 0.0874 (seed 101), 0.0844 (seed 2024)]; IID-Shuffled FedAvg MAE = [0.0372, 0.0389, 0.0390]; Personalized FedAvg MAE = [0.0535, 0.0558, 0.0551]. Under communication constraints (R=8), under-training accounts for 64.2% of the deficit; when scaled to an approximately matched optimizer-update budget (R=15, ~14,790 client updates vs 14,370 centralized steps, 102.9%), mitigating compute starvation allows IID FedAvg to converge to 0.0384 ± 0.0010, indicating that non-IID client heterogeneity accounts for 73.9% of the remaining deficit under this experimental protocol.</w:t>
      </w:r>
    </w:p>
    <w:p>
      <w:pPr>
        <w:spacing w:before="0" w:after="120" w:line="276" w:lineRule="auto"/>
        <w:jc w:val="both"/>
      </w:pPr>
    </w:p>
    <w:p>
      <w:pPr>
        <w:spacing w:before="0" w:after="100" w:line="276" w:lineRule="auto"/>
        <w:jc w:val="both"/>
      </w:pPr>
      <w:r>
        <w:rPr>
          <w:rFonts w:ascii="Times New Roman" w:hAnsi="Times New Roman"/>
          <w:sz w:val="22"/>
        </w:rPr>
        <w:t>Table 3 presents comparative empirical insights into the nature of federated learning on IoT streams across two distinct optimization regimes:</w:t>
      </w:r>
    </w:p>
    <w:p>
      <w:pPr>
        <w:pStyle w:val="ListParagraph"/>
        <w:spacing w:before="40" w:after="40"/>
      </w:pPr>
      <w:r>
        <w:rPr>
          <w:b/>
        </w:rPr>
        <w:t xml:space="preserve">1. Empirical Decomposition across Communication-Constrained and Approximately Matched Compute Regimes: </w:t>
      </w:r>
      <w:r>
        <w:t>Under communication constraints (R = 8 rounds, ~256 local steps/client), Global FedAvg achieves an MAE of 0.0935 ± 0.0032. Eliminating statistical heterogeneity via IID shuffling reduces error to 0.0678 ± 0.0019. Relative to the centralized Attention-LSTM benchmark (0.0217), statistical heterogeneity accounts for 35.8% (0.0257) of the gap, while 64.2% (0.0461) reflects optimization under-training. Crucially, when scaled to an approximately matched compute budget (R = 15 rounds, E = 2, totaling 14,790 cumulative client updates vs 14,370 centralized steps, 102.9%), IID-Shuffled FedAvg converges rapidly to 0.0384 ± 0.0010 (47.5 bays), cutting the optimization gap by 63.8% (from 0.0461 to 0.0167). In contrast, Non-IID FedAvg at R = 15 reaches only 0.0858 ± 0.0015 (109.5 bays). Under matched compute parity, removing statistical heterogeneity closes 0.0474 of the 0.0641 gap—indicating that non-IID client statistical heterogeneity accounts for 73.9% (0.0474) of the performance deficit under this matched-compute protocol, while the residual optimization deficit shrinks to 26.1% (0.0167).</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126.8 bays (130.6 sample-weighted micro bays), while Personalized FedAvg reduces this to 73.2 bays (75.0 micro bays), achieving a 42.3%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13.9 bays of unweighted macro space error (17.6 sample-weighted micro bays), demonstrating that if municipal governance permits local-only processing, isolated local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0.1006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5-parameter local linear autoregressive model (4 autoregressive lag weights plus intercept)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only 5 fitted parameters per facility (4 lag weights plus intercept),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(13.9 bays mean space error), incurs zero communication overhead, requires no GPU hardware, and avoids cross-facility data sharing without requiring external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However, our empirical findings challenge the assumption that non-IID spatial collapse is the sole driver of decentralized performance degradation.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approximately 256 local Adam updates per client (7,888 total updates across the federation), compared to 14,370 optimization steps executed by the centralized model over 30 epochs. At this communication-constrained budget, the IID-shuffled control (Table 3) indicates that statistical heterogeneity accounts for 35.8% of the performance deficit, while the remaining 64.2% residual deficit reflects optimization under-training.</w:t>
      </w:r>
    </w:p>
    <w:p>
      <w:pPr>
        <w:spacing w:before="0" w:after="100" w:line="276" w:lineRule="auto"/>
        <w:jc w:val="both"/>
      </w:pPr>
      <w:r>
        <w:rPr>
          <w:rFonts w:ascii="Times New Roman" w:hAnsi="Times New Roman"/>
          <w:sz w:val="22"/>
        </w:rPr>
        <w:t>Instead, our empirical investigation demonstrates that optimization under-training under communication round constraints interacts directly with non-IID statistical heterogeneity. In an 8-round protocol, federated clients execute a system-wide total of 7,888 local Adam updates (~256 per client), representing 54.9% of the 14,370 optimization steps executed by the centralized model over 30 epochs. At this communication-constrained budget, the IID-shuffled control (Table 3) indicates that statistical heterogeneity accounts for 35.8% of the performance deficit, while the remaining 64.2% residual deficit reflects optimization under-training.</w:t>
      </w:r>
    </w:p>
    <w:p>
      <w:pPr>
        <w:spacing w:before="0" w:after="100" w:line="276" w:lineRule="auto"/>
        <w:jc w:val="both"/>
      </w:pPr>
      <w:r>
        <w:rPr>
          <w:rFonts w:ascii="Times New Roman" w:hAnsi="Times New Roman"/>
          <w:sz w:val="22"/>
        </w:rPr>
        <w:t>To investigate these distinct mechanisms under matched optimization volume, we conducted compute-matched experiments (Table 3, Panel 2) scaling federated training to R = 15 rounds (E = 2, B = 32), totaling 14,790 client-side gradient updates across the federation (30 local epochs per client)—establishing an approximately matched optimizer-update budget (102.9% of centralized compute, a +2.9% difference) relative to the 14,370 centralized updates over 30 epochs. At this approximately matched budget, the IID-shuffled control converges rapidly from 0.0678 ± 0.0019 down to 0.0384 ± 0.0010 (Mean Space Error falls from 90.4 to 47.5 bays), reducing the optimization gap to centralized Attention-LSTM by 63.8% (from 0.0461 to 0.0167). In contrast, Non-IID FedAvg only improves to 0.0858 ± 0.0015 (109.5 bays). Consequently, once compute starvation is mitigated through this matched-update budget, eliminating non-IID client heterogeneity accounts for 73.9% of the remaining performance deficit (0.0474 out of 0.0641). These empirical findings indicate that while under-training accounts for the majority of the residual deficit under communication-constrained budgets (R = 8), non-IID client heterogeneity constitutes the dominant performance bottleneck (73.9% of the deficit) when an approximately matched optimizer-update budget is provided. However, matched optimizer-update counts do not render centralized and federated optimization trajectories identical, as decentralized client drift persists across local epochs. Local personalization acts as a high-leverage algorithmic compensation mechanism: by fine-tuning the global recurrent features on lot-specific data, personalized FedAvg achieves an MAE of 0.0592 ± 0.0004 at R = 8 and 0.0548 ± 0.0012 at R = 15, recovering 47.8% to 51.7% of the centralized performance gap and compressing cross-facility variance (sigma) by over 51%.</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federated learning may be justified by institutional data-governance requirements and multi-stakeholder commercial confidentiality, even when it increases communication volume. However, regulatory compliance and formal privacy guarantees depend on the deployment context and may require additional safeguards, such as secure aggregation and differential privacy. Competing private parking operators (e.g., NCP vs. municipal authorities) refuse to pool proprietary operational records in central servers. Federated learning establishes a collaborative organizational framework enabling cross-operator predictive coordination without requiring the centralized pooling of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 scalar parameters (20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Governance</w:t>
            </w:r>
          </w:p>
        </w:tc>
        <w:tc>
          <w:tcPr>
            <w:tcW w:type="dxa" w:w="2257"/>
            <w:shd w:fill="F8FAFC"/>
            <w:tcMar>
              <w:top w:w="60" w:type="dxa"/>
              <w:bottom w:w="60" w:type="dxa"/>
              <w:left w:w="80" w:type="dxa"/>
              <w:right w:w="80" w:type="dxa"/>
            </w:tcMar>
          </w:tcPr>
          <w:p>
            <w:pPr>
              <w:jc w:val="left"/>
            </w:pPr>
            <w:r>
              <w:rPr>
                <w:sz w:val="17"/>
              </w:rPr>
              <w:t>Centralized exposure (all data pooled in cloud)</w:t>
            </w:r>
          </w:p>
        </w:tc>
        <w:tc>
          <w:tcPr>
            <w:tcW w:type="dxa" w:w="2257"/>
            <w:shd w:fill="F8FAFC"/>
            <w:tcMar>
              <w:top w:w="60" w:type="dxa"/>
              <w:bottom w:w="60" w:type="dxa"/>
              <w:left w:w="80" w:type="dxa"/>
              <w:right w:w="80" w:type="dxa"/>
            </w:tcMar>
          </w:tcPr>
          <w:p>
            <w:pPr>
              <w:jc w:val="center"/>
            </w:pPr>
            <w:r>
              <w:rPr>
                <w:sz w:val="17"/>
              </w:rPr>
              <w:t>Decentralized containment (data stays on edge nodes)</w:t>
            </w:r>
          </w:p>
        </w:tc>
        <w:tc>
          <w:tcPr>
            <w:tcW w:type="dxa" w:w="2257"/>
            <w:shd w:fill="F8FAFC"/>
            <w:tcMar>
              <w:top w:w="60" w:type="dxa"/>
              <w:bottom w:w="60" w:type="dxa"/>
              <w:left w:w="80" w:type="dxa"/>
              <w:right w:w="80" w:type="dxa"/>
            </w:tcMar>
          </w:tcPr>
          <w:p>
            <w:pPr>
              <w:jc w:val="center"/>
            </w:pPr>
            <w:r>
              <w:rPr>
                <w:sz w:val="17"/>
              </w:rPr>
              <w:t>Local isolation (avoids cross-facility data sharing,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5-parameter local-only linear autoregressive model per facility (4 lag weights plus intercept) achieves superior accuracy (30-minute MAE: 0.0126; 13.9 bays), outperforming both centralized deep neural networks (0.0217; 26.9 bays) and federated models while requiring zero communication and avoiding cross-facility data sharing. Under practical communication constraints (8 rounds, 2 local epochs), global FedAvg under-trains severely, achieving a 30-minute MAE of 0.0935 ± 0.0032 (118.5 macro bays in multi-seed evaluation, and 0.1006 / 126.8 bays in the primary single-seed benchmark). Our experimental decomposition indicates that this degradation is strongly consistent with optimization under-training under communication round constraints (~256 local Adam updates per client versus 14,370 centralized steps) alongside statistical heterogeneity: an IID-shuffled federated control provides an empirical decomposition attributing 35.8% of the performance gap to statistical heterogeneity, with the remaining 64.2% residual deficit being strongly consistent with compute constraints (~256 local Adam updates per client versus 14,370 centralized steps) under the 8-round communication budget; approximately matched compute-budget experiments (15 rounds, 14,790 cumulative client updates, 102.9% of centralized steps) further indicate that when compute starvation is mitigated, non-IID client heterogeneity accounts for 73.9% of the remaining deficit under this experimental protocol.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and institutional data governance when paired with local personalization, though regulatory compliance ultimately depends on specific deployment environments, applicable data protection frameworks, and complementary differential privacy safeguards.</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