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proposed as a privacy-preserving paradigm for multi-lot smart parking forecasting, enabling commercial operators to collaboratively train predictive models without centralizing proprietary occupancy logs. However, claims of federated performance gains frequently omit simple local baselines and misdiagnose the root causes of decentralized model performance. In this study, we conduct an exhaustive empirical benchmark on the Birmingham municipal smart parking IoT dataset (30 facilities, 35,717 raw readings, 21,868 temporal sequences) to rigorously evaluate when federation adds value over centralized, local-only, and heuristic alternatives. Our benchmark reveals that a zero-parameter persistence baseline achieves a 30-minute Mean Absolute Error (MAE) of 0.0256 (33.4 physical bays), while a 4-weight local-only linear autoregressive model per facility—requiring zero communication and zero cross-facility data sharing—achieves an MAE of 0.0126 (13.9 bays), outperforming both centralized deep recurrent models (Attention-LSTM MAE: 0.0217; 26.9 bays) and federated neural architectures. Under standard communication constraints (8 rounds, 2 local epochs), global Federated Averaging (FedAvg) exhibits severe under-training (MAE: 0.0935 ± 0.0032; 118.5 macro bays). Through an IID-shuffled federated control experiment (MAE: 0.0678 ± 0.0019), we demonstrate that compute starvation provides an empirical decomposition under our experimental protocol: eliminating statistical heterogeneity accounts for 35.8% of the gap, while the remaining 64.2% residual deficit is strongly consistent with optimization under-training under communication round constraints (~256 local Adam steps per client versus 14,370 for centralized models), though definitive causal proof would require exhaustive compute-parity experiments. While proximal regularization (FedProx, MAE: 0.1305) slows convergence and split-head architectures (FedPer, MAE: 0.0775) provide partial gains, localized post-aggregation fine-tuning (Personalized FedAvg) achieves the strongest federated performance with an MAE of 0.0592 ± 0.0004 (82.4 macro bays), representing a 36.7% relative error reduction over global FedAvg, recovering 47.8% of the centralized performance gap, and compressing cross-facility variance (sigma drops by 51.2% from 0.0498 to 0.0243). In a fixed single-seed primary benchmark run (Seed 42), error falls from 0.1006 (126.8 bays) to 0.0607 (73.2 bays), recovering 50.6% of the gap. Crucially, network audits confirm that federating a 57k-parameter neural network across 30 clients moves 110.35 MB (105.24 MiB) of weights versus only 1.48 MB (1.41 MiB) for transmitting the entire raw dataset—a 74.6-fold communication overhead. Consequently, we conclude that federation cannot be justified on bandwidth-reduction grounds, but provides substantial value for multi-stakeholder commercial confidentiality and institutional data sovereignty when paired with local personalization.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keep all data private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must FL be justified strictly on commercial data governance and institutional sovereignty grounds?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4-parameter local-only linear AR model per facility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Under-Training from Non-IID Drift: </w:t>
      </w:r>
      <w:r>
        <w:t>Through compute step audits, round scaling (R in {4, 8, 12, 16}), batch size analysis, and an IID-shuffled federated control (MAE: 0.0678 ± 0.0019), we prove that FedAvg's performance deficit is strongly consistent with optimization under-training (~256 local Adam steps per client versus 14,370 centralized steps) under practical communication budgets rather than insurmountable spatial drift. Personalization fine-tuning resolves this under-training, achieving MAE 0.0592 ± 0.0004 (a 36.7% relative reduction over FedAvg, recovering 47.8% of the centralized gap in multi-seed evaluations and 50.6% in the primary single-seed benchmark).</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fully private local estimators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05"/>
            <w:shd w:fill="1F3864"/>
            <w:tcMar>
              <w:top w:w="100" w:type="dxa"/>
              <w:bottom w:w="100" w:type="dxa"/>
              <w:left w:w="120" w:type="dxa"/>
              <w:right w:w="120" w:type="dxa"/>
            </w:tcMar>
          </w:tcPr>
          <w:p>
            <w:pPr>
              <w:jc w:val="center"/>
            </w:pPr>
            <w:r>
              <w:rPr>
                <w:b/>
                <w:color w:val="FFFFFF"/>
                <w:sz w:val="18"/>
              </w:rPr>
              <w:t>Study &amp; Reference</w:t>
            </w:r>
          </w:p>
        </w:tc>
        <w:tc>
          <w:tcPr>
            <w:tcW w:type="dxa" w:w="1505"/>
            <w:shd w:fill="1F3864"/>
            <w:tcMar>
              <w:top w:w="100" w:type="dxa"/>
              <w:bottom w:w="100" w:type="dxa"/>
              <w:left w:w="120" w:type="dxa"/>
              <w:right w:w="120" w:type="dxa"/>
            </w:tcMar>
          </w:tcPr>
          <w:p>
            <w:pPr>
              <w:jc w:val="center"/>
            </w:pPr>
            <w:r>
              <w:rPr>
                <w:b/>
                <w:color w:val="FFFFFF"/>
                <w:sz w:val="18"/>
              </w:rPr>
              <w:t>Core Methodology</w:t>
            </w:r>
          </w:p>
        </w:tc>
        <w:tc>
          <w:tcPr>
            <w:tcW w:type="dxa" w:w="1505"/>
            <w:shd w:fill="1F3864"/>
            <w:tcMar>
              <w:top w:w="100" w:type="dxa"/>
              <w:bottom w:w="100" w:type="dxa"/>
              <w:left w:w="120" w:type="dxa"/>
              <w:right w:w="120" w:type="dxa"/>
            </w:tcMar>
          </w:tcPr>
          <w:p>
            <w:pPr>
              <w:jc w:val="center"/>
            </w:pPr>
            <w:r>
              <w:rPr>
                <w:b/>
                <w:color w:val="FFFFFF"/>
                <w:sz w:val="18"/>
              </w:rPr>
              <w:t>Dataset / Testbed</w:t>
            </w:r>
          </w:p>
        </w:tc>
        <w:tc>
          <w:tcPr>
            <w:tcW w:type="dxa" w:w="1505"/>
            <w:shd w:fill="1F3864"/>
            <w:tcMar>
              <w:top w:w="100" w:type="dxa"/>
              <w:bottom w:w="100" w:type="dxa"/>
              <w:left w:w="120" w:type="dxa"/>
              <w:right w:w="120" w:type="dxa"/>
            </w:tcMar>
          </w:tcPr>
          <w:p>
            <w:pPr>
              <w:jc w:val="center"/>
            </w:pPr>
            <w:r>
              <w:rPr>
                <w:b/>
                <w:color w:val="FFFFFF"/>
                <w:sz w:val="18"/>
              </w:rPr>
              <w:t>Privacy / Governance</w:t>
            </w:r>
          </w:p>
        </w:tc>
        <w:tc>
          <w:tcPr>
            <w:tcW w:type="dxa" w:w="1505"/>
            <w:shd w:fill="1F3864"/>
            <w:tcMar>
              <w:top w:w="100" w:type="dxa"/>
              <w:bottom w:w="100" w:type="dxa"/>
              <w:left w:w="120" w:type="dxa"/>
              <w:right w:w="120" w:type="dxa"/>
            </w:tcMar>
          </w:tcPr>
          <w:p>
            <w:pPr>
              <w:jc w:val="center"/>
            </w:pPr>
            <w:r>
              <w:rPr>
                <w:b/>
                <w:color w:val="FFFFFF"/>
                <w:sz w:val="18"/>
              </w:rPr>
              <w:t>Local Baseline Included?</w:t>
            </w:r>
          </w:p>
        </w:tc>
        <w:tc>
          <w:tcPr>
            <w:tcW w:type="dxa" w:w="1505"/>
            <w:shd w:fill="1F3864"/>
            <w:tcMar>
              <w:top w:w="100" w:type="dxa"/>
              <w:bottom w:w="100" w:type="dxa"/>
              <w:left w:w="120" w:type="dxa"/>
              <w:right w:w="120" w:type="dxa"/>
            </w:tcMar>
          </w:tcPr>
          <w:p>
            <w:pPr>
              <w:jc w:val="center"/>
            </w:pPr>
            <w:r>
              <w:rPr>
                <w:b/>
                <w:color w:val="FFFFFF"/>
                <w:sz w:val="18"/>
              </w:rPr>
              <w:t>Key Limitations</w:t>
            </w:r>
          </w:p>
        </w:tc>
      </w:tr>
      <w:tr>
        <w:tc>
          <w:tcPr>
            <w:tcW w:type="dxa" w:w="1505"/>
            <w:shd w:fill="F8FAFC"/>
            <w:tcMar>
              <w:top w:w="70" w:type="dxa"/>
              <w:bottom w:w="70" w:type="dxa"/>
              <w:left w:w="100" w:type="dxa"/>
              <w:right w:w="100" w:type="dxa"/>
            </w:tcMar>
          </w:tcPr>
          <w:p>
            <w:pPr>
              <w:jc w:val="center"/>
            </w:pPr>
            <w:r>
              <w:rPr>
                <w:sz w:val="17"/>
              </w:rPr>
              <w:t>Rong et al. (2018) [11]</w:t>
            </w:r>
          </w:p>
        </w:tc>
        <w:tc>
          <w:tcPr>
            <w:tcW w:type="dxa" w:w="1505"/>
            <w:shd w:fill="F8FAFC"/>
            <w:tcMar>
              <w:top w:w="70" w:type="dxa"/>
              <w:bottom w:w="70" w:type="dxa"/>
              <w:left w:w="100" w:type="dxa"/>
              <w:right w:w="100" w:type="dxa"/>
            </w:tcMar>
          </w:tcPr>
          <w:p>
            <w:pPr>
              <w:jc w:val="center"/>
            </w:pPr>
            <w:r>
              <w:rPr>
                <w:sz w:val="17"/>
              </w:rPr>
              <w:t>Du-Parking (LSTM + Context)</w:t>
            </w:r>
          </w:p>
        </w:tc>
        <w:tc>
          <w:tcPr>
            <w:tcW w:type="dxa" w:w="1505"/>
            <w:shd w:fill="F8FAFC"/>
            <w:tcMar>
              <w:top w:w="70" w:type="dxa"/>
              <w:bottom w:w="70" w:type="dxa"/>
              <w:left w:w="100" w:type="dxa"/>
              <w:right w:w="100" w:type="dxa"/>
            </w:tcMar>
          </w:tcPr>
          <w:p>
            <w:pPr>
              <w:jc w:val="left"/>
            </w:pPr>
            <w:r>
              <w:rPr>
                <w:sz w:val="17"/>
              </w:rPr>
              <w:t>Baidu Maps (China)</w:t>
            </w:r>
          </w:p>
        </w:tc>
        <w:tc>
          <w:tcPr>
            <w:tcW w:type="dxa" w:w="1505"/>
            <w:shd w:fill="F8FAFC"/>
            <w:tcMar>
              <w:top w:w="70" w:type="dxa"/>
              <w:bottom w:w="70" w:type="dxa"/>
              <w:left w:w="100" w:type="dxa"/>
              <w:right w:w="100" w:type="dxa"/>
            </w:tcMar>
          </w:tcPr>
          <w:p>
            <w:pPr>
              <w:jc w:val="left"/>
            </w:pPr>
            <w:r>
              <w:rPr>
                <w:sz w:val="17"/>
              </w:rPr>
              <w:t>Centralized only</w:t>
            </w:r>
          </w:p>
        </w:tc>
        <w:tc>
          <w:tcPr>
            <w:tcW w:type="dxa" w:w="1505"/>
            <w:shd w:fill="F8FAFC"/>
            <w:tcMar>
              <w:top w:w="70" w:type="dxa"/>
              <w:bottom w:w="70" w:type="dxa"/>
              <w:left w:w="100" w:type="dxa"/>
              <w:right w:w="100" w:type="dxa"/>
            </w:tcMar>
          </w:tcPr>
          <w:p>
            <w:pPr>
              <w:jc w:val="left"/>
            </w:pPr>
            <w:r>
              <w:rPr>
                <w:sz w:val="17"/>
              </w:rPr>
              <w:t>Contextual MLP</w:t>
            </w:r>
          </w:p>
        </w:tc>
        <w:tc>
          <w:tcPr>
            <w:tcW w:type="dxa" w:w="1505"/>
            <w:shd w:fill="F8FAFC"/>
            <w:tcMar>
              <w:top w:w="70" w:type="dxa"/>
              <w:bottom w:w="70" w:type="dxa"/>
              <w:left w:w="100" w:type="dxa"/>
              <w:right w:w="100" w:type="dxa"/>
            </w:tcMar>
          </w:tcPr>
          <w:p>
            <w:pPr>
              <w:jc w:val="left"/>
            </w:pPr>
            <w:r>
              <w:rPr>
                <w:sz w:val="17"/>
              </w:rPr>
              <w:t>Parking availability</w:t>
            </w:r>
          </w:p>
        </w:tc>
      </w:tr>
      <w:tr>
        <w:tc>
          <w:tcPr>
            <w:tcW w:type="dxa" w:w="1505"/>
            <w:shd w:fill="FFFFFF"/>
            <w:tcMar>
              <w:top w:w="70" w:type="dxa"/>
              <w:bottom w:w="70" w:type="dxa"/>
              <w:left w:w="100" w:type="dxa"/>
              <w:right w:w="100" w:type="dxa"/>
            </w:tcMar>
          </w:tcPr>
          <w:p>
            <w:pPr>
              <w:jc w:val="center"/>
            </w:pPr>
            <w:r>
              <w:rPr>
                <w:sz w:val="17"/>
              </w:rPr>
              <w:t>Zhao et al. (2022) [12]</w:t>
            </w:r>
          </w:p>
        </w:tc>
        <w:tc>
          <w:tcPr>
            <w:tcW w:type="dxa" w:w="1505"/>
            <w:shd w:fill="FFFFFF"/>
            <w:tcMar>
              <w:top w:w="70" w:type="dxa"/>
              <w:bottom w:w="70" w:type="dxa"/>
              <w:left w:w="100" w:type="dxa"/>
              <w:right w:w="100" w:type="dxa"/>
            </w:tcMar>
          </w:tcPr>
          <w:p>
            <w:pPr>
              <w:jc w:val="center"/>
            </w:pPr>
            <w:r>
              <w:rPr>
                <w:sz w:val="17"/>
              </w:rPr>
              <w:t>MePark (Meter Sensing)</w:t>
            </w:r>
          </w:p>
        </w:tc>
        <w:tc>
          <w:tcPr>
            <w:tcW w:type="dxa" w:w="1505"/>
            <w:shd w:fill="FFFFFF"/>
            <w:tcMar>
              <w:top w:w="70" w:type="dxa"/>
              <w:bottom w:w="70" w:type="dxa"/>
              <w:left w:w="100" w:type="dxa"/>
              <w:right w:w="100" w:type="dxa"/>
            </w:tcMar>
          </w:tcPr>
          <w:p>
            <w:pPr>
              <w:jc w:val="left"/>
            </w:pPr>
            <w:r>
              <w:rPr>
                <w:sz w:val="17"/>
              </w:rPr>
              <w:t>San Francisco / Melbourne</w:t>
            </w:r>
          </w:p>
        </w:tc>
        <w:tc>
          <w:tcPr>
            <w:tcW w:type="dxa" w:w="1505"/>
            <w:shd w:fill="FFFFFF"/>
            <w:tcMar>
              <w:top w:w="70" w:type="dxa"/>
              <w:bottom w:w="70" w:type="dxa"/>
              <w:left w:w="100" w:type="dxa"/>
              <w:right w:w="100" w:type="dxa"/>
            </w:tcMar>
          </w:tcPr>
          <w:p>
            <w:pPr>
              <w:jc w:val="left"/>
            </w:pPr>
            <w:r>
              <w:rPr>
                <w:sz w:val="17"/>
              </w:rPr>
              <w:t>Centralized telemetry</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High transaction latency; missing sensor ground truth</w:t>
            </w:r>
          </w:p>
        </w:tc>
      </w:tr>
      <w:tr>
        <w:tc>
          <w:tcPr>
            <w:tcW w:type="dxa" w:w="1505"/>
            <w:shd w:fill="F8FAFC"/>
            <w:tcMar>
              <w:top w:w="70" w:type="dxa"/>
              <w:bottom w:w="70" w:type="dxa"/>
              <w:left w:w="100" w:type="dxa"/>
              <w:right w:w="100" w:type="dxa"/>
            </w:tcMar>
          </w:tcPr>
          <w:p>
            <w:pPr>
              <w:jc w:val="center"/>
            </w:pPr>
            <w:r>
              <w:rPr>
                <w:sz w:val="17"/>
              </w:rPr>
              <w:t>McMahan et al. (2017) [7]</w:t>
            </w:r>
          </w:p>
        </w:tc>
        <w:tc>
          <w:tcPr>
            <w:tcW w:type="dxa" w:w="1505"/>
            <w:shd w:fill="F8FAFC"/>
            <w:tcMar>
              <w:top w:w="70" w:type="dxa"/>
              <w:bottom w:w="70" w:type="dxa"/>
              <w:left w:w="100" w:type="dxa"/>
              <w:right w:w="100" w:type="dxa"/>
            </w:tcMar>
          </w:tcPr>
          <w:p>
            <w:pPr>
              <w:jc w:val="center"/>
            </w:pPr>
            <w:r>
              <w:rPr>
                <w:sz w:val="17"/>
              </w:rPr>
              <w:t>Standard FedAvg</w:t>
            </w:r>
          </w:p>
        </w:tc>
        <w:tc>
          <w:tcPr>
            <w:tcW w:type="dxa" w:w="1505"/>
            <w:shd w:fill="F8FAFC"/>
            <w:tcMar>
              <w:top w:w="70" w:type="dxa"/>
              <w:bottom w:w="70" w:type="dxa"/>
              <w:left w:w="100" w:type="dxa"/>
              <w:right w:w="100" w:type="dxa"/>
            </w:tcMar>
          </w:tcPr>
          <w:p>
            <w:pPr>
              <w:jc w:val="left"/>
            </w:pPr>
            <w:r>
              <w:rPr>
                <w:sz w:val="17"/>
              </w:rPr>
              <w:t>Synthetic &amp; vision benchmarks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Yes (on vision)</w:t>
            </w:r>
          </w:p>
        </w:tc>
        <w:tc>
          <w:tcPr>
            <w:tcW w:type="dxa" w:w="1505"/>
            <w:shd w:fill="F8FAFC"/>
            <w:tcMar>
              <w:top w:w="70" w:type="dxa"/>
              <w:bottom w:w="70" w:type="dxa"/>
              <w:left w:w="100" w:type="dxa"/>
              <w:right w:w="100" w:type="dxa"/>
            </w:tcMar>
          </w:tcPr>
          <w:p>
            <w:pPr>
              <w:jc w:val="left"/>
            </w:pPr>
            <w:r>
              <w:rPr>
                <w:sz w:val="17"/>
              </w:rPr>
              <w:t>Performance degrades under high client non-IID drift</w:t>
            </w:r>
          </w:p>
        </w:tc>
      </w:tr>
      <w:tr>
        <w:tc>
          <w:tcPr>
            <w:tcW w:type="dxa" w:w="1505"/>
            <w:shd w:fill="FFFFFF"/>
            <w:tcMar>
              <w:top w:w="70" w:type="dxa"/>
              <w:bottom w:w="70" w:type="dxa"/>
              <w:left w:w="100" w:type="dxa"/>
              <w:right w:w="100" w:type="dxa"/>
            </w:tcMar>
          </w:tcPr>
          <w:p>
            <w:pPr>
              <w:jc w:val="center"/>
            </w:pPr>
            <w:r>
              <w:rPr>
                <w:sz w:val="17"/>
              </w:rPr>
              <w:t>Li et al. (2020) [19]</w:t>
            </w:r>
          </w:p>
        </w:tc>
        <w:tc>
          <w:tcPr>
            <w:tcW w:type="dxa" w:w="1505"/>
            <w:shd w:fill="FFFFFF"/>
            <w:tcMar>
              <w:top w:w="70" w:type="dxa"/>
              <w:bottom w:w="70" w:type="dxa"/>
              <w:left w:w="100" w:type="dxa"/>
              <w:right w:w="100" w:type="dxa"/>
            </w:tcMar>
          </w:tcPr>
          <w:p>
            <w:pPr>
              <w:jc w:val="center"/>
            </w:pPr>
            <w:r>
              <w:rPr>
                <w:sz w:val="17"/>
              </w:rPr>
              <w:t>FedProx (Proximal term)</w:t>
            </w:r>
          </w:p>
        </w:tc>
        <w:tc>
          <w:tcPr>
            <w:tcW w:type="dxa" w:w="1505"/>
            <w:shd w:fill="FFFFFF"/>
            <w:tcMar>
              <w:top w:w="70" w:type="dxa"/>
              <w:bottom w:w="70" w:type="dxa"/>
              <w:left w:w="100" w:type="dxa"/>
              <w:right w:w="100" w:type="dxa"/>
            </w:tcMar>
          </w:tcPr>
          <w:p>
            <w:pPr>
              <w:jc w:val="left"/>
            </w:pPr>
            <w:r>
              <w:rPr>
                <w:sz w:val="17"/>
              </w:rPr>
              <w:t>Federated NLP &amp; vision</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Yes (partial)</w:t>
            </w:r>
          </w:p>
        </w:tc>
        <w:tc>
          <w:tcPr>
            <w:tcW w:type="dxa" w:w="1505"/>
            <w:shd w:fill="FFFFFF"/>
            <w:tcMar>
              <w:top w:w="70" w:type="dxa"/>
              <w:bottom w:w="70" w:type="dxa"/>
              <w:left w:w="100" w:type="dxa"/>
              <w:right w:w="100" w:type="dxa"/>
            </w:tcMar>
          </w:tcPr>
          <w:p>
            <w:pPr>
              <w:jc w:val="left"/>
            </w:pPr>
            <w:r>
              <w:rPr>
                <w:sz w:val="17"/>
              </w:rPr>
              <w:t>Proximal weight hyperparameter requires extensive tuning</w:t>
            </w:r>
          </w:p>
        </w:tc>
      </w:tr>
      <w:tr>
        <w:tc>
          <w:tcPr>
            <w:tcW w:type="dxa" w:w="1505"/>
            <w:shd w:fill="F8FAFC"/>
            <w:tcMar>
              <w:top w:w="70" w:type="dxa"/>
              <w:bottom w:w="70" w:type="dxa"/>
              <w:left w:w="100" w:type="dxa"/>
              <w:right w:w="100" w:type="dxa"/>
            </w:tcMar>
          </w:tcPr>
          <w:p>
            <w:pPr>
              <w:jc w:val="center"/>
            </w:pPr>
            <w:r>
              <w:rPr>
                <w:sz w:val="17"/>
              </w:rPr>
              <w:t>Attiah et al. (2025) [16]</w:t>
            </w:r>
          </w:p>
        </w:tc>
        <w:tc>
          <w:tcPr>
            <w:tcW w:type="dxa" w:w="1505"/>
            <w:shd w:fill="F8FAFC"/>
            <w:tcMar>
              <w:top w:w="70" w:type="dxa"/>
              <w:bottom w:w="70" w:type="dxa"/>
              <w:left w:w="100" w:type="dxa"/>
              <w:right w:w="100" w:type="dxa"/>
            </w:tcMar>
          </w:tcPr>
          <w:p>
            <w:pPr>
              <w:jc w:val="center"/>
            </w:pPr>
            <w:r>
              <w:rPr>
                <w:sz w:val="17"/>
              </w:rPr>
              <w:t>FedPark (Crowdsensing)</w:t>
            </w:r>
          </w:p>
        </w:tc>
        <w:tc>
          <w:tcPr>
            <w:tcW w:type="dxa" w:w="1505"/>
            <w:shd w:fill="F8FAFC"/>
            <w:tcMar>
              <w:top w:w="70" w:type="dxa"/>
              <w:bottom w:w="70" w:type="dxa"/>
              <w:left w:w="100" w:type="dxa"/>
              <w:right w:w="100" w:type="dxa"/>
            </w:tcMar>
          </w:tcPr>
          <w:p>
            <w:pPr>
              <w:jc w:val="left"/>
            </w:pPr>
            <w:r>
              <w:rPr>
                <w:sz w:val="17"/>
              </w:rPr>
              <w:t>Crowdsourced mobile logs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No</w:t>
            </w:r>
          </w:p>
        </w:tc>
        <w:tc>
          <w:tcPr>
            <w:tcW w:type="dxa" w:w="1505"/>
            <w:shd w:fill="F8FAFC"/>
            <w:tcMar>
              <w:top w:w="70" w:type="dxa"/>
              <w:bottom w:w="70" w:type="dxa"/>
              <w:left w:w="100" w:type="dxa"/>
              <w:right w:w="100" w:type="dxa"/>
            </w:tcMar>
          </w:tcPr>
          <w:p>
            <w:pPr>
              <w:jc w:val="left"/>
            </w:pPr>
            <w:r>
              <w:rPr>
                <w:sz w:val="17"/>
              </w:rPr>
              <w:t>Focuses on on-street crowdsensing; lacks local linear baselines</w:t>
            </w:r>
          </w:p>
        </w:tc>
      </w:tr>
      <w:tr>
        <w:tc>
          <w:tcPr>
            <w:tcW w:type="dxa" w:w="1505"/>
            <w:shd w:fill="FFFFFF"/>
            <w:tcMar>
              <w:top w:w="70" w:type="dxa"/>
              <w:bottom w:w="70" w:type="dxa"/>
              <w:left w:w="100" w:type="dxa"/>
              <w:right w:w="100" w:type="dxa"/>
            </w:tcMar>
          </w:tcPr>
          <w:p>
            <w:pPr>
              <w:jc w:val="center"/>
            </w:pPr>
            <w:r>
              <w:rPr>
                <w:sz w:val="17"/>
              </w:rPr>
              <w:t>Rocco di Torrepadula et al. (2025) [22]</w:t>
            </w:r>
          </w:p>
        </w:tc>
        <w:tc>
          <w:tcPr>
            <w:tcW w:type="dxa" w:w="1505"/>
            <w:shd w:fill="FFFFFF"/>
            <w:tcMar>
              <w:top w:w="70" w:type="dxa"/>
              <w:bottom w:w="70" w:type="dxa"/>
              <w:left w:w="100" w:type="dxa"/>
              <w:right w:w="100" w:type="dxa"/>
            </w:tcMar>
          </w:tcPr>
          <w:p>
            <w:pPr>
              <w:jc w:val="center"/>
            </w:pPr>
            <w:r>
              <w:rPr>
                <w:sz w:val="17"/>
              </w:rPr>
              <w:t>FedFlow (Personalized FL)</w:t>
            </w:r>
          </w:p>
        </w:tc>
        <w:tc>
          <w:tcPr>
            <w:tcW w:type="dxa" w:w="1505"/>
            <w:shd w:fill="FFFFFF"/>
            <w:tcMar>
              <w:top w:w="70" w:type="dxa"/>
              <w:bottom w:w="70" w:type="dxa"/>
              <w:left w:w="100" w:type="dxa"/>
              <w:right w:w="100" w:type="dxa"/>
            </w:tcMar>
          </w:tcPr>
          <w:p>
            <w:pPr>
              <w:jc w:val="left"/>
            </w:pPr>
            <w:r>
              <w:rPr>
                <w:sz w:val="17"/>
              </w:rPr>
              <w:t>Mobility passenger flows</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Does not evaluate smart parking or local linear baselines</w:t>
            </w:r>
          </w:p>
        </w:tc>
      </w:tr>
      <w:tr>
        <w:tc>
          <w:tcPr>
            <w:tcW w:type="dxa" w:w="1505"/>
            <w:shd w:fill="F8FAFC"/>
            <w:tcMar>
              <w:top w:w="70" w:type="dxa"/>
              <w:bottom w:w="70" w:type="dxa"/>
              <w:left w:w="100" w:type="dxa"/>
              <w:right w:w="100" w:type="dxa"/>
            </w:tcMar>
          </w:tcPr>
          <w:p>
            <w:pPr>
              <w:jc w:val="center"/>
            </w:pPr>
            <w:r>
              <w:rPr>
                <w:sz w:val="17"/>
              </w:rPr>
              <w:t>This Study (2026)</w:t>
            </w:r>
          </w:p>
        </w:tc>
        <w:tc>
          <w:tcPr>
            <w:tcW w:type="dxa" w:w="1505"/>
            <w:shd w:fill="F8FAFC"/>
            <w:tcMar>
              <w:top w:w="70" w:type="dxa"/>
              <w:bottom w:w="70" w:type="dxa"/>
              <w:left w:w="100" w:type="dxa"/>
              <w:right w:w="100" w:type="dxa"/>
            </w:tcMar>
          </w:tcPr>
          <w:p>
            <w:pPr>
              <w:jc w:val="center"/>
            </w:pPr>
            <w:r>
              <w:rPr>
                <w:sz w:val="17"/>
              </w:rPr>
              <w:t>Personalized Fed-Attention-LSTM</w:t>
            </w:r>
          </w:p>
        </w:tc>
        <w:tc>
          <w:tcPr>
            <w:tcW w:type="dxa" w:w="1505"/>
            <w:shd w:fill="F8FAFC"/>
            <w:tcMar>
              <w:top w:w="70" w:type="dxa"/>
              <w:bottom w:w="70" w:type="dxa"/>
              <w:left w:w="100" w:type="dxa"/>
              <w:right w:w="100" w:type="dxa"/>
            </w:tcMar>
          </w:tcPr>
          <w:p>
            <w:pPr>
              <w:jc w:val="left"/>
            </w:pPr>
            <w:r>
              <w:rPr>
                <w:sz w:val="17"/>
              </w:rPr>
              <w:t>Birmingham IoT (30 lots)</w:t>
            </w:r>
          </w:p>
        </w:tc>
        <w:tc>
          <w:tcPr>
            <w:tcW w:type="dxa" w:w="1505"/>
            <w:shd w:fill="F8FAFC"/>
            <w:tcMar>
              <w:top w:w="70" w:type="dxa"/>
              <w:bottom w:w="70" w:type="dxa"/>
              <w:left w:w="100" w:type="dxa"/>
              <w:right w:w="100" w:type="dxa"/>
            </w:tcMar>
          </w:tcPr>
          <w:p>
            <w:pPr>
              <w:jc w:val="left"/>
            </w:pPr>
            <w:r>
              <w:rPr>
                <w:sz w:val="17"/>
              </w:rPr>
              <w:t>Private / Multi-stakeholder</w:t>
            </w:r>
          </w:p>
        </w:tc>
        <w:tc>
          <w:tcPr>
            <w:tcW w:type="dxa" w:w="1505"/>
            <w:shd w:fill="F8FAFC"/>
            <w:tcMar>
              <w:top w:w="70" w:type="dxa"/>
              <w:bottom w:w="70" w:type="dxa"/>
              <w:left w:w="100" w:type="dxa"/>
              <w:right w:w="100" w:type="dxa"/>
            </w:tcMar>
          </w:tcPr>
          <w:p>
            <w:pPr>
              <w:jc w:val="left"/>
            </w:pPr>
            <w:r>
              <w:rPr>
                <w:sz w:val="17"/>
              </w:rPr>
              <w:t>Yes (Persistence + Local Linear)</w:t>
            </w:r>
          </w:p>
        </w:tc>
        <w:tc>
          <w:tcPr>
            <w:tcW w:type="dxa" w:w="1505"/>
            <w:shd w:fill="F8FAFC"/>
            <w:tcMar>
              <w:top w:w="70" w:type="dxa"/>
              <w:bottom w:w="70" w:type="dxa"/>
              <w:left w:w="100" w:type="dxa"/>
              <w:right w:w="100" w:type="dxa"/>
            </w:tcMar>
          </w:tcPr>
          <w:p>
            <w:pPr>
              <w:jc w:val="left"/>
            </w:pPr>
            <w:r>
              <w:rPr>
                <w:sz w:val="17"/>
              </w:rPr>
              <w:t>Evaluated on single municipal stream; 73-day span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(Fully Private): </w:t>
      </w:r>
      <w:r>
        <w:t>Each client independently fits an autoregressive linear ridge regression model on its own past 4 availability observations (a_{t-3}, ..., a_t).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4-parameter linear autoregressive model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Thus, each federated client executes barely 1.78% of the gradient updates performed by the centralized model. While the IID-shuffled control experiment demonstrates that non-IID statistical heterogeneity accounts for 35.8% of the initial gap between FedAvg and centralized models, the remaining 64.2% residual deficit is strongly consistent with optimization under-training under communication round constraints. We emphasize that this 64.2% figure represents an experimental decomposition under our benchmarking assumptions rather than a definitive causal proof; establishing conclusive causality would require extended round scaling up to strict gradient-step parity with centralized models. Because FedAvg test error continues to improve gradually when communication rounds are extended from R = 8 to R = 16 (falling from 0.1006 to 0.0978),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Evaluated under Primary Benchmark Protocol, Seed = 42,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w:t>
            </w:r>
          </w:p>
        </w:tc>
        <w:tc>
          <w:tcPr>
            <w:tcW w:type="dxa" w:w="1290"/>
            <w:shd w:fill="FFFFFF"/>
            <w:tcMar>
              <w:top w:w="60" w:type="dxa"/>
              <w:bottom w:w="60" w:type="dxa"/>
              <w:left w:w="80" w:type="dxa"/>
              <w:right w:w="80" w:type="dxa"/>
            </w:tcMar>
          </w:tcPr>
          <w:p>
            <w:pPr>
              <w:jc w:val="center"/>
            </w:pPr>
            <w:r>
              <w:rPr>
                <w:b/>
                <w:sz w:val="16"/>
              </w:rPr>
              <w:t>0.0386</w:t>
            </w:r>
          </w:p>
        </w:tc>
        <w:tc>
          <w:tcPr>
            <w:tcW w:type="dxa" w:w="1290"/>
            <w:shd w:fill="FFFFFF"/>
            <w:tcMar>
              <w:top w:w="60" w:type="dxa"/>
              <w:bottom w:w="60" w:type="dxa"/>
              <w:left w:w="80" w:type="dxa"/>
              <w:right w:w="80" w:type="dxa"/>
            </w:tcMar>
          </w:tcPr>
          <w:p>
            <w:pPr>
              <w:jc w:val="center"/>
            </w:pPr>
            <w:r>
              <w:rPr>
                <w:b/>
                <w:sz w:val="16"/>
              </w:rPr>
              <w:t>0.0249</w:t>
            </w:r>
          </w:p>
        </w:tc>
        <w:tc>
          <w:tcPr>
            <w:tcW w:type="dxa" w:w="1290"/>
            <w:shd w:fill="FFFFFF"/>
            <w:tcMar>
              <w:top w:w="60" w:type="dxa"/>
              <w:bottom w:w="60" w:type="dxa"/>
              <w:left w:w="80" w:type="dxa"/>
              <w:right w:w="80" w:type="dxa"/>
            </w:tcMar>
          </w:tcPr>
          <w:p>
            <w:pPr>
              <w:jc w:val="center"/>
            </w:pPr>
            <w:r>
              <w:rPr>
                <w:b/>
                <w:sz w:val="16"/>
              </w:rPr>
              <w:t>0.0134</w:t>
            </w:r>
          </w:p>
        </w:tc>
        <w:tc>
          <w:tcPr>
            <w:tcW w:type="dxa" w:w="1290"/>
            <w:shd w:fill="FFFFFF"/>
            <w:tcMar>
              <w:top w:w="60" w:type="dxa"/>
              <w:bottom w:w="60" w:type="dxa"/>
              <w:left w:w="80" w:type="dxa"/>
              <w:right w:w="80" w:type="dxa"/>
            </w:tcMar>
          </w:tcPr>
          <w:p>
            <w:pPr>
              <w:jc w:val="center"/>
            </w:pPr>
            <w:r>
              <w:rPr>
                <w:b/>
                <w:sz w:val="16"/>
              </w:rPr>
              <w:t>33.4</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(Private)</w:t>
            </w:r>
          </w:p>
        </w:tc>
        <w:tc>
          <w:tcPr>
            <w:tcW w:type="dxa" w:w="1290"/>
            <w:shd w:fill="F1F5F9"/>
            <w:tcMar>
              <w:top w:w="60" w:type="dxa"/>
              <w:bottom w:w="60" w:type="dxa"/>
              <w:left w:w="80" w:type="dxa"/>
              <w:right w:w="80" w:type="dxa"/>
            </w:tcMar>
          </w:tcPr>
          <w:p>
            <w:pPr>
              <w:jc w:val="center"/>
            </w:pPr>
            <w:r>
              <w:rPr>
                <w:b/>
                <w:sz w:val="16"/>
              </w:rPr>
              <w:t>0.0126</w:t>
            </w:r>
          </w:p>
        </w:tc>
        <w:tc>
          <w:tcPr>
            <w:tcW w:type="dxa" w:w="1290"/>
            <w:shd w:fill="F1F5F9"/>
            <w:tcMar>
              <w:top w:w="60" w:type="dxa"/>
              <w:bottom w:w="60" w:type="dxa"/>
              <w:left w:w="80" w:type="dxa"/>
              <w:right w:w="80" w:type="dxa"/>
            </w:tcMar>
          </w:tcPr>
          <w:p>
            <w:pPr>
              <w:jc w:val="center"/>
            </w:pPr>
            <w:r>
              <w:rPr>
                <w:b/>
                <w:sz w:val="16"/>
              </w:rPr>
              <w:t>0.0179</w:t>
            </w:r>
          </w:p>
        </w:tc>
        <w:tc>
          <w:tcPr>
            <w:tcW w:type="dxa" w:w="1290"/>
            <w:shd w:fill="F1F5F9"/>
            <w:tcMar>
              <w:top w:w="60" w:type="dxa"/>
              <w:bottom w:w="60" w:type="dxa"/>
              <w:left w:w="80" w:type="dxa"/>
              <w:right w:w="80" w:type="dxa"/>
            </w:tcMar>
          </w:tcPr>
          <w:p>
            <w:pPr>
              <w:jc w:val="center"/>
            </w:pPr>
            <w:r>
              <w:rPr>
                <w:b/>
                <w:sz w:val="16"/>
              </w:rPr>
              <w:t>0.0125</w:t>
            </w:r>
          </w:p>
        </w:tc>
        <w:tc>
          <w:tcPr>
            <w:tcW w:type="dxa" w:w="1290"/>
            <w:shd w:fill="F1F5F9"/>
            <w:tcMar>
              <w:top w:w="60" w:type="dxa"/>
              <w:bottom w:w="60" w:type="dxa"/>
              <w:left w:w="80" w:type="dxa"/>
              <w:right w:w="80" w:type="dxa"/>
            </w:tcMar>
          </w:tcPr>
          <w:p>
            <w:pPr>
              <w:jc w:val="center"/>
            </w:pPr>
            <w:r>
              <w:rPr>
                <w:b/>
                <w:sz w:val="16"/>
              </w:rPr>
              <w:t>0.0049</w:t>
            </w:r>
          </w:p>
        </w:tc>
        <w:tc>
          <w:tcPr>
            <w:tcW w:type="dxa" w:w="1290"/>
            <w:shd w:fill="F1F5F9"/>
            <w:tcMar>
              <w:top w:w="60" w:type="dxa"/>
              <w:bottom w:w="60" w:type="dxa"/>
              <w:left w:w="80" w:type="dxa"/>
              <w:right w:w="80" w:type="dxa"/>
            </w:tcMar>
          </w:tcPr>
          <w:p>
            <w:pPr>
              <w:jc w:val="center"/>
            </w:pPr>
            <w:r>
              <w:rPr>
                <w:b/>
                <w:sz w:val="16"/>
              </w:rPr>
              <w:t>13.9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0.0189</w:t>
            </w:r>
          </w:p>
        </w:tc>
        <w:tc>
          <w:tcPr>
            <w:tcW w:type="dxa" w:w="1290"/>
            <w:shd w:fill="FFFFFF"/>
            <w:tcMar>
              <w:top w:w="60" w:type="dxa"/>
              <w:bottom w:w="60" w:type="dxa"/>
              <w:left w:w="80" w:type="dxa"/>
              <w:right w:w="80" w:type="dxa"/>
            </w:tcMar>
          </w:tcPr>
          <w:p>
            <w:pPr>
              <w:jc w:val="center"/>
            </w:pPr>
            <w:r>
              <w:rPr>
                <w:sz w:val="16"/>
              </w:rPr>
              <w:t>0.0130</w:t>
            </w:r>
          </w:p>
        </w:tc>
        <w:tc>
          <w:tcPr>
            <w:tcW w:type="dxa" w:w="1290"/>
            <w:shd w:fill="FFFFFF"/>
            <w:tcMar>
              <w:top w:w="60" w:type="dxa"/>
              <w:bottom w:w="60" w:type="dxa"/>
              <w:left w:w="80" w:type="dxa"/>
              <w:right w:w="80" w:type="dxa"/>
            </w:tcMar>
          </w:tcPr>
          <w:p>
            <w:pPr>
              <w:jc w:val="center"/>
            </w:pPr>
            <w:r>
              <w:rPr>
                <w:sz w:val="16"/>
              </w:rPr>
              <w:t>0.0049</w:t>
            </w:r>
          </w:p>
        </w:tc>
        <w:tc>
          <w:tcPr>
            <w:tcW w:type="dxa" w:w="1290"/>
            <w:shd w:fill="FFFFFF"/>
            <w:tcMar>
              <w:top w:w="60" w:type="dxa"/>
              <w:bottom w:w="60" w:type="dxa"/>
              <w:left w:w="80" w:type="dxa"/>
              <w:right w:w="80" w:type="dxa"/>
            </w:tcMar>
          </w:tcPr>
          <w:p>
            <w:pPr>
              <w:jc w:val="center"/>
            </w:pPr>
            <w:r>
              <w:rPr>
                <w:sz w:val="16"/>
              </w:rPr>
              <w:t>14.7</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0.0145</w:t>
            </w:r>
          </w:p>
        </w:tc>
        <w:tc>
          <w:tcPr>
            <w:tcW w:type="dxa" w:w="1290"/>
            <w:shd w:fill="F8FAFC"/>
            <w:tcMar>
              <w:top w:w="60" w:type="dxa"/>
              <w:bottom w:w="60" w:type="dxa"/>
              <w:left w:w="80" w:type="dxa"/>
              <w:right w:w="80" w:type="dxa"/>
            </w:tcMar>
          </w:tcPr>
          <w:p>
            <w:pPr>
              <w:jc w:val="center"/>
            </w:pPr>
            <w:r>
              <w:rPr>
                <w:sz w:val="16"/>
              </w:rPr>
              <w:t>0.0201</w:t>
            </w:r>
          </w:p>
        </w:tc>
        <w:tc>
          <w:tcPr>
            <w:tcW w:type="dxa" w:w="1290"/>
            <w:shd w:fill="F8FAFC"/>
            <w:tcMar>
              <w:top w:w="60" w:type="dxa"/>
              <w:bottom w:w="60" w:type="dxa"/>
              <w:left w:w="80" w:type="dxa"/>
              <w:right w:w="80" w:type="dxa"/>
            </w:tcMar>
          </w:tcPr>
          <w:p>
            <w:pPr>
              <w:jc w:val="center"/>
            </w:pPr>
            <w:r>
              <w:rPr>
                <w:sz w:val="16"/>
              </w:rPr>
              <w:t>0.0152</w:t>
            </w:r>
          </w:p>
        </w:tc>
        <w:tc>
          <w:tcPr>
            <w:tcW w:type="dxa" w:w="1290"/>
            <w:shd w:fill="F8FAFC"/>
            <w:tcMar>
              <w:top w:w="60" w:type="dxa"/>
              <w:bottom w:w="60" w:type="dxa"/>
              <w:left w:w="80" w:type="dxa"/>
              <w:right w:w="80" w:type="dxa"/>
            </w:tcMar>
          </w:tcPr>
          <w:p>
            <w:pPr>
              <w:jc w:val="center"/>
            </w:pPr>
            <w:r>
              <w:rPr>
                <w:sz w:val="16"/>
              </w:rPr>
              <w:t>0.0057</w:t>
            </w:r>
          </w:p>
        </w:tc>
        <w:tc>
          <w:tcPr>
            <w:tcW w:type="dxa" w:w="1290"/>
            <w:shd w:fill="F8FAFC"/>
            <w:tcMar>
              <w:top w:w="60" w:type="dxa"/>
              <w:bottom w:w="60" w:type="dxa"/>
              <w:left w:w="80" w:type="dxa"/>
              <w:right w:w="80" w:type="dxa"/>
            </w:tcMar>
          </w:tcPr>
          <w:p>
            <w:pPr>
              <w:jc w:val="center"/>
            </w:pPr>
            <w:r>
              <w:rPr>
                <w:sz w:val="16"/>
              </w:rPr>
              <w:t>17.5</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w:t>
            </w:r>
          </w:p>
        </w:tc>
        <w:tc>
          <w:tcPr>
            <w:tcW w:type="dxa" w:w="1290"/>
            <w:shd w:fill="FFFFFF"/>
            <w:tcMar>
              <w:top w:w="60" w:type="dxa"/>
              <w:bottom w:w="60" w:type="dxa"/>
              <w:left w:w="80" w:type="dxa"/>
              <w:right w:w="80" w:type="dxa"/>
            </w:tcMar>
          </w:tcPr>
          <w:p>
            <w:pPr>
              <w:jc w:val="center"/>
            </w:pPr>
            <w:r>
              <w:rPr>
                <w:sz w:val="16"/>
              </w:rPr>
              <w:t>0.0300</w:t>
            </w:r>
          </w:p>
        </w:tc>
        <w:tc>
          <w:tcPr>
            <w:tcW w:type="dxa" w:w="1290"/>
            <w:shd w:fill="FFFFFF"/>
            <w:tcMar>
              <w:top w:w="60" w:type="dxa"/>
              <w:bottom w:w="60" w:type="dxa"/>
              <w:left w:w="80" w:type="dxa"/>
              <w:right w:w="80" w:type="dxa"/>
            </w:tcMar>
          </w:tcPr>
          <w:p>
            <w:pPr>
              <w:jc w:val="center"/>
            </w:pPr>
            <w:r>
              <w:rPr>
                <w:sz w:val="16"/>
              </w:rPr>
              <w:t>0.0232</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25.2</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w:t>
            </w:r>
          </w:p>
        </w:tc>
        <w:tc>
          <w:tcPr>
            <w:tcW w:type="dxa" w:w="1290"/>
            <w:shd w:fill="F8FAFC"/>
            <w:tcMar>
              <w:top w:w="60" w:type="dxa"/>
              <w:bottom w:w="60" w:type="dxa"/>
              <w:left w:w="80" w:type="dxa"/>
              <w:right w:w="80" w:type="dxa"/>
            </w:tcMar>
          </w:tcPr>
          <w:p>
            <w:pPr>
              <w:jc w:val="center"/>
            </w:pPr>
            <w:r>
              <w:rPr>
                <w:sz w:val="16"/>
              </w:rPr>
              <w:t>0.0285</w:t>
            </w:r>
          </w:p>
        </w:tc>
        <w:tc>
          <w:tcPr>
            <w:tcW w:type="dxa" w:w="1290"/>
            <w:shd w:fill="F8FAFC"/>
            <w:tcMar>
              <w:top w:w="60" w:type="dxa"/>
              <w:bottom w:w="60" w:type="dxa"/>
              <w:left w:w="80" w:type="dxa"/>
              <w:right w:w="80" w:type="dxa"/>
            </w:tcMar>
          </w:tcPr>
          <w:p>
            <w:pPr>
              <w:jc w:val="center"/>
            </w:pPr>
            <w:r>
              <w:rPr>
                <w:sz w:val="16"/>
              </w:rPr>
              <w:t>0.0230</w:t>
            </w:r>
          </w:p>
        </w:tc>
        <w:tc>
          <w:tcPr>
            <w:tcW w:type="dxa" w:w="1290"/>
            <w:shd w:fill="F8FAFC"/>
            <w:tcMar>
              <w:top w:w="60" w:type="dxa"/>
              <w:bottom w:w="60" w:type="dxa"/>
              <w:left w:w="80" w:type="dxa"/>
              <w:right w:w="80" w:type="dxa"/>
            </w:tcMar>
          </w:tcPr>
          <w:p>
            <w:pPr>
              <w:jc w:val="center"/>
            </w:pPr>
            <w:r>
              <w:rPr>
                <w:sz w:val="16"/>
              </w:rPr>
              <w:t>0.0109</w:t>
            </w:r>
          </w:p>
        </w:tc>
        <w:tc>
          <w:tcPr>
            <w:tcW w:type="dxa" w:w="1290"/>
            <w:shd w:fill="F8FAFC"/>
            <w:tcMar>
              <w:top w:w="60" w:type="dxa"/>
              <w:bottom w:w="60" w:type="dxa"/>
              <w:left w:w="80" w:type="dxa"/>
              <w:right w:w="80" w:type="dxa"/>
            </w:tcMar>
          </w:tcPr>
          <w:p>
            <w:pPr>
              <w:jc w:val="center"/>
            </w:pPr>
            <w:r>
              <w:rPr>
                <w:sz w:val="16"/>
              </w:rPr>
              <w:t>26.9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0.1006</w:t>
            </w:r>
          </w:p>
        </w:tc>
        <w:tc>
          <w:tcPr>
            <w:tcW w:type="dxa" w:w="1290"/>
            <w:shd w:fill="FFFFFF"/>
            <w:tcMar>
              <w:top w:w="60" w:type="dxa"/>
              <w:bottom w:w="60" w:type="dxa"/>
              <w:left w:w="80" w:type="dxa"/>
              <w:right w:w="80" w:type="dxa"/>
            </w:tcMar>
          </w:tcPr>
          <w:p>
            <w:pPr>
              <w:jc w:val="center"/>
            </w:pPr>
            <w:r>
              <w:rPr>
                <w:sz w:val="16"/>
              </w:rPr>
              <w:t>0.1309</w:t>
            </w:r>
          </w:p>
        </w:tc>
        <w:tc>
          <w:tcPr>
            <w:tcW w:type="dxa" w:w="1290"/>
            <w:shd w:fill="FFFFFF"/>
            <w:tcMar>
              <w:top w:w="60" w:type="dxa"/>
              <w:bottom w:w="60" w:type="dxa"/>
              <w:left w:w="80" w:type="dxa"/>
              <w:right w:w="80" w:type="dxa"/>
            </w:tcMar>
          </w:tcPr>
          <w:p>
            <w:pPr>
              <w:jc w:val="center"/>
            </w:pPr>
            <w:r>
              <w:rPr>
                <w:sz w:val="16"/>
              </w:rPr>
              <w:t>0.1030</w:t>
            </w:r>
          </w:p>
        </w:tc>
        <w:tc>
          <w:tcPr>
            <w:tcW w:type="dxa" w:w="1290"/>
            <w:shd w:fill="FFFFFF"/>
            <w:tcMar>
              <w:top w:w="60" w:type="dxa"/>
              <w:bottom w:w="60" w:type="dxa"/>
              <w:left w:w="80" w:type="dxa"/>
              <w:right w:w="80" w:type="dxa"/>
            </w:tcMar>
          </w:tcPr>
          <w:p>
            <w:pPr>
              <w:jc w:val="center"/>
            </w:pPr>
            <w:r>
              <w:rPr>
                <w:sz w:val="16"/>
              </w:rPr>
              <w:t>0.0534</w:t>
            </w:r>
          </w:p>
        </w:tc>
        <w:tc>
          <w:tcPr>
            <w:tcW w:type="dxa" w:w="1290"/>
            <w:shd w:fill="FFFFFF"/>
            <w:tcMar>
              <w:top w:w="60" w:type="dxa"/>
              <w:bottom w:w="60" w:type="dxa"/>
              <w:left w:w="80" w:type="dxa"/>
              <w:right w:w="80" w:type="dxa"/>
            </w:tcMar>
          </w:tcPr>
          <w:p>
            <w:pPr>
              <w:jc w:val="center"/>
            </w:pPr>
            <w:r>
              <w:rPr>
                <w:sz w:val="16"/>
              </w:rPr>
              <w:t>126.8</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0.0607</w:t>
            </w:r>
          </w:p>
        </w:tc>
        <w:tc>
          <w:tcPr>
            <w:tcW w:type="dxa" w:w="1290"/>
            <w:shd w:fill="F1F5F9"/>
            <w:tcMar>
              <w:top w:w="60" w:type="dxa"/>
              <w:bottom w:w="60" w:type="dxa"/>
              <w:left w:w="80" w:type="dxa"/>
              <w:right w:w="80" w:type="dxa"/>
            </w:tcMar>
          </w:tcPr>
          <w:p>
            <w:pPr>
              <w:jc w:val="center"/>
            </w:pPr>
            <w:r>
              <w:rPr>
                <w:b/>
                <w:sz w:val="16"/>
              </w:rPr>
              <w:t>0.0818</w:t>
            </w:r>
          </w:p>
        </w:tc>
        <w:tc>
          <w:tcPr>
            <w:tcW w:type="dxa" w:w="1290"/>
            <w:shd w:fill="F1F5F9"/>
            <w:tcMar>
              <w:top w:w="60" w:type="dxa"/>
              <w:bottom w:w="60" w:type="dxa"/>
              <w:left w:w="80" w:type="dxa"/>
              <w:right w:w="80" w:type="dxa"/>
            </w:tcMar>
          </w:tcPr>
          <w:p>
            <w:pPr>
              <w:jc w:val="center"/>
            </w:pPr>
            <w:r>
              <w:rPr>
                <w:b/>
                <w:sz w:val="16"/>
              </w:rPr>
              <w:t>0.0627</w:t>
            </w:r>
          </w:p>
        </w:tc>
        <w:tc>
          <w:tcPr>
            <w:tcW w:type="dxa" w:w="1290"/>
            <w:shd w:fill="F1F5F9"/>
            <w:tcMar>
              <w:top w:w="60" w:type="dxa"/>
              <w:bottom w:w="60" w:type="dxa"/>
              <w:left w:w="80" w:type="dxa"/>
              <w:right w:w="80" w:type="dxa"/>
            </w:tcMar>
          </w:tcPr>
          <w:p>
            <w:pPr>
              <w:jc w:val="center"/>
            </w:pPr>
            <w:r>
              <w:rPr>
                <w:b/>
                <w:sz w:val="16"/>
              </w:rPr>
              <w:t>0.0279</w:t>
            </w:r>
          </w:p>
        </w:tc>
        <w:tc>
          <w:tcPr>
            <w:tcW w:type="dxa" w:w="1290"/>
            <w:shd w:fill="F1F5F9"/>
            <w:tcMar>
              <w:top w:w="60" w:type="dxa"/>
              <w:bottom w:w="60" w:type="dxa"/>
              <w:left w:w="80" w:type="dxa"/>
              <w:right w:w="80" w:type="dxa"/>
            </w:tcMar>
          </w:tcPr>
          <w:p>
            <w:pPr>
              <w:jc w:val="center"/>
            </w:pPr>
            <w:r>
              <w:rPr>
                <w:b/>
                <w:sz w:val="16"/>
              </w:rPr>
              <w:t>73.2</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0.0492</w:t>
            </w:r>
          </w:p>
        </w:tc>
        <w:tc>
          <w:tcPr>
            <w:tcW w:type="dxa" w:w="1290"/>
            <w:shd w:fill="FFFFFF"/>
            <w:tcMar>
              <w:top w:w="60" w:type="dxa"/>
              <w:bottom w:w="60" w:type="dxa"/>
              <w:left w:w="80" w:type="dxa"/>
              <w:right w:w="80" w:type="dxa"/>
            </w:tcMar>
          </w:tcPr>
          <w:p>
            <w:pPr>
              <w:jc w:val="center"/>
            </w:pPr>
            <w:r>
              <w:rPr>
                <w:b/>
                <w:sz w:val="16"/>
              </w:rPr>
              <w:t>0.0715</w:t>
            </w:r>
          </w:p>
        </w:tc>
        <w:tc>
          <w:tcPr>
            <w:tcW w:type="dxa" w:w="1290"/>
            <w:shd w:fill="FFFFFF"/>
            <w:tcMar>
              <w:top w:w="60" w:type="dxa"/>
              <w:bottom w:w="60" w:type="dxa"/>
              <w:left w:w="80" w:type="dxa"/>
              <w:right w:w="80" w:type="dxa"/>
            </w:tcMar>
          </w:tcPr>
          <w:p>
            <w:pPr>
              <w:jc w:val="center"/>
            </w:pPr>
            <w:r>
              <w:rPr>
                <w:b/>
                <w:sz w:val="16"/>
              </w:rPr>
              <w:t>0.0477</w:t>
            </w:r>
          </w:p>
        </w:tc>
        <w:tc>
          <w:tcPr>
            <w:tcW w:type="dxa" w:w="1290"/>
            <w:shd w:fill="FFFFFF"/>
            <w:tcMar>
              <w:top w:w="60" w:type="dxa"/>
              <w:bottom w:w="60" w:type="dxa"/>
              <w:left w:w="80" w:type="dxa"/>
              <w:right w:w="80" w:type="dxa"/>
            </w:tcMar>
          </w:tcPr>
          <w:p>
            <w:pPr>
              <w:jc w:val="center"/>
            </w:pPr>
            <w:r>
              <w:rPr>
                <w:b/>
                <w:sz w:val="16"/>
              </w:rPr>
              <w:t>0.0250</w:t>
            </w:r>
          </w:p>
        </w:tc>
        <w:tc>
          <w:tcPr>
            <w:tcW w:type="dxa" w:w="1290"/>
            <w:shd w:fill="FFFFFF"/>
            <w:tcMar>
              <w:top w:w="60" w:type="dxa"/>
              <w:bottom w:w="60" w:type="dxa"/>
              <w:left w:w="80" w:type="dxa"/>
              <w:right w:w="80" w:type="dxa"/>
            </w:tcMar>
          </w:tcPr>
          <w:p>
            <w:pPr>
              <w:jc w:val="center"/>
            </w:pPr>
            <w:r>
              <w:rPr>
                <w:b/>
                <w:sz w:val="16"/>
              </w:rPr>
              <w:t>64.2</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(Private)</w:t>
            </w:r>
          </w:p>
        </w:tc>
        <w:tc>
          <w:tcPr>
            <w:tcW w:type="dxa" w:w="1290"/>
            <w:shd w:fill="F1F5F9"/>
            <w:tcMar>
              <w:top w:w="60" w:type="dxa"/>
              <w:bottom w:w="60" w:type="dxa"/>
              <w:left w:w="80" w:type="dxa"/>
              <w:right w:w="80" w:type="dxa"/>
            </w:tcMar>
          </w:tcPr>
          <w:p>
            <w:pPr>
              <w:jc w:val="center"/>
            </w:pPr>
            <w:r>
              <w:rPr>
                <w:b/>
                <w:sz w:val="16"/>
              </w:rPr>
              <w:t>0.0248</w:t>
            </w:r>
          </w:p>
        </w:tc>
        <w:tc>
          <w:tcPr>
            <w:tcW w:type="dxa" w:w="1290"/>
            <w:shd w:fill="F1F5F9"/>
            <w:tcMar>
              <w:top w:w="60" w:type="dxa"/>
              <w:bottom w:w="60" w:type="dxa"/>
              <w:left w:w="80" w:type="dxa"/>
              <w:right w:w="80" w:type="dxa"/>
            </w:tcMar>
          </w:tcPr>
          <w:p>
            <w:pPr>
              <w:jc w:val="center"/>
            </w:pPr>
            <w:r>
              <w:rPr>
                <w:b/>
                <w:sz w:val="16"/>
              </w:rPr>
              <w:t>0.0350</w:t>
            </w:r>
          </w:p>
        </w:tc>
        <w:tc>
          <w:tcPr>
            <w:tcW w:type="dxa" w:w="1290"/>
            <w:shd w:fill="F1F5F9"/>
            <w:tcMar>
              <w:top w:w="60" w:type="dxa"/>
              <w:bottom w:w="60" w:type="dxa"/>
              <w:left w:w="80" w:type="dxa"/>
              <w:right w:w="80" w:type="dxa"/>
            </w:tcMar>
          </w:tcPr>
          <w:p>
            <w:pPr>
              <w:jc w:val="center"/>
            </w:pPr>
            <w:r>
              <w:rPr>
                <w:b/>
                <w:sz w:val="16"/>
              </w:rPr>
              <w:t>0.0243</w:t>
            </w:r>
          </w:p>
        </w:tc>
        <w:tc>
          <w:tcPr>
            <w:tcW w:type="dxa" w:w="1290"/>
            <w:shd w:fill="F1F5F9"/>
            <w:tcMar>
              <w:top w:w="60" w:type="dxa"/>
              <w:bottom w:w="60" w:type="dxa"/>
              <w:left w:w="80" w:type="dxa"/>
              <w:right w:w="80" w:type="dxa"/>
            </w:tcMar>
          </w:tcPr>
          <w:p>
            <w:pPr>
              <w:jc w:val="center"/>
            </w:pPr>
            <w:r>
              <w:rPr>
                <w:b/>
                <w:sz w:val="16"/>
              </w:rPr>
              <w:t>0.0094</w:t>
            </w:r>
          </w:p>
        </w:tc>
        <w:tc>
          <w:tcPr>
            <w:tcW w:type="dxa" w:w="1290"/>
            <w:shd w:fill="F1F5F9"/>
            <w:tcMar>
              <w:top w:w="60" w:type="dxa"/>
              <w:bottom w:w="60" w:type="dxa"/>
              <w:left w:w="80" w:type="dxa"/>
              <w:right w:w="80" w:type="dxa"/>
            </w:tcMar>
          </w:tcPr>
          <w:p>
            <w:pPr>
              <w:jc w:val="center"/>
            </w:pPr>
            <w:r>
              <w:rPr>
                <w:b/>
                <w:sz w:val="16"/>
              </w:rPr>
              <w:t>28.4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0.0259</w:t>
            </w:r>
          </w:p>
        </w:tc>
        <w:tc>
          <w:tcPr>
            <w:tcW w:type="dxa" w:w="1290"/>
            <w:shd w:fill="FFFFFF"/>
            <w:tcMar>
              <w:top w:w="60" w:type="dxa"/>
              <w:bottom w:w="60" w:type="dxa"/>
              <w:left w:w="80" w:type="dxa"/>
              <w:right w:w="80" w:type="dxa"/>
            </w:tcMar>
          </w:tcPr>
          <w:p>
            <w:pPr>
              <w:jc w:val="center"/>
            </w:pPr>
            <w:r>
              <w:rPr>
                <w:sz w:val="16"/>
              </w:rPr>
              <w:t>0.0375</w:t>
            </w:r>
          </w:p>
        </w:tc>
        <w:tc>
          <w:tcPr>
            <w:tcW w:type="dxa" w:w="1290"/>
            <w:shd w:fill="FFFFFF"/>
            <w:tcMar>
              <w:top w:w="60" w:type="dxa"/>
              <w:bottom w:w="60" w:type="dxa"/>
              <w:left w:w="80" w:type="dxa"/>
              <w:right w:w="80" w:type="dxa"/>
            </w:tcMar>
          </w:tcPr>
          <w:p>
            <w:pPr>
              <w:jc w:val="center"/>
            </w:pPr>
            <w:r>
              <w:rPr>
                <w:sz w:val="16"/>
              </w:rPr>
              <w:t>0.0266</w:t>
            </w:r>
          </w:p>
        </w:tc>
        <w:tc>
          <w:tcPr>
            <w:tcW w:type="dxa" w:w="1290"/>
            <w:shd w:fill="FFFFFF"/>
            <w:tcMar>
              <w:top w:w="60" w:type="dxa"/>
              <w:bottom w:w="60" w:type="dxa"/>
              <w:left w:w="80" w:type="dxa"/>
              <w:right w:w="80" w:type="dxa"/>
            </w:tcMar>
          </w:tcPr>
          <w:p>
            <w:pPr>
              <w:jc w:val="center"/>
            </w:pPr>
            <w:r>
              <w:rPr>
                <w:sz w:val="16"/>
              </w:rPr>
              <w:t>0.0095</w:t>
            </w:r>
          </w:p>
        </w:tc>
        <w:tc>
          <w:tcPr>
            <w:tcW w:type="dxa" w:w="1290"/>
            <w:shd w:fill="FFFFFF"/>
            <w:tcMar>
              <w:top w:w="60" w:type="dxa"/>
              <w:bottom w:w="60" w:type="dxa"/>
              <w:left w:w="80" w:type="dxa"/>
              <w:right w:w="80" w:type="dxa"/>
            </w:tcMar>
          </w:tcPr>
          <w:p>
            <w:pPr>
              <w:jc w:val="center"/>
            </w:pPr>
            <w:r>
              <w:rPr>
                <w:sz w:val="16"/>
              </w:rPr>
              <w:t>30.4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0.0245</w:t>
            </w:r>
          </w:p>
        </w:tc>
        <w:tc>
          <w:tcPr>
            <w:tcW w:type="dxa" w:w="1290"/>
            <w:shd w:fill="F8FAFC"/>
            <w:tcMar>
              <w:top w:w="60" w:type="dxa"/>
              <w:bottom w:w="60" w:type="dxa"/>
              <w:left w:w="80" w:type="dxa"/>
              <w:right w:w="80" w:type="dxa"/>
            </w:tcMar>
          </w:tcPr>
          <w:p>
            <w:pPr>
              <w:jc w:val="center"/>
            </w:pPr>
            <w:r>
              <w:rPr>
                <w:sz w:val="16"/>
              </w:rPr>
              <w:t>0.0343</w:t>
            </w:r>
          </w:p>
        </w:tc>
        <w:tc>
          <w:tcPr>
            <w:tcW w:type="dxa" w:w="1290"/>
            <w:shd w:fill="F8FAFC"/>
            <w:tcMar>
              <w:top w:w="60" w:type="dxa"/>
              <w:bottom w:w="60" w:type="dxa"/>
              <w:left w:w="80" w:type="dxa"/>
              <w:right w:w="80" w:type="dxa"/>
            </w:tcMar>
          </w:tcPr>
          <w:p>
            <w:pPr>
              <w:jc w:val="center"/>
            </w:pPr>
            <w:r>
              <w:rPr>
                <w:sz w:val="16"/>
              </w:rPr>
              <w:t>0.0264</w:t>
            </w:r>
          </w:p>
        </w:tc>
        <w:tc>
          <w:tcPr>
            <w:tcW w:type="dxa" w:w="1290"/>
            <w:shd w:fill="F8FAFC"/>
            <w:tcMar>
              <w:top w:w="60" w:type="dxa"/>
              <w:bottom w:w="60" w:type="dxa"/>
              <w:left w:w="80" w:type="dxa"/>
              <w:right w:w="80" w:type="dxa"/>
            </w:tcMar>
          </w:tcPr>
          <w:p>
            <w:pPr>
              <w:jc w:val="center"/>
            </w:pPr>
            <w:r>
              <w:rPr>
                <w:sz w:val="16"/>
              </w:rPr>
              <w:t>0.0112</w:t>
            </w:r>
          </w:p>
        </w:tc>
        <w:tc>
          <w:tcPr>
            <w:tcW w:type="dxa" w:w="1290"/>
            <w:shd w:fill="F8FAFC"/>
            <w:tcMar>
              <w:top w:w="60" w:type="dxa"/>
              <w:bottom w:w="60" w:type="dxa"/>
              <w:left w:w="80" w:type="dxa"/>
              <w:right w:w="80" w:type="dxa"/>
            </w:tcMar>
          </w:tcPr>
          <w:p>
            <w:pPr>
              <w:jc w:val="center"/>
            </w:pPr>
            <w:r>
              <w:rPr>
                <w:sz w:val="16"/>
              </w:rPr>
              <w:t>30.1</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w:t>
            </w:r>
          </w:p>
        </w:tc>
        <w:tc>
          <w:tcPr>
            <w:tcW w:type="dxa" w:w="1290"/>
            <w:shd w:fill="FFFFFF"/>
            <w:tcMar>
              <w:top w:w="60" w:type="dxa"/>
              <w:bottom w:w="60" w:type="dxa"/>
              <w:left w:w="80" w:type="dxa"/>
              <w:right w:w="80" w:type="dxa"/>
            </w:tcMar>
          </w:tcPr>
          <w:p>
            <w:pPr>
              <w:jc w:val="center"/>
            </w:pPr>
            <w:r>
              <w:rPr>
                <w:sz w:val="16"/>
              </w:rPr>
              <w:t>0.0402</w:t>
            </w:r>
          </w:p>
        </w:tc>
        <w:tc>
          <w:tcPr>
            <w:tcW w:type="dxa" w:w="1290"/>
            <w:shd w:fill="FFFFFF"/>
            <w:tcMar>
              <w:top w:w="60" w:type="dxa"/>
              <w:bottom w:w="60" w:type="dxa"/>
              <w:left w:w="80" w:type="dxa"/>
              <w:right w:w="80" w:type="dxa"/>
            </w:tcMar>
          </w:tcPr>
          <w:p>
            <w:pPr>
              <w:jc w:val="center"/>
            </w:pPr>
            <w:r>
              <w:rPr>
                <w:sz w:val="16"/>
              </w:rPr>
              <w:t>0.0305</w:t>
            </w:r>
          </w:p>
        </w:tc>
        <w:tc>
          <w:tcPr>
            <w:tcW w:type="dxa" w:w="1290"/>
            <w:shd w:fill="FFFFFF"/>
            <w:tcMar>
              <w:top w:w="60" w:type="dxa"/>
              <w:bottom w:w="60" w:type="dxa"/>
              <w:left w:w="80" w:type="dxa"/>
              <w:right w:w="80" w:type="dxa"/>
            </w:tcMar>
          </w:tcPr>
          <w:p>
            <w:pPr>
              <w:jc w:val="center"/>
            </w:pPr>
            <w:r>
              <w:rPr>
                <w:sz w:val="16"/>
              </w:rPr>
              <w:t>0.0117</w:t>
            </w:r>
          </w:p>
        </w:tc>
        <w:tc>
          <w:tcPr>
            <w:tcW w:type="dxa" w:w="1290"/>
            <w:shd w:fill="FFFFFF"/>
            <w:tcMar>
              <w:top w:w="60" w:type="dxa"/>
              <w:bottom w:w="60" w:type="dxa"/>
              <w:left w:w="80" w:type="dxa"/>
              <w:right w:w="80" w:type="dxa"/>
            </w:tcMar>
          </w:tcPr>
          <w:p>
            <w:pPr>
              <w:jc w:val="center"/>
            </w:pPr>
            <w:r>
              <w:rPr>
                <w:sz w:val="16"/>
              </w:rPr>
              <w:t>35.5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0.0304</w:t>
            </w:r>
          </w:p>
        </w:tc>
        <w:tc>
          <w:tcPr>
            <w:tcW w:type="dxa" w:w="1290"/>
            <w:shd w:fill="F8FAFC"/>
            <w:tcMar>
              <w:top w:w="60" w:type="dxa"/>
              <w:bottom w:w="60" w:type="dxa"/>
              <w:left w:w="80" w:type="dxa"/>
              <w:right w:w="80" w:type="dxa"/>
            </w:tcMar>
          </w:tcPr>
          <w:p>
            <w:pPr>
              <w:jc w:val="center"/>
            </w:pPr>
            <w:r>
              <w:rPr>
                <w:sz w:val="16"/>
              </w:rPr>
              <w:t>0.0415</w:t>
            </w:r>
          </w:p>
        </w:tc>
        <w:tc>
          <w:tcPr>
            <w:tcW w:type="dxa" w:w="1290"/>
            <w:shd w:fill="F8FAFC"/>
            <w:tcMar>
              <w:top w:w="60" w:type="dxa"/>
              <w:bottom w:w="60" w:type="dxa"/>
              <w:left w:w="80" w:type="dxa"/>
              <w:right w:w="80" w:type="dxa"/>
            </w:tcMar>
          </w:tcPr>
          <w:p>
            <w:pPr>
              <w:jc w:val="center"/>
            </w:pPr>
            <w:r>
              <w:rPr>
                <w:sz w:val="16"/>
              </w:rPr>
              <w:t>0.0316</w:t>
            </w:r>
          </w:p>
        </w:tc>
        <w:tc>
          <w:tcPr>
            <w:tcW w:type="dxa" w:w="1290"/>
            <w:shd w:fill="F8FAFC"/>
            <w:tcMar>
              <w:top w:w="60" w:type="dxa"/>
              <w:bottom w:w="60" w:type="dxa"/>
              <w:left w:w="80" w:type="dxa"/>
              <w:right w:w="80" w:type="dxa"/>
            </w:tcMar>
          </w:tcPr>
          <w:p>
            <w:pPr>
              <w:jc w:val="center"/>
            </w:pPr>
            <w:r>
              <w:rPr>
                <w:sz w:val="16"/>
              </w:rPr>
              <w:t>0.0118</w:t>
            </w:r>
          </w:p>
        </w:tc>
        <w:tc>
          <w:tcPr>
            <w:tcW w:type="dxa" w:w="1290"/>
            <w:shd w:fill="F8FAFC"/>
            <w:tcMar>
              <w:top w:w="60" w:type="dxa"/>
              <w:bottom w:w="60" w:type="dxa"/>
              <w:left w:w="80" w:type="dxa"/>
              <w:right w:w="80" w:type="dxa"/>
            </w:tcMar>
          </w:tcPr>
          <w:p>
            <w:pPr>
              <w:jc w:val="center"/>
            </w:pPr>
            <w:r>
              <w:rPr>
                <w:sz w:val="16"/>
              </w:rPr>
              <w:t>37.2</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w:t>
            </w:r>
          </w:p>
        </w:tc>
        <w:tc>
          <w:tcPr>
            <w:tcW w:type="dxa" w:w="1290"/>
            <w:shd w:fill="FFFFFF"/>
            <w:tcMar>
              <w:top w:w="60" w:type="dxa"/>
              <w:bottom w:w="60" w:type="dxa"/>
              <w:left w:w="80" w:type="dxa"/>
              <w:right w:w="80" w:type="dxa"/>
            </w:tcMar>
          </w:tcPr>
          <w:p>
            <w:pPr>
              <w:jc w:val="center"/>
            </w:pPr>
            <w:r>
              <w:rPr>
                <w:sz w:val="16"/>
              </w:rPr>
              <w:t>0.1416</w:t>
            </w:r>
          </w:p>
        </w:tc>
        <w:tc>
          <w:tcPr>
            <w:tcW w:type="dxa" w:w="1290"/>
            <w:shd w:fill="FFFFFF"/>
            <w:tcMar>
              <w:top w:w="60" w:type="dxa"/>
              <w:bottom w:w="60" w:type="dxa"/>
              <w:left w:w="80" w:type="dxa"/>
              <w:right w:w="80" w:type="dxa"/>
            </w:tcMar>
          </w:tcPr>
          <w:p>
            <w:pPr>
              <w:jc w:val="center"/>
            </w:pPr>
            <w:r>
              <w:rPr>
                <w:sz w:val="16"/>
              </w:rPr>
              <w:t>0.1106</w:t>
            </w:r>
          </w:p>
        </w:tc>
        <w:tc>
          <w:tcPr>
            <w:tcW w:type="dxa" w:w="1290"/>
            <w:shd w:fill="FFFFFF"/>
            <w:tcMar>
              <w:top w:w="60" w:type="dxa"/>
              <w:bottom w:w="60" w:type="dxa"/>
              <w:left w:w="80" w:type="dxa"/>
              <w:right w:w="80" w:type="dxa"/>
            </w:tcMar>
          </w:tcPr>
          <w:p>
            <w:pPr>
              <w:jc w:val="center"/>
            </w:pPr>
            <w:r>
              <w:rPr>
                <w:sz w:val="16"/>
              </w:rPr>
              <w:t>0.0552</w:t>
            </w:r>
          </w:p>
        </w:tc>
        <w:tc>
          <w:tcPr>
            <w:tcW w:type="dxa" w:w="1290"/>
            <w:shd w:fill="FFFFFF"/>
            <w:tcMar>
              <w:top w:w="60" w:type="dxa"/>
              <w:bottom w:w="60" w:type="dxa"/>
              <w:left w:w="80" w:type="dxa"/>
              <w:right w:w="80" w:type="dxa"/>
            </w:tcMar>
          </w:tcPr>
          <w:p>
            <w:pPr>
              <w:jc w:val="center"/>
            </w:pPr>
            <w:r>
              <w:rPr>
                <w:sz w:val="16"/>
              </w:rPr>
              <w:t>137.1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0.0732</w:t>
            </w:r>
          </w:p>
        </w:tc>
        <w:tc>
          <w:tcPr>
            <w:tcW w:type="dxa" w:w="1290"/>
            <w:shd w:fill="F1F5F9"/>
            <w:tcMar>
              <w:top w:w="60" w:type="dxa"/>
              <w:bottom w:w="60" w:type="dxa"/>
              <w:left w:w="80" w:type="dxa"/>
              <w:right w:w="80" w:type="dxa"/>
            </w:tcMar>
          </w:tcPr>
          <w:p>
            <w:pPr>
              <w:jc w:val="center"/>
            </w:pPr>
            <w:r>
              <w:rPr>
                <w:b/>
                <w:sz w:val="16"/>
              </w:rPr>
              <w:t>0.0962</w:t>
            </w:r>
          </w:p>
        </w:tc>
        <w:tc>
          <w:tcPr>
            <w:tcW w:type="dxa" w:w="1290"/>
            <w:shd w:fill="F1F5F9"/>
            <w:tcMar>
              <w:top w:w="60" w:type="dxa"/>
              <w:bottom w:w="60" w:type="dxa"/>
              <w:left w:w="80" w:type="dxa"/>
              <w:right w:w="80" w:type="dxa"/>
            </w:tcMar>
          </w:tcPr>
          <w:p>
            <w:pPr>
              <w:jc w:val="center"/>
            </w:pPr>
            <w:r>
              <w:rPr>
                <w:b/>
                <w:sz w:val="16"/>
              </w:rPr>
              <w:t>0.0750</w:t>
            </w:r>
          </w:p>
        </w:tc>
        <w:tc>
          <w:tcPr>
            <w:tcW w:type="dxa" w:w="1290"/>
            <w:shd w:fill="F1F5F9"/>
            <w:tcMar>
              <w:top w:w="60" w:type="dxa"/>
              <w:bottom w:w="60" w:type="dxa"/>
              <w:left w:w="80" w:type="dxa"/>
              <w:right w:w="80" w:type="dxa"/>
            </w:tcMar>
          </w:tcPr>
          <w:p>
            <w:pPr>
              <w:jc w:val="center"/>
            </w:pPr>
            <w:r>
              <w:rPr>
                <w:b/>
                <w:sz w:val="16"/>
              </w:rPr>
              <w:t>0.0263</w:t>
            </w:r>
          </w:p>
        </w:tc>
        <w:tc>
          <w:tcPr>
            <w:tcW w:type="dxa" w:w="1290"/>
            <w:shd w:fill="F1F5F9"/>
            <w:tcMar>
              <w:top w:w="60" w:type="dxa"/>
              <w:bottom w:w="60" w:type="dxa"/>
              <w:left w:w="80" w:type="dxa"/>
              <w:right w:w="80" w:type="dxa"/>
            </w:tcMar>
          </w:tcPr>
          <w:p>
            <w:pPr>
              <w:jc w:val="center"/>
            </w:pPr>
            <w:r>
              <w:rPr>
                <w:b/>
                <w:sz w:val="16"/>
              </w:rPr>
              <w:t>92.3</w:t>
            </w:r>
          </w:p>
        </w:tc>
      </w:tr>
    </w:tbl>
    <w:p>
      <w:pPr>
        <w:spacing w:before="0" w:after="120" w:line="276" w:lineRule="auto"/>
        <w:jc w:val="both"/>
      </w:pPr>
    </w:p>
    <w:p>
      <w:pPr>
        <w:jc w:val="center"/>
      </w:pPr>
      <w:r>
        <w:drawing>
          <wp:inline xmlns:a="http://schemas.openxmlformats.org/drawingml/2006/main" xmlns:pic="http://schemas.openxmlformats.org/drawingml/2006/picture">
            <wp:extent cx="5669280" cy="2105733"/>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2105733"/>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(30-Minute Horizon, Mean +/- Std across 3 Seeds).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Federated Paradigm / Algorithm</w:t>
            </w:r>
          </w:p>
        </w:tc>
        <w:tc>
          <w:tcPr>
            <w:tcW w:type="dxa" w:w="1806"/>
            <w:shd w:fill="1F3864"/>
            <w:tcMar>
              <w:top w:w="100" w:type="dxa"/>
              <w:bottom w:w="100" w:type="dxa"/>
              <w:left w:w="100" w:type="dxa"/>
              <w:right w:w="100" w:type="dxa"/>
            </w:tcMar>
          </w:tcPr>
          <w:p>
            <w:pPr>
              <w:jc w:val="center"/>
            </w:pPr>
            <w:r>
              <w:rPr>
                <w:b/>
                <w:color w:val="FFFFFF"/>
                <w:sz w:val="17"/>
              </w:rPr>
              <w:t>Pooled MAE (Micro)</w:t>
            </w:r>
          </w:p>
        </w:tc>
        <w:tc>
          <w:tcPr>
            <w:tcW w:type="dxa" w:w="1806"/>
            <w:shd w:fill="1F3864"/>
            <w:tcMar>
              <w:top w:w="100" w:type="dxa"/>
              <w:bottom w:w="100" w:type="dxa"/>
              <w:left w:w="100" w:type="dxa"/>
              <w:right w:w="100" w:type="dxa"/>
            </w:tcMar>
          </w:tcPr>
          <w:p>
            <w:pPr>
              <w:jc w:val="center"/>
            </w:pPr>
            <w:r>
              <w:rPr>
                <w:b/>
                <w:color w:val="FFFFFF"/>
                <w:sz w:val="17"/>
              </w:rPr>
              <w:t>Pooled RMSE</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left"/>
            </w:pPr>
            <w:r>
              <w:rPr>
                <w:sz w:val="17"/>
              </w:rPr>
              <w:t>Global FedAvg (R=8, E=2, B=32) [7]</w:t>
            </w:r>
          </w:p>
        </w:tc>
        <w:tc>
          <w:tcPr>
            <w:tcW w:type="dxa" w:w="1806"/>
            <w:shd w:fill="FFFFFF"/>
            <w:tcMar>
              <w:top w:w="60" w:type="dxa"/>
              <w:bottom w:w="60" w:type="dxa"/>
              <w:left w:w="80" w:type="dxa"/>
              <w:right w:w="80" w:type="dxa"/>
            </w:tcMar>
          </w:tcPr>
          <w:p>
            <w:pPr>
              <w:jc w:val="center"/>
            </w:pPr>
            <w:r>
              <w:rPr>
                <w:sz w:val="17"/>
              </w:rPr>
              <w:t>0.0935 +/- 0.0032</w:t>
            </w:r>
          </w:p>
        </w:tc>
        <w:tc>
          <w:tcPr>
            <w:tcW w:type="dxa" w:w="1806"/>
            <w:shd w:fill="FFFFFF"/>
            <w:tcMar>
              <w:top w:w="60" w:type="dxa"/>
              <w:bottom w:w="60" w:type="dxa"/>
              <w:left w:w="80" w:type="dxa"/>
              <w:right w:w="80" w:type="dxa"/>
            </w:tcMar>
          </w:tcPr>
          <w:p>
            <w:pPr>
              <w:jc w:val="center"/>
            </w:pPr>
            <w:r>
              <w:rPr>
                <w:sz w:val="17"/>
              </w:rPr>
              <w:t>0.1230 +/- 0.0030</w:t>
            </w:r>
          </w:p>
        </w:tc>
        <w:tc>
          <w:tcPr>
            <w:tcW w:type="dxa" w:w="1806"/>
            <w:shd w:fill="FFFFFF"/>
            <w:tcMar>
              <w:top w:w="60" w:type="dxa"/>
              <w:bottom w:w="60" w:type="dxa"/>
              <w:left w:w="80" w:type="dxa"/>
              <w:right w:w="80" w:type="dxa"/>
            </w:tcMar>
          </w:tcPr>
          <w:p>
            <w:pPr>
              <w:jc w:val="center"/>
            </w:pPr>
            <w:r>
              <w:rPr>
                <w:sz w:val="17"/>
              </w:rPr>
              <w:t>0.0963 +/- 0.0029</w:t>
            </w:r>
          </w:p>
        </w:tc>
        <w:tc>
          <w:tcPr>
            <w:tcW w:type="dxa" w:w="1806"/>
            <w:shd w:fill="FFFFFF"/>
            <w:tcMar>
              <w:top w:w="60" w:type="dxa"/>
              <w:bottom w:w="60" w:type="dxa"/>
              <w:left w:w="80" w:type="dxa"/>
              <w:right w:w="80" w:type="dxa"/>
            </w:tcMar>
          </w:tcPr>
          <w:p>
            <w:pPr>
              <w:jc w:val="center"/>
            </w:pPr>
            <w:r>
              <w:rPr>
                <w:sz w:val="17"/>
              </w:rPr>
              <w:t>0.0498 +/- 0.0013</w:t>
            </w:r>
          </w:p>
        </w:tc>
      </w:tr>
      <w:tr>
        <w:tc>
          <w:tcPr>
            <w:tcW w:type="dxa" w:w="1806"/>
            <w:shd w:fill="F1F5F9"/>
            <w:tcMar>
              <w:top w:w="60" w:type="dxa"/>
              <w:bottom w:w="60" w:type="dxa"/>
              <w:left w:w="80" w:type="dxa"/>
              <w:right w:w="80" w:type="dxa"/>
            </w:tcMar>
          </w:tcPr>
          <w:p>
            <w:pPr>
              <w:jc w:val="left"/>
            </w:pPr>
            <w:r>
              <w:rPr>
                <w:sz w:val="17"/>
              </w:rPr>
              <w:t>IID-Shuffled FedAvg Control</w:t>
            </w:r>
          </w:p>
        </w:tc>
        <w:tc>
          <w:tcPr>
            <w:tcW w:type="dxa" w:w="1806"/>
            <w:shd w:fill="F1F5F9"/>
            <w:tcMar>
              <w:top w:w="60" w:type="dxa"/>
              <w:bottom w:w="60" w:type="dxa"/>
              <w:left w:w="80" w:type="dxa"/>
              <w:right w:w="80" w:type="dxa"/>
            </w:tcMar>
          </w:tcPr>
          <w:p>
            <w:pPr>
              <w:jc w:val="center"/>
            </w:pPr>
            <w:r>
              <w:rPr>
                <w:sz w:val="17"/>
              </w:rPr>
              <w:t>0.0678 +/- 0.0019</w:t>
            </w:r>
          </w:p>
        </w:tc>
        <w:tc>
          <w:tcPr>
            <w:tcW w:type="dxa" w:w="1806"/>
            <w:shd w:fill="F1F5F9"/>
            <w:tcMar>
              <w:top w:w="60" w:type="dxa"/>
              <w:bottom w:w="60" w:type="dxa"/>
              <w:left w:w="80" w:type="dxa"/>
              <w:right w:w="80" w:type="dxa"/>
            </w:tcMar>
          </w:tcPr>
          <w:p>
            <w:pPr>
              <w:jc w:val="center"/>
            </w:pPr>
            <w:r>
              <w:rPr>
                <w:sz w:val="17"/>
              </w:rPr>
              <w:t>0.0956 +/- 0.0023</w:t>
            </w:r>
          </w:p>
        </w:tc>
        <w:tc>
          <w:tcPr>
            <w:tcW w:type="dxa" w:w="1806"/>
            <w:shd w:fill="F1F5F9"/>
            <w:tcMar>
              <w:top w:w="60" w:type="dxa"/>
              <w:bottom w:w="60" w:type="dxa"/>
              <w:left w:w="80" w:type="dxa"/>
              <w:right w:w="80" w:type="dxa"/>
            </w:tcMar>
          </w:tcPr>
          <w:p>
            <w:pPr>
              <w:jc w:val="center"/>
            </w:pPr>
            <w:r>
              <w:rPr>
                <w:sz w:val="17"/>
              </w:rPr>
              <w:t>0.0711 +/- 0.0019</w:t>
            </w:r>
          </w:p>
        </w:tc>
        <w:tc>
          <w:tcPr>
            <w:tcW w:type="dxa" w:w="1806"/>
            <w:shd w:fill="F1F5F9"/>
            <w:tcMar>
              <w:top w:w="60" w:type="dxa"/>
              <w:bottom w:w="60" w:type="dxa"/>
              <w:left w:w="80" w:type="dxa"/>
              <w:right w:w="80" w:type="dxa"/>
            </w:tcMar>
          </w:tcPr>
          <w:p>
            <w:pPr>
              <w:jc w:val="center"/>
            </w:pPr>
            <w:r>
              <w:rPr>
                <w:sz w:val="17"/>
              </w:rPr>
              <w:t>0.0361 +/- 0.0012</w:t>
            </w:r>
          </w:p>
        </w:tc>
      </w:tr>
      <w:tr>
        <w:tc>
          <w:tcPr>
            <w:tcW w:type="dxa" w:w="1806"/>
            <w:shd w:fill="FFFFFF"/>
            <w:tcMar>
              <w:top w:w="60" w:type="dxa"/>
              <w:bottom w:w="60" w:type="dxa"/>
              <w:left w:w="80" w:type="dxa"/>
              <w:right w:w="80" w:type="dxa"/>
            </w:tcMar>
          </w:tcPr>
          <w:p>
            <w:pPr>
              <w:jc w:val="left"/>
            </w:pPr>
            <w:r>
              <w:rPr>
                <w:sz w:val="17"/>
              </w:rPr>
              <w:t>FedProx (mu = 0.01) [19]</w:t>
            </w:r>
          </w:p>
        </w:tc>
        <w:tc>
          <w:tcPr>
            <w:tcW w:type="dxa" w:w="1806"/>
            <w:shd w:fill="FFFFFF"/>
            <w:tcMar>
              <w:top w:w="60" w:type="dxa"/>
              <w:bottom w:w="60" w:type="dxa"/>
              <w:left w:w="80" w:type="dxa"/>
              <w:right w:w="80" w:type="dxa"/>
            </w:tcMar>
          </w:tcPr>
          <w:p>
            <w:pPr>
              <w:jc w:val="center"/>
            </w:pPr>
            <w:r>
              <w:rPr>
                <w:sz w:val="17"/>
              </w:rPr>
              <w:t>0.1305 +/- 0.0162</w:t>
            </w:r>
          </w:p>
        </w:tc>
        <w:tc>
          <w:tcPr>
            <w:tcW w:type="dxa" w:w="1806"/>
            <w:shd w:fill="FFFFFF"/>
            <w:tcMar>
              <w:top w:w="60" w:type="dxa"/>
              <w:bottom w:w="60" w:type="dxa"/>
              <w:left w:w="80" w:type="dxa"/>
              <w:right w:w="80" w:type="dxa"/>
            </w:tcMar>
          </w:tcPr>
          <w:p>
            <w:pPr>
              <w:jc w:val="center"/>
            </w:pPr>
            <w:r>
              <w:rPr>
                <w:sz w:val="17"/>
              </w:rPr>
              <w:t>0.1607 +/- 0.0157</w:t>
            </w:r>
          </w:p>
        </w:tc>
        <w:tc>
          <w:tcPr>
            <w:tcW w:type="dxa" w:w="1806"/>
            <w:shd w:fill="FFFFFF"/>
            <w:tcMar>
              <w:top w:w="60" w:type="dxa"/>
              <w:bottom w:w="60" w:type="dxa"/>
              <w:left w:w="80" w:type="dxa"/>
              <w:right w:w="80" w:type="dxa"/>
            </w:tcMar>
          </w:tcPr>
          <w:p>
            <w:pPr>
              <w:jc w:val="center"/>
            </w:pPr>
            <w:r>
              <w:rPr>
                <w:sz w:val="17"/>
              </w:rPr>
              <w:t>0.1333 +/- 0.0169</w:t>
            </w:r>
          </w:p>
        </w:tc>
        <w:tc>
          <w:tcPr>
            <w:tcW w:type="dxa" w:w="1806"/>
            <w:shd w:fill="FFFFFF"/>
            <w:tcMar>
              <w:top w:w="60" w:type="dxa"/>
              <w:bottom w:w="60" w:type="dxa"/>
              <w:left w:w="80" w:type="dxa"/>
              <w:right w:w="80" w:type="dxa"/>
            </w:tcMar>
          </w:tcPr>
          <w:p>
            <w:pPr>
              <w:jc w:val="center"/>
            </w:pPr>
            <w:r>
              <w:rPr>
                <w:sz w:val="17"/>
              </w:rPr>
              <w:t>0.0573 +/- 0.0040</w:t>
            </w:r>
          </w:p>
        </w:tc>
      </w:tr>
      <w:tr>
        <w:tc>
          <w:tcPr>
            <w:tcW w:type="dxa" w:w="1806"/>
            <w:shd w:fill="F8FAFC"/>
            <w:tcMar>
              <w:top w:w="60" w:type="dxa"/>
              <w:bottom w:w="60" w:type="dxa"/>
              <w:left w:w="80" w:type="dxa"/>
              <w:right w:w="80" w:type="dxa"/>
            </w:tcMar>
          </w:tcPr>
          <w:p>
            <w:pPr>
              <w:jc w:val="left"/>
            </w:pPr>
            <w:r>
              <w:rPr>
                <w:sz w:val="17"/>
              </w:rPr>
              <w:t>FedPer (Shared Base, Private Head) [21]</w:t>
            </w:r>
          </w:p>
        </w:tc>
        <w:tc>
          <w:tcPr>
            <w:tcW w:type="dxa" w:w="1806"/>
            <w:shd w:fill="F8FAFC"/>
            <w:tcMar>
              <w:top w:w="60" w:type="dxa"/>
              <w:bottom w:w="60" w:type="dxa"/>
              <w:left w:w="80" w:type="dxa"/>
              <w:right w:w="80" w:type="dxa"/>
            </w:tcMar>
          </w:tcPr>
          <w:p>
            <w:pPr>
              <w:jc w:val="center"/>
            </w:pPr>
            <w:r>
              <w:rPr>
                <w:sz w:val="17"/>
              </w:rPr>
              <w:t>0.0775 +/- 0.0012</w:t>
            </w:r>
          </w:p>
        </w:tc>
        <w:tc>
          <w:tcPr>
            <w:tcW w:type="dxa" w:w="1806"/>
            <w:shd w:fill="F8FAFC"/>
            <w:tcMar>
              <w:top w:w="60" w:type="dxa"/>
              <w:bottom w:w="60" w:type="dxa"/>
              <w:left w:w="80" w:type="dxa"/>
              <w:right w:w="80" w:type="dxa"/>
            </w:tcMar>
          </w:tcPr>
          <w:p>
            <w:pPr>
              <w:jc w:val="center"/>
            </w:pPr>
            <w:r>
              <w:rPr>
                <w:sz w:val="17"/>
              </w:rPr>
              <w:t>0.1056 +/- 0.0007</w:t>
            </w:r>
          </w:p>
        </w:tc>
        <w:tc>
          <w:tcPr>
            <w:tcW w:type="dxa" w:w="1806"/>
            <w:shd w:fill="F8FAFC"/>
            <w:tcMar>
              <w:top w:w="60" w:type="dxa"/>
              <w:bottom w:w="60" w:type="dxa"/>
              <w:left w:w="80" w:type="dxa"/>
              <w:right w:w="80" w:type="dxa"/>
            </w:tcMar>
          </w:tcPr>
          <w:p>
            <w:pPr>
              <w:jc w:val="center"/>
            </w:pPr>
            <w:r>
              <w:rPr>
                <w:sz w:val="17"/>
              </w:rPr>
              <w:t>0.0798 +/- 0.0009</w:t>
            </w:r>
          </w:p>
        </w:tc>
        <w:tc>
          <w:tcPr>
            <w:tcW w:type="dxa" w:w="1806"/>
            <w:shd w:fill="F8FAFC"/>
            <w:tcMar>
              <w:top w:w="60" w:type="dxa"/>
              <w:bottom w:w="60" w:type="dxa"/>
              <w:left w:w="80" w:type="dxa"/>
              <w:right w:w="80" w:type="dxa"/>
            </w:tcMar>
          </w:tcPr>
          <w:p>
            <w:pPr>
              <w:jc w:val="center"/>
            </w:pPr>
            <w:r>
              <w:rPr>
                <w:sz w:val="17"/>
              </w:rPr>
              <w:t>0.0379 +/- 0.0007</w:t>
            </w:r>
          </w:p>
        </w:tc>
      </w:tr>
      <w:tr>
        <w:tc>
          <w:tcPr>
            <w:tcW w:type="dxa" w:w="1806"/>
            <w:shd w:fill="F1F5F9"/>
            <w:tcMar>
              <w:top w:w="60" w:type="dxa"/>
              <w:bottom w:w="60" w:type="dxa"/>
              <w:left w:w="80" w:type="dxa"/>
              <w:right w:w="80" w:type="dxa"/>
            </w:tcMar>
          </w:tcPr>
          <w:p>
            <w:pPr>
              <w:jc w:val="left"/>
            </w:pPr>
            <w:r>
              <w:rPr>
                <w:b/>
                <w:sz w:val="17"/>
              </w:rPr>
              <w:t>Personalized FedAvg (Ours)</w:t>
            </w:r>
          </w:p>
        </w:tc>
        <w:tc>
          <w:tcPr>
            <w:tcW w:type="dxa" w:w="1806"/>
            <w:shd w:fill="F1F5F9"/>
            <w:tcMar>
              <w:top w:w="60" w:type="dxa"/>
              <w:bottom w:w="60" w:type="dxa"/>
              <w:left w:w="80" w:type="dxa"/>
              <w:right w:w="80" w:type="dxa"/>
            </w:tcMar>
          </w:tcPr>
          <w:p>
            <w:pPr>
              <w:jc w:val="center"/>
            </w:pPr>
            <w:r>
              <w:rPr>
                <w:b/>
                <w:sz w:val="17"/>
              </w:rPr>
              <w:t>0.0592 +/- 0.0004</w:t>
            </w:r>
          </w:p>
        </w:tc>
        <w:tc>
          <w:tcPr>
            <w:tcW w:type="dxa" w:w="1806"/>
            <w:shd w:fill="F1F5F9"/>
            <w:tcMar>
              <w:top w:w="60" w:type="dxa"/>
              <w:bottom w:w="60" w:type="dxa"/>
              <w:left w:w="80" w:type="dxa"/>
              <w:right w:w="80" w:type="dxa"/>
            </w:tcMar>
          </w:tcPr>
          <w:p>
            <w:pPr>
              <w:jc w:val="center"/>
            </w:pPr>
            <w:r>
              <w:rPr>
                <w:b/>
                <w:sz w:val="17"/>
              </w:rPr>
              <w:t>0.0786 +/- 0.0001</w:t>
            </w:r>
          </w:p>
        </w:tc>
        <w:tc>
          <w:tcPr>
            <w:tcW w:type="dxa" w:w="1806"/>
            <w:shd w:fill="F1F5F9"/>
            <w:tcMar>
              <w:top w:w="60" w:type="dxa"/>
              <w:bottom w:w="60" w:type="dxa"/>
              <w:left w:w="80" w:type="dxa"/>
              <w:right w:w="80" w:type="dxa"/>
            </w:tcMar>
          </w:tcPr>
          <w:p>
            <w:pPr>
              <w:jc w:val="center"/>
            </w:pPr>
            <w:r>
              <w:rPr>
                <w:b/>
                <w:sz w:val="17"/>
              </w:rPr>
              <w:t>0.0612 +/- 0.0001</w:t>
            </w:r>
          </w:p>
        </w:tc>
        <w:tc>
          <w:tcPr>
            <w:tcW w:type="dxa" w:w="1806"/>
            <w:shd w:fill="F1F5F9"/>
            <w:tcMar>
              <w:top w:w="60" w:type="dxa"/>
              <w:bottom w:w="60" w:type="dxa"/>
              <w:left w:w="80" w:type="dxa"/>
              <w:right w:w="80" w:type="dxa"/>
            </w:tcMar>
          </w:tcPr>
          <w:p>
            <w:pPr>
              <w:jc w:val="center"/>
            </w:pPr>
            <w:r>
              <w:rPr>
                <w:b/>
                <w:sz w:val="17"/>
              </w:rPr>
              <w:t>0.0243 +/- 0.0014</w:t>
            </w:r>
          </w:p>
        </w:tc>
      </w:tr>
    </w:tbl>
    <w:p>
      <w:pPr>
        <w:spacing w:before="0" w:after="120" w:line="276" w:lineRule="auto"/>
        <w:jc w:val="both"/>
      </w:pPr>
    </w:p>
    <w:p>
      <w:pPr>
        <w:spacing w:before="0" w:after="100" w:line="276" w:lineRule="auto"/>
        <w:jc w:val="both"/>
      </w:pPr>
      <w:r>
        <w:rPr>
          <w:rFonts w:ascii="Times New Roman" w:hAnsi="Times New Roman"/>
          <w:sz w:val="22"/>
        </w:rPr>
        <w:t>Table 3 delivers definitive empirical insights into the nature of federated learning on IoT streams:</w:t>
      </w:r>
    </w:p>
    <w:p>
      <w:pPr>
        <w:pStyle w:val="ListParagraph"/>
        <w:spacing w:before="40" w:after="40"/>
      </w:pPr>
      <w:r>
        <w:rPr>
          <w:b/>
        </w:rPr>
        <w:t xml:space="preserve">1. Quantitative Separation of Heterogeneity vs. Under-Training: </w:t>
      </w:r>
      <w:r>
        <w:t>Under the IID-shuffled control, where statistical heterogeneity between clients is strictly eliminated, FedAvg achieves a pooled MAE of 0.0678 ± 0.0019. Comparing the non-IID FedAvg error (0.0935) and the centralized Attention-LSTM benchmark (0.0217), the total performance gap is 0.0718. Shuffling data IID reduces the gap by 0.0257 (35.8%), leaving a residual gap of 0.0461 (64.2%). Under our experimental decomposition, this residual deficit is strongly consistent with optimization under-training under communication round constraints, while non-IID client drift accounts for the remaining 35.8%, though definitive causal attribution would require full compute-parity training across extended communication rounds.</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private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0.1007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4-weight local linear autoregressive model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exactly 4 parameters per facility,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experimental decomposition indicates that optimization under-training under communication round constraints is a major contributing factor. Federated clients in an 8-round protocol execute barely ~200 local gradient steps, compared to over 14,000 steps executed by the centralized model. Our IID-shuffled control experiment (Table 3) provides an empirical decomposition of this division under our benchmarking protocol: statistical heterogeneity accounts for 35.8% of the performance deficit, while the remaining 64.2% is an empirical residual deficit strongly consistent with compute constraints and optimization under-training. Local personalization acts as a high-leverage compensation mechanism: by fine-tuning the under-converged global recurrent features on lot-specific data, the model rapidly aligns its output scale to local capacity, recovering 50.6% of the centralized gap.</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federation is justified strictly on institutional data governance, multi-stakeholder commercial confidentiality, and legal privacy grounds. Competing private parking operators (e.g., NCP vs. municipal authorities) refuse to pool proprietary operational records in central servers. Federated learning establishes the essential organizational and legal framework enabling cross-operator predictive coordination without exposing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4 scalar weights (16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4-weight local linear autoregressive model per facility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this degradation is strongly consistent with optimization under-training under communication round constraints (~256 local Adam updates per client versus 14,370 centralized steps) alongside statistical heterogeneity: an IID-shuffled federated control provides an empirical decomposition attributing 35.8% of the performance gap to statistical heterogeneity, with the remaining 64.2% residual deficit being strongly consistent with compute constraints (~256 local Adam updates per client versus 14,370 centralized steps) rather than non-IID collapse.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