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0.0256 (33.4 physical bays), while a 5-parameter local-only linear autoregressive model (4 lag coefficients plus intercept) per facility—requiring zero communication and zero cross-facility data sharing—achieves an MAE of 0.0126 (13.9 bays), outperforming both centralized deep recurrent models (Attention-LSTM MAE: 0.0217; 26.9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0.1006 (126.8 bays) to 0.0607 (73.2 bays),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our experimental decomposition indicates that 35.8% of the performance gap is attributable to statistical heterogeneity, while the remaining 64.2% residual deficit is strongly consistent with optimization under-training under communication round constraints (~256 local Adam steps per client versus 14,370 centralized steps), though definitive causal proof would require exhaustive compute-parity experiments across extended rounds.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Decentralized containment / Multi-operator governance</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experimental decomposition indicates that optimization under-training under communication round constraints is a major contributing factor. Federated clients in an 8-round protocol execute approximately 256 local Adam updates per client, compared to 14,370 optimization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though definitive causal proof would require exhaustive compute-parity experiments across extended rounds.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(though definitive causal proof would require exhaustive compute-parity experiments across extended rounds).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