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44"/>
        </w:rPr>
        <w:t>AGENTICTRIVE</w:t>
      </w:r>
    </w:p>
    <w:p>
      <w:pPr>
        <w:jc w:val="center"/>
      </w:pPr>
      <w:r>
        <w:rPr>
          <w:b/>
          <w:color w:val="0F172A"/>
          <w:sz w:val="32"/>
        </w:rPr>
        <w:t>REFUND &amp; CANCELLATION POLICY</w:t>
      </w:r>
    </w:p>
    <w:p>
      <w:pPr>
        <w:jc w:val="center"/>
      </w:pPr>
      <w:r>
        <w:rPr>
          <w:color w:val="64748B"/>
          <w:sz w:val="20"/>
        </w:rPr>
        <w:t>Effective Date: August 15, 2026 | Service Delivery &amp; Advance Terms</w:t>
      </w:r>
    </w:p>
    <w:p/>
    <w:p>
      <w:r>
        <w:t>This Refund &amp; Cancellation Policy applies to services provided by AgenticTrive Technologies ("AGENTICTRIVE"). Because our services (AI automation, custom web development, workflow integrations) are customized and involve time, planning, and resource allocation from the outset, this policy sets out how cancellations and refunds are handled.</w:t>
      </w:r>
    </w:p>
    <w:p>
      <w:pPr>
        <w:pStyle w:val="Heading2"/>
      </w:pPr>
      <w:r>
        <w:t>1. Advance &amp; Booking Payments</w:t>
      </w:r>
    </w:p>
    <w:p>
      <w:r>
        <w:t>Projects typically begin after receipt of an agreed advance payment (as specified in the SOW/Proposal). This advance covers initial planning, discovery, architecture design, and developer allocation, and is generally non-refundable once work has commenced.</w:t>
      </w:r>
    </w:p>
    <w:p>
      <w:pPr>
        <w:pStyle w:val="Heading2"/>
      </w:pPr>
      <w:r>
        <w:t>2. Cancellation by the Client</w:t>
      </w:r>
    </w:p>
    <w:p>
      <w:r>
        <w:t>• Before work begins: If cancelled before any design, code, or planning starts, advance is refundable after deducting costs incurred (e.g., domain purchases, gateway fees).</w:t>
        <w:br/>
        <w:t>• After work has begun: Completed work will be invoiced on a milestone/pro-rata basis, and remaining unearned advance (if any) refunded.</w:t>
        <w:br/>
        <w:t>• Retainers/Ongoing Services: Requires written notice as specified in SOW (15–30 days). Fees for current billing cycles are non-refundable.</w:t>
      </w:r>
    </w:p>
    <w:p>
      <w:pPr>
        <w:pStyle w:val="Heading2"/>
      </w:pPr>
      <w:r>
        <w:t>3. Cancellation by AGENTICTRIVE</w:t>
      </w:r>
    </w:p>
    <w:p>
      <w:r>
        <w:t>If we are unable to continue or deliver a project due to reasons within our control, we will refund the unused/undelivered portion of any advance payment.</w:t>
      </w:r>
    </w:p>
    <w:p>
      <w:pPr>
        <w:pStyle w:val="Heading2"/>
      </w:pPr>
      <w:r>
        <w:t>4. Non-Refundable Items</w:t>
      </w:r>
    </w:p>
    <w:p>
      <w:r>
        <w:t>• Domain name registrations, hosting fees, SSL certificates</w:t>
      </w:r>
    </w:p>
    <w:p>
      <w:r>
        <w:t>• Third-party software subscriptions or WhatsApp API setup fees</w:t>
      </w:r>
    </w:p>
    <w:p>
      <w:r>
        <w:t>• Work/hours already completed and accepted</w:t>
      </w:r>
    </w:p>
    <w:p>
      <w:r>
        <w:t>• Paid AI Audits or completed consultation sessions</w:t>
      </w:r>
    </w:p>
    <w:p>
      <w:pPr>
        <w:pStyle w:val="Heading2"/>
      </w:pPr>
      <w:r>
        <w:t>5. Revisions vs. Refunds</w:t>
      </w:r>
    </w:p>
    <w:p>
      <w:r>
        <w:t>Minor revisions within the agreed scope are handled as part of project delivery, not grounds for refund. Refund requests based on dissatisfaction will first be addressed through revisions per agreed SOW criteria.</w:t>
      </w:r>
    </w:p>
    <w:p>
      <w:pPr>
        <w:pStyle w:val="Heading2"/>
      </w:pPr>
      <w:r>
        <w:t>6. How to Request Cancellation or Refund</w:t>
      </w:r>
    </w:p>
    <w:p>
      <w:r>
        <w:t>To request cancellation or refund, email deveshmunagala23@gmail.com with your project/invoice details. We will review the request against the signed SOW/MSA and respond within 10 business days.</w:t>
      </w:r>
    </w:p>
    <w:p>
      <w:pPr>
        <w:pStyle w:val="Heading2"/>
      </w:pPr>
      <w:r>
        <w:t>7. Governing Law</w:t>
      </w:r>
    </w:p>
    <w:p>
      <w:r>
        <w:t>This Policy is governed by the laws of India. Any disputes will be subject to the exclusive jurisdiction of courts at Tirupati, Andhra Pradesh.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