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br w:type="textWrapping"/>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36"/>
          <w:szCs w:val="36"/>
          <w:rtl w:val="0"/>
        </w:rPr>
        <w:t xml:space="preserve">DPR APPRAISAL AUTOMATION SYSTEM</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8"/>
          <w:szCs w:val="28"/>
          <w:rtl w:val="0"/>
        </w:rPr>
        <w:t xml:space="preserve">Technical Design Document (Cloud Approach)</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color w:val="000000"/>
          <w:sz w:val="30"/>
          <w:szCs w:val="30"/>
        </w:rPr>
      </w:pPr>
      <w:r w:rsidDel="00000000" w:rsidR="00000000" w:rsidRPr="00000000">
        <w:rPr>
          <w:color w:val="000000"/>
          <w:sz w:val="30"/>
          <w:szCs w:val="30"/>
          <w:rtl w:val="0"/>
        </w:rPr>
        <w:t xml:space="preserve">Table of Content</w:t>
      </w:r>
    </w:p>
    <w:sdt>
      <w:sdtPr>
        <w:id w:val="1032424070"/>
        <w:docPartObj>
          <w:docPartGallery w:val="Table of Contents"/>
          <w:docPartUnique w:val="1"/>
        </w:docPartObj>
      </w:sdtPr>
      <w:sdtContent>
        <w:p w:rsidR="00000000" w:rsidDel="00000000" w:rsidP="00000000" w:rsidRDefault="00000000" w:rsidRPr="00000000" w14:paraId="0000000A">
          <w:pPr>
            <w:widowControl w:val="0"/>
            <w:tabs>
              <w:tab w:val="right" w:leader="none"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Introduction and Context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Current Appraisal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Challenges in Current Process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Solution 1: POC - Intelligent Query Assistant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Technical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Query Processing Workflow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Technical Components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Cloud-Based Production System Architecture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8640"/>
            </w:tabs>
            <w:spacing w:after="0" w:before="60" w:line="240" w:lineRule="auto"/>
            <w:ind w:left="360" w:firstLine="0"/>
            <w:rPr>
              <w:color w:val="000000"/>
              <w:u w:val="none"/>
            </w:rPr>
          </w:pPr>
          <w:hyperlink w:anchor="_heading=h.mkb759zdvnka">
            <w:r w:rsidDel="00000000" w:rsidR="00000000" w:rsidRPr="00000000">
              <w:rPr>
                <w:color w:val="000000"/>
                <w:u w:val="none"/>
                <w:rtl w:val="0"/>
              </w:rPr>
              <w:t xml:space="preserve">3.1 Overview</w:t>
              <w:tab/>
            </w:r>
          </w:hyperlink>
          <w:r w:rsidDel="00000000" w:rsidR="00000000" w:rsidRPr="00000000">
            <w:fldChar w:fldCharType="begin"/>
            <w:instrText xml:space="preserve"> PAGEREF _heading=h.mkb759zdvnka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System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Multi-Agent Processing Workflow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8640"/>
            </w:tabs>
            <w:spacing w:after="0" w:before="60" w:line="240" w:lineRule="auto"/>
            <w:ind w:left="360" w:firstLine="0"/>
            <w:rPr>
              <w:color w:val="000000"/>
              <w:u w:val="none"/>
            </w:rPr>
          </w:pPr>
          <w:hyperlink w:anchor="_heading=h.2sruwnowxcq">
            <w:r w:rsidDel="00000000" w:rsidR="00000000" w:rsidRPr="00000000">
              <w:rPr>
                <w:color w:val="000000"/>
                <w:u w:val="none"/>
                <w:rtl w:val="0"/>
              </w:rPr>
              <w:t xml:space="preserve">3.4 Agent Specializations (Indicative)</w:t>
              <w:tab/>
            </w:r>
          </w:hyperlink>
          <w:r w:rsidDel="00000000" w:rsidR="00000000" w:rsidRPr="00000000">
            <w:fldChar w:fldCharType="begin"/>
            <w:instrText xml:space="preserve"> PAGEREF _heading=h.2sruwnowxcq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3.5 Technical Components and Services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3.5.1 AWS-Based Implementation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640"/>
            </w:tabs>
            <w:spacing w:after="0" w:before="60" w:line="240" w:lineRule="auto"/>
            <w:ind w:left="360" w:firstLine="0"/>
            <w:rPr>
              <w:color w:val="000000"/>
              <w:u w:val="none"/>
            </w:rPr>
          </w:pPr>
          <w:hyperlink w:anchor="_heading=h.fjyxbmece8sz">
            <w:r w:rsidDel="00000000" w:rsidR="00000000" w:rsidRPr="00000000">
              <w:rPr>
                <w:color w:val="000000"/>
                <w:u w:val="none"/>
                <w:rtl w:val="0"/>
              </w:rPr>
              <w:t xml:space="preserve">3.5.2 Google Cloud-Based Implementation</w:t>
              <w:tab/>
            </w:r>
          </w:hyperlink>
          <w:r w:rsidDel="00000000" w:rsidR="00000000" w:rsidRPr="00000000">
            <w:fldChar w:fldCharType="begin"/>
            <w:instrText xml:space="preserve"> PAGEREF _heading=h.fjyxbmece8sz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Deployment Architecture and Scalability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High-Availability Design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640"/>
            </w:tabs>
            <w:spacing w:after="0" w:before="60" w:line="240" w:lineRule="auto"/>
            <w:ind w:left="360" w:firstLine="0"/>
            <w:rPr>
              <w:color w:val="000000"/>
              <w:u w:val="none"/>
            </w:rPr>
          </w:pPr>
          <w:hyperlink w:anchor="_heading=h.rkfqxef9szww">
            <w:r w:rsidDel="00000000" w:rsidR="00000000" w:rsidRPr="00000000">
              <w:rPr>
                <w:color w:val="000000"/>
                <w:u w:val="none"/>
                <w:rtl w:val="0"/>
              </w:rPr>
              <w:t xml:space="preserve">4.2 Scalability Model</w:t>
              <w:tab/>
            </w:r>
          </w:hyperlink>
          <w:r w:rsidDel="00000000" w:rsidR="00000000" w:rsidRPr="00000000">
            <w:fldChar w:fldCharType="begin"/>
            <w:instrText xml:space="preserve"> PAGEREF _heading=h.rkfqxef9szww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640"/>
            </w:tabs>
            <w:spacing w:after="0" w:before="60" w:line="240" w:lineRule="auto"/>
            <w:rPr>
              <w:b w:val="1"/>
              <w:bCs w:val="1"/>
              <w:color w:val="000000"/>
              <w:u w:val="none"/>
            </w:rPr>
          </w:pPr>
          <w:hyperlink w:anchor="_heading=h.bnr2vyp5lmkc">
            <w:r w:rsidDel="00000000" w:rsidR="00000000" w:rsidRPr="00000000">
              <w:rPr>
                <w:b w:val="1"/>
                <w:bCs w:val="1"/>
                <w:color w:val="000000"/>
                <w:u w:val="none"/>
                <w:rtl w:val="0"/>
              </w:rPr>
              <w:t xml:space="preserve">5. Conclusion</w:t>
              <w:tab/>
            </w:r>
          </w:hyperlink>
          <w:r w:rsidDel="00000000" w:rsidR="00000000" w:rsidRPr="00000000">
            <w:fldChar w:fldCharType="begin"/>
            <w:instrText xml:space="preserve"> PAGEREF _heading=h.bnr2vyp5lmkc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sz w:val="34"/>
          <w:szCs w:val="34"/>
        </w:rPr>
      </w:pPr>
      <w:r w:rsidDel="00000000" w:rsidR="00000000" w:rsidRPr="00000000">
        <w:rPr>
          <w:color w:val="000000"/>
          <w:sz w:val="34"/>
          <w:szCs w:val="34"/>
          <w:rtl w:val="0"/>
        </w:rPr>
        <w:t xml:space="preserve">Executive Summary</w:t>
      </w:r>
    </w:p>
    <w:p w:rsidR="00000000" w:rsidDel="00000000" w:rsidP="00000000" w:rsidRDefault="00000000" w:rsidRPr="00000000" w14:paraId="00000022">
      <w:pPr>
        <w:spacing w:after="240" w:before="240" w:lineRule="auto"/>
        <w:rPr/>
      </w:pPr>
      <w:r w:rsidDel="00000000" w:rsidR="00000000" w:rsidRPr="00000000">
        <w:rPr>
          <w:rtl w:val="0"/>
        </w:rPr>
        <w:t xml:space="preserve">The Department of Expenditure (DoE) currently processes project appraisals through a multi-stage manual review process, involving assessment of project proposals against established guidelines, fiscal norms, and inter-ministerial consultations. This process, while thorough, is time-intensive and requires Subject Officers (SOs) to navigate extensive documentation including General Financial Rules (GFR), Detailed Financial Procedures and Rules (DFPR), Office Memorandums (OMs), and historical appraisal records.</w:t>
      </w:r>
    </w:p>
    <w:p w:rsidR="00000000" w:rsidDel="00000000" w:rsidP="00000000" w:rsidRDefault="00000000" w:rsidRPr="00000000" w14:paraId="00000023">
      <w:pPr>
        <w:spacing w:after="240" w:before="240" w:lineRule="auto"/>
        <w:rPr/>
      </w:pPr>
      <w:r w:rsidDel="00000000" w:rsidR="00000000" w:rsidRPr="00000000">
        <w:rPr>
          <w:rtl w:val="0"/>
        </w:rPr>
        <w:t xml:space="preserve">To enhance efficiency and decision-making capability, this document presents a phased automation approach:</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Phase 1: Proof of Concept (POC) - Intelligent Query Assistant</w:t>
      </w:r>
    </w:p>
    <w:p w:rsidR="00000000" w:rsidDel="00000000" w:rsidP="00000000" w:rsidRDefault="00000000" w:rsidRPr="00000000" w14:paraId="00000025">
      <w:pPr>
        <w:spacing w:after="240" w:before="240" w:lineRule="auto"/>
        <w:rPr/>
      </w:pPr>
      <w:r w:rsidDel="00000000" w:rsidR="00000000" w:rsidRPr="00000000">
        <w:rPr>
          <w:rtl w:val="0"/>
        </w:rPr>
        <w:t xml:space="preserve">The initial phase focuses on creating an AI-powered query assistant leveraging cloud-based AI services with publicly available appraisal guidelines and policy documents. This POC system enables SOs to obtain instant clarifications on appraisal procedures, financial norms, and policy interpretations without processing confidential project documents. The system utilizes a curated knowledge repository of public documents, including GFR, DFPR, standard templates, published OMs, and appraisal/approval guidelines to provide contextual responses to officer queries.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Phase 2: Cloud-Based Production System - Automated DPR Appraisal Platform</w:t>
      </w:r>
    </w:p>
    <w:p w:rsidR="00000000" w:rsidDel="00000000" w:rsidP="00000000" w:rsidRDefault="00000000" w:rsidRPr="00000000" w14:paraId="00000027">
      <w:pPr>
        <w:spacing w:after="240" w:before="240" w:lineRule="auto"/>
        <w:rPr/>
      </w:pPr>
      <w:r w:rsidDel="00000000" w:rsidR="00000000" w:rsidRPr="00000000">
        <w:rPr>
          <w:rtl w:val="0"/>
        </w:rPr>
        <w:t xml:space="preserve">The production system implements a cloud-native multi-agent architecture using enterprise AI services (AWS Bedrock or Google Vertex AI) to process confidential DPR documents. This system automates assessment across all appraisal dimensions—need analysis, cost scrutiny, implementation feasibility, and inter-ministerial coordination—while maintaining data security through VPC isolation, encryption, and comprehensive access controls. The cloud deployment provides rapid scaling, managed infrastructure, and consumption-based economics while ensuring regulatory compliance and data residency within designated Indian cloud regions.</w:t>
      </w:r>
    </w:p>
    <w:p w:rsidR="00000000" w:rsidDel="00000000" w:rsidP="00000000" w:rsidRDefault="00000000" w:rsidRPr="00000000" w14:paraId="00000028">
      <w:pPr>
        <w:spacing w:after="240" w:before="240" w:lineRule="auto"/>
        <w:rPr/>
      </w:pPr>
      <w:r w:rsidDel="00000000" w:rsidR="00000000" w:rsidRPr="00000000">
        <w:rPr>
          <w:rtl w:val="0"/>
        </w:rPr>
        <w:t xml:space="preserve">Both phases leverage a structured knowledge repository architecture that organizes reference materials into specialized vaults, enabling precise retrieval and context-aware responses. This document provides detailed technical specifications, architecture diagrams, implementation workflows, and deployment considerations for both solutions.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color w:val="000000"/>
        </w:rPr>
      </w:pPr>
      <w:r w:rsidDel="00000000" w:rsidR="00000000" w:rsidRPr="00000000">
        <w:rPr>
          <w:color w:val="000000"/>
          <w:rtl w:val="0"/>
        </w:rPr>
        <w:t xml:space="preserve">1. Introduction and Context</w:t>
      </w:r>
    </w:p>
    <w:p w:rsidR="00000000" w:rsidDel="00000000" w:rsidP="00000000" w:rsidRDefault="00000000" w:rsidRPr="00000000" w14:paraId="0000002C">
      <w:pPr>
        <w:pStyle w:val="Heading2"/>
        <w:rPr>
          <w:color w:val="000000"/>
        </w:rPr>
      </w:pPr>
      <w:r w:rsidDel="00000000" w:rsidR="00000000" w:rsidRPr="00000000">
        <w:rPr>
          <w:color w:val="000000"/>
          <w:rtl w:val="0"/>
        </w:rPr>
        <w:t xml:space="preserve">1.1 Current Appraisal Process</w:t>
      </w:r>
    </w:p>
    <w:p w:rsidR="00000000" w:rsidDel="00000000" w:rsidP="00000000" w:rsidRDefault="00000000" w:rsidRPr="00000000" w14:paraId="0000002D">
      <w:pPr>
        <w:rPr/>
      </w:pPr>
      <w:r w:rsidDel="00000000" w:rsidR="00000000" w:rsidRPr="00000000">
        <w:rPr>
          <w:rtl w:val="0"/>
        </w:rPr>
        <w:t xml:space="preserve">The Department of Expenditure follows a structured appraisal workflow for project proposals:</w:t>
      </w:r>
    </w:p>
    <w:p w:rsidR="00000000" w:rsidDel="00000000" w:rsidP="00000000" w:rsidRDefault="00000000" w:rsidRPr="00000000" w14:paraId="0000002E">
      <w:pPr>
        <w:jc w:val="center"/>
        <w:rPr/>
      </w:pPr>
      <w:r w:rsidDel="00000000" w:rsidR="00000000" w:rsidRPr="00000000">
        <w:rPr>
          <w:b w:val="1"/>
          <w:bCs w:val="1"/>
          <w:i w:val="1"/>
          <w:iCs w:val="1"/>
          <w:rtl w:val="0"/>
        </w:rPr>
        <w:t xml:space="preserve">Figure 1: Current DPR Appraisal Workflow</w:t>
      </w:r>
      <w:r w:rsidDel="00000000" w:rsidR="00000000" w:rsidRPr="00000000">
        <w:rPr>
          <w:rtl w:val="0"/>
        </w:rPr>
      </w:r>
    </w:p>
    <w:tbl>
      <w:tblPr>
        <w:tblStyle w:val="Table1"/>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2F">
            <w:pPr>
              <w:jc w:val="center"/>
              <w:rPr/>
            </w:pPr>
            <w:r w:rsidDel="00000000" w:rsidR="00000000" w:rsidRPr="00000000">
              <w:rPr>
                <w:b w:val="1"/>
                <w:bCs w:val="1"/>
                <w:sz w:val="22"/>
                <w:szCs w:val="22"/>
                <w:rtl w:val="0"/>
              </w:rPr>
              <w:t xml:space="preserve">Ministry prepares Concept Note / DP</w:t>
            </w:r>
            <w:r w:rsidDel="00000000" w:rsidR="00000000" w:rsidRPr="00000000">
              <w:rPr>
                <w:b w:val="1"/>
                <w:bCs w:val="1"/>
                <w:rtl w:val="0"/>
              </w:rPr>
              <w:t xml:space="preserve">R</w:t>
            </w:r>
            <w:r w:rsidDel="00000000" w:rsidR="00000000" w:rsidRPr="00000000">
              <w:rPr>
                <w:rtl w:val="0"/>
              </w:rPr>
            </w:r>
          </w:p>
        </w:tc>
      </w:tr>
    </w:tbl>
    <w:p w:rsidR="00000000" w:rsidDel="00000000" w:rsidP="00000000" w:rsidRDefault="00000000" w:rsidRPr="00000000" w14:paraId="00000030">
      <w:pPr>
        <w:jc w:val="center"/>
        <w:rPr/>
      </w:pPr>
      <w:sdt>
        <w:sdtPr>
          <w:id w:val="-1703122658"/>
          <w:tag w:val="goog_rdk_0"/>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2"/>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31">
            <w:pPr>
              <w:jc w:val="center"/>
              <w:rPr/>
            </w:pPr>
            <w:r w:rsidDel="00000000" w:rsidR="00000000" w:rsidRPr="00000000">
              <w:rPr>
                <w:b w:val="1"/>
                <w:bCs w:val="1"/>
                <w:sz w:val="22"/>
                <w:szCs w:val="22"/>
                <w:rtl w:val="0"/>
              </w:rPr>
              <w:t xml:space="preserve">Submission to Department of Expenditure</w:t>
            </w:r>
            <w:r w:rsidDel="00000000" w:rsidR="00000000" w:rsidRPr="00000000">
              <w:rPr>
                <w:rtl w:val="0"/>
              </w:rPr>
            </w:r>
          </w:p>
        </w:tc>
      </w:tr>
    </w:tbl>
    <w:p w:rsidR="00000000" w:rsidDel="00000000" w:rsidP="00000000" w:rsidRDefault="00000000" w:rsidRPr="00000000" w14:paraId="00000032">
      <w:pPr>
        <w:jc w:val="center"/>
        <w:rPr/>
      </w:pPr>
      <w:sdt>
        <w:sdtPr>
          <w:id w:val="971402325"/>
          <w:tag w:val="goog_rdk_1"/>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3"/>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Pr>
          <w:p w:rsidR="00000000" w:rsidDel="00000000" w:rsidP="00000000" w:rsidRDefault="00000000" w:rsidRPr="00000000" w14:paraId="00000033">
            <w:pPr>
              <w:jc w:val="center"/>
              <w:rPr/>
            </w:pPr>
            <w:r w:rsidDel="00000000" w:rsidR="00000000" w:rsidRPr="00000000">
              <w:rPr>
                <w:b w:val="1"/>
                <w:bCs w:val="1"/>
                <w:sz w:val="22"/>
                <w:szCs w:val="22"/>
                <w:rtl w:val="0"/>
              </w:rPr>
              <w:t xml:space="preserve">Preliminary Check by DoE</w:t>
              <w:br w:type="textWrapping"/>
              <w:t xml:space="preserve">(Completeness, Format, In-principle Approval)</w:t>
            </w:r>
            <w:r w:rsidDel="00000000" w:rsidR="00000000" w:rsidRPr="00000000">
              <w:rPr>
                <w:rtl w:val="0"/>
              </w:rPr>
            </w:r>
          </w:p>
        </w:tc>
      </w:tr>
    </w:tbl>
    <w:p w:rsidR="00000000" w:rsidDel="00000000" w:rsidP="00000000" w:rsidRDefault="00000000" w:rsidRPr="00000000" w14:paraId="00000034">
      <w:pPr>
        <w:jc w:val="center"/>
        <w:rPr/>
      </w:pPr>
      <w:sdt>
        <w:sdtPr>
          <w:id w:val="-966024345"/>
          <w:tag w:val="goog_rdk_2"/>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6.9269949066213"/>
        <w:gridCol w:w="1745.6027164685909"/>
        <w:gridCol w:w="1657.5891341256365"/>
        <w:gridCol w:w="1804.2784380305602"/>
        <w:gridCol w:w="1745.6027164685909"/>
        <w:tblGridChange w:id="0">
          <w:tblGrid>
            <w:gridCol w:w="1686.9269949066213"/>
            <w:gridCol w:w="1745.6027164685909"/>
            <w:gridCol w:w="1657.5891341256365"/>
            <w:gridCol w:w="1804.2784380305602"/>
            <w:gridCol w:w="1745.6027164685909"/>
          </w:tblGrid>
        </w:tblGridChange>
      </w:tblGrid>
      <w:tr>
        <w:trPr>
          <w:cantSplit w:val="0"/>
          <w:trHeight w:val="300" w:hRule="atLeast"/>
          <w:tblHeader w:val="0"/>
        </w:trPr>
        <w:tc>
          <w:tcPr>
            <w:gridSpan w:val="5"/>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Multi-Dimensional Appraisal</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Need &amp;</w:t>
              <w:br w:type="textWrapping"/>
              <w:t xml:space="preserve"> Relevance</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Outcome &amp;</w:t>
              <w:br w:type="textWrapping"/>
              <w:t xml:space="preserve"> Performance</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Cost &amp; Fiscal</w:t>
              <w:br w:type="textWrapping"/>
              <w:t xml:space="preserve"> Scrutiny</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Implementation</w:t>
              <w:br w:type="textWrapping"/>
              <w:t xml:space="preserve"> &amp; Risk</w:t>
            </w:r>
          </w:p>
        </w:tc>
        <w:tc>
          <w:tcPr>
            <w:tcBorders>
              <w:top w:color="000000" w:space="0" w:sz="0" w:val="nil"/>
              <w:left w:color="000000" w:space="0" w:sz="0" w:val="nil"/>
              <w:bottom w:color="000000" w:space="0" w:sz="8" w:val="single"/>
              <w:right w:color="000000" w:space="0" w:sz="8" w:val="single"/>
            </w:tcBorders>
            <w:shd w:fill="4472c4" w:val="clear"/>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Inter-Ministerial</w:t>
              <w:br w:type="textWrapping"/>
              <w:t xml:space="preserve"> Consultation</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2e5c8a"/>
        </w:rPr>
      </w:pPr>
      <w:r w:rsidDel="00000000" w:rsidR="00000000" w:rsidRPr="00000000">
        <w:rPr>
          <w:rtl w:val="0"/>
        </w:rPr>
      </w:r>
    </w:p>
    <w:p w:rsidR="00000000" w:rsidDel="00000000" w:rsidP="00000000" w:rsidRDefault="00000000" w:rsidRPr="00000000" w14:paraId="00000041">
      <w:pPr>
        <w:pStyle w:val="Heading2"/>
        <w:rPr>
          <w:color w:val="000000"/>
        </w:rPr>
      </w:pPr>
      <w:r w:rsidDel="00000000" w:rsidR="00000000" w:rsidRPr="00000000">
        <w:rPr>
          <w:color w:val="000000"/>
          <w:rtl w:val="0"/>
        </w:rPr>
        <w:t xml:space="preserve">1.2 Challenges in Current Process</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42">
            <w:pPr>
              <w:rPr/>
            </w:pPr>
            <w:r w:rsidDel="00000000" w:rsidR="00000000" w:rsidRPr="00000000">
              <w:rPr>
                <w:b w:val="1"/>
                <w:bCs w:val="1"/>
                <w:color w:val="ffffff"/>
                <w:rtl w:val="0"/>
              </w:rPr>
              <w:t xml:space="preserve">Challenge</w:t>
            </w:r>
            <w:r w:rsidDel="00000000" w:rsidR="00000000" w:rsidRPr="00000000">
              <w:rPr>
                <w:rtl w:val="0"/>
              </w:rPr>
            </w:r>
          </w:p>
        </w:tc>
        <w:tc>
          <w:tcPr>
            <w:shd w:fill="4472c4" w:val="clear"/>
          </w:tcPr>
          <w:p w:rsidR="00000000" w:rsidDel="00000000" w:rsidP="00000000" w:rsidRDefault="00000000" w:rsidRPr="00000000" w14:paraId="00000043">
            <w:pPr>
              <w:rPr/>
            </w:pPr>
            <w:r w:rsidDel="00000000" w:rsidR="00000000" w:rsidRPr="00000000">
              <w:rPr>
                <w:b w:val="1"/>
                <w:bCs w:val="1"/>
                <w:color w:val="ffffff"/>
                <w:rtl w:val="0"/>
              </w:rPr>
              <w:t xml:space="preserve">Impact</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44">
            <w:pPr>
              <w:rPr/>
            </w:pPr>
            <w:r w:rsidDel="00000000" w:rsidR="00000000" w:rsidRPr="00000000">
              <w:rPr>
                <w:b w:val="1"/>
                <w:bCs w:val="1"/>
                <w:rtl w:val="0"/>
              </w:rPr>
              <w:t xml:space="preserve">Information Retrieval</w:t>
            </w:r>
            <w:r w:rsidDel="00000000" w:rsidR="00000000" w:rsidRPr="00000000">
              <w:rPr>
                <w:rtl w:val="0"/>
              </w:rPr>
            </w:r>
          </w:p>
        </w:tc>
        <w:tc>
          <w:tcPr>
            <w:shd w:fill="d5e8f0" w:val="clear"/>
          </w:tcPr>
          <w:p w:rsidR="00000000" w:rsidDel="00000000" w:rsidP="00000000" w:rsidRDefault="00000000" w:rsidRPr="00000000" w14:paraId="00000045">
            <w:pPr>
              <w:rPr/>
            </w:pPr>
            <w:r w:rsidDel="00000000" w:rsidR="00000000" w:rsidRPr="00000000">
              <w:rPr>
                <w:rtl w:val="0"/>
              </w:rPr>
              <w:t xml:space="preserve">Subject Officers must manually search through extensive documentation (GFR, DFPR, OMs) to locate relevant guidelines</w:t>
            </w:r>
          </w:p>
        </w:tc>
      </w:tr>
      <w:tr>
        <w:trPr>
          <w:cantSplit w:val="0"/>
          <w:tblHeader w:val="0"/>
        </w:trPr>
        <w:tc>
          <w:tcPr>
            <w:shd w:fill="d5e8f0" w:val="clear"/>
          </w:tcPr>
          <w:p w:rsidR="00000000" w:rsidDel="00000000" w:rsidP="00000000" w:rsidRDefault="00000000" w:rsidRPr="00000000" w14:paraId="00000046">
            <w:pPr>
              <w:rPr/>
            </w:pPr>
            <w:r w:rsidDel="00000000" w:rsidR="00000000" w:rsidRPr="00000000">
              <w:rPr>
                <w:b w:val="1"/>
                <w:bCs w:val="1"/>
                <w:rtl w:val="0"/>
              </w:rPr>
              <w:t xml:space="preserve">Processing Time</w:t>
            </w:r>
            <w:r w:rsidDel="00000000" w:rsidR="00000000" w:rsidRPr="00000000">
              <w:rPr>
                <w:rtl w:val="0"/>
              </w:rPr>
            </w:r>
          </w:p>
        </w:tc>
        <w:tc>
          <w:tcPr>
            <w:shd w:fill="d5e8f0" w:val="clear"/>
          </w:tcPr>
          <w:p w:rsidR="00000000" w:rsidDel="00000000" w:rsidP="00000000" w:rsidRDefault="00000000" w:rsidRPr="00000000" w14:paraId="00000047">
            <w:pPr>
              <w:rPr/>
            </w:pPr>
            <w:r w:rsidDel="00000000" w:rsidR="00000000" w:rsidRPr="00000000">
              <w:rPr>
                <w:rtl w:val="0"/>
              </w:rPr>
              <w:t xml:space="preserve">Multi-dimensional assessment across five parameters requires significant time per proposal</w:t>
            </w:r>
          </w:p>
        </w:tc>
      </w:tr>
      <w:tr>
        <w:trPr>
          <w:cantSplit w:val="0"/>
          <w:tblHeader w:val="0"/>
        </w:trPr>
        <w:tc>
          <w:tcPr>
            <w:shd w:fill="d5e8f0" w:val="clear"/>
          </w:tcPr>
          <w:p w:rsidR="00000000" w:rsidDel="00000000" w:rsidP="00000000" w:rsidRDefault="00000000" w:rsidRPr="00000000" w14:paraId="00000048">
            <w:pPr>
              <w:rPr/>
            </w:pPr>
            <w:r w:rsidDel="00000000" w:rsidR="00000000" w:rsidRPr="00000000">
              <w:rPr>
                <w:b w:val="1"/>
                <w:bCs w:val="1"/>
                <w:rtl w:val="0"/>
              </w:rPr>
              <w:t xml:space="preserve">Consistency</w:t>
            </w:r>
            <w:r w:rsidDel="00000000" w:rsidR="00000000" w:rsidRPr="00000000">
              <w:rPr>
                <w:rtl w:val="0"/>
              </w:rPr>
            </w:r>
          </w:p>
        </w:tc>
        <w:tc>
          <w:tcPr>
            <w:shd w:fill="d5e8f0" w:val="clear"/>
          </w:tcPr>
          <w:p w:rsidR="00000000" w:rsidDel="00000000" w:rsidP="00000000" w:rsidRDefault="00000000" w:rsidRPr="00000000" w14:paraId="00000049">
            <w:pPr>
              <w:rPr/>
            </w:pPr>
            <w:r w:rsidDel="00000000" w:rsidR="00000000" w:rsidRPr="00000000">
              <w:rPr>
                <w:rtl w:val="0"/>
              </w:rPr>
              <w:t xml:space="preserve">Varying interpretation of guidelines across different appraisals and officers</w:t>
            </w:r>
          </w:p>
        </w:tc>
      </w:tr>
      <w:tr>
        <w:trPr>
          <w:cantSplit w:val="0"/>
          <w:tblHeader w:val="0"/>
        </w:trPr>
        <w:tc>
          <w:tcPr>
            <w:shd w:fill="d5e8f0" w:val="clear"/>
          </w:tcPr>
          <w:p w:rsidR="00000000" w:rsidDel="00000000" w:rsidP="00000000" w:rsidRDefault="00000000" w:rsidRPr="00000000" w14:paraId="0000004A">
            <w:pPr>
              <w:rPr/>
            </w:pPr>
            <w:r w:rsidDel="00000000" w:rsidR="00000000" w:rsidRPr="00000000">
              <w:rPr>
                <w:b w:val="1"/>
                <w:bCs w:val="1"/>
                <w:rtl w:val="0"/>
              </w:rPr>
              <w:t xml:space="preserve">Knowledge Management</w:t>
            </w:r>
            <w:r w:rsidDel="00000000" w:rsidR="00000000" w:rsidRPr="00000000">
              <w:rPr>
                <w:rtl w:val="0"/>
              </w:rPr>
            </w:r>
          </w:p>
        </w:tc>
        <w:tc>
          <w:tcPr>
            <w:shd w:fill="d5e8f0" w:val="clear"/>
          </w:tcPr>
          <w:p w:rsidR="00000000" w:rsidDel="00000000" w:rsidP="00000000" w:rsidRDefault="00000000" w:rsidRPr="00000000" w14:paraId="0000004B">
            <w:pPr>
              <w:rPr/>
            </w:pPr>
            <w:r w:rsidDel="00000000" w:rsidR="00000000" w:rsidRPr="00000000">
              <w:rPr>
                <w:rtl w:val="0"/>
              </w:rPr>
              <w:t xml:space="preserve">Historical appraisal decisions and institutional knowledge not systematically captured or accessible</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color w:val="000000"/>
        </w:rPr>
      </w:pPr>
      <w:r w:rsidDel="00000000" w:rsidR="00000000" w:rsidRPr="00000000">
        <w:rPr>
          <w:color w:val="000000"/>
          <w:rtl w:val="0"/>
        </w:rPr>
        <w:t xml:space="preserve">2. Solution 1: POC - Intelligent Query Assistant</w:t>
      </w:r>
    </w:p>
    <w:p w:rsidR="00000000" w:rsidDel="00000000" w:rsidP="00000000" w:rsidRDefault="00000000" w:rsidRPr="00000000" w14:paraId="0000004F">
      <w:pPr>
        <w:pStyle w:val="Heading2"/>
        <w:rPr>
          <w:color w:val="000000"/>
        </w:rPr>
      </w:pPr>
      <w:r w:rsidDel="00000000" w:rsidR="00000000" w:rsidRPr="00000000">
        <w:rPr>
          <w:color w:val="000000"/>
          <w:rtl w:val="0"/>
        </w:rPr>
        <w:t xml:space="preserve">2.1 Overview</w:t>
      </w:r>
    </w:p>
    <w:p w:rsidR="00000000" w:rsidDel="00000000" w:rsidP="00000000" w:rsidRDefault="00000000" w:rsidRPr="00000000" w14:paraId="00000050">
      <w:pPr>
        <w:rPr/>
      </w:pPr>
      <w:r w:rsidDel="00000000" w:rsidR="00000000" w:rsidRPr="00000000">
        <w:rPr>
          <w:rtl w:val="0"/>
        </w:rPr>
        <w:t xml:space="preserve">The Proof of Concept implements an AI-powered query assistant system that enables Subject Officers to obtain instant, contextual responses to appraisal-related queries. The system operates exclusively on publicly available guidelines and policy documents, leveraging managed AI infrastructure.</w:t>
      </w:r>
    </w:p>
    <w:tbl>
      <w:tblPr>
        <w:tblStyle w:val="Table6"/>
        <w:tblW w:w="8895.0" w:type="dxa"/>
        <w:jc w:val="left"/>
        <w:tblInd w:w="-16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80"/>
        <w:gridCol w:w="4515"/>
        <w:tblGridChange w:id="0">
          <w:tblGrid>
            <w:gridCol w:w="4380"/>
            <w:gridCol w:w="4515"/>
          </w:tblGrid>
        </w:tblGridChange>
      </w:tblGrid>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Characteristic</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53">
            <w:pPr>
              <w:rPr/>
            </w:pPr>
            <w:r w:rsidDel="00000000" w:rsidR="00000000" w:rsidRPr="00000000">
              <w:rPr>
                <w:b w:val="1"/>
                <w:bCs w:val="1"/>
                <w:rtl w:val="0"/>
              </w:rPr>
              <w:t xml:space="preserve">Scope</w:t>
            </w:r>
            <w:r w:rsidDel="00000000" w:rsidR="00000000" w:rsidRPr="00000000">
              <w:rPr>
                <w:rtl w:val="0"/>
              </w:rPr>
            </w:r>
          </w:p>
        </w:tc>
        <w:tc>
          <w:tcPr>
            <w:shd w:fill="d5e8f0" w:val="clear"/>
          </w:tcPr>
          <w:p w:rsidR="00000000" w:rsidDel="00000000" w:rsidP="00000000" w:rsidRDefault="00000000" w:rsidRPr="00000000" w14:paraId="00000054">
            <w:pPr>
              <w:rPr/>
            </w:pPr>
            <w:r w:rsidDel="00000000" w:rsidR="00000000" w:rsidRPr="00000000">
              <w:rPr>
                <w:rtl w:val="0"/>
              </w:rPr>
              <w:t xml:space="preserve">Public documents only (GFR, DFPR, published OMs, standard templates)</w:t>
            </w:r>
          </w:p>
        </w:tc>
      </w:tr>
      <w:tr>
        <w:trPr>
          <w:cantSplit w:val="0"/>
          <w:tblHeader w:val="0"/>
        </w:trPr>
        <w:tc>
          <w:tcPr>
            <w:shd w:fill="d5e8f0" w:val="clear"/>
          </w:tcPr>
          <w:p w:rsidR="00000000" w:rsidDel="00000000" w:rsidP="00000000" w:rsidRDefault="00000000" w:rsidRPr="00000000" w14:paraId="00000055">
            <w:pPr>
              <w:rPr/>
            </w:pPr>
            <w:r w:rsidDel="00000000" w:rsidR="00000000" w:rsidRPr="00000000">
              <w:rPr>
                <w:b w:val="1"/>
                <w:bCs w:val="1"/>
                <w:rtl w:val="0"/>
              </w:rPr>
              <w:t xml:space="preserve">Use Case</w:t>
            </w:r>
            <w:r w:rsidDel="00000000" w:rsidR="00000000" w:rsidRPr="00000000">
              <w:rPr>
                <w:rtl w:val="0"/>
              </w:rPr>
            </w:r>
          </w:p>
        </w:tc>
        <w:tc>
          <w:tcPr>
            <w:shd w:fill="d5e8f0" w:val="clear"/>
          </w:tcPr>
          <w:p w:rsidR="00000000" w:rsidDel="00000000" w:rsidP="00000000" w:rsidRDefault="00000000" w:rsidRPr="00000000" w14:paraId="00000056">
            <w:pPr>
              <w:rPr/>
            </w:pPr>
            <w:r w:rsidDel="00000000" w:rsidR="00000000" w:rsidRPr="00000000">
              <w:rPr>
                <w:rtl w:val="0"/>
              </w:rPr>
              <w:t xml:space="preserve">Query resolution on appraisal procedures, financial norms, policy interpretation</w:t>
            </w:r>
          </w:p>
        </w:tc>
      </w:tr>
      <w:tr>
        <w:trPr>
          <w:cantSplit w:val="0"/>
          <w:tblHeader w:val="0"/>
        </w:trPr>
        <w:tc>
          <w:tcPr>
            <w:shd w:fill="d5e8f0" w:val="clear"/>
          </w:tcPr>
          <w:p w:rsidR="00000000" w:rsidDel="00000000" w:rsidP="00000000" w:rsidRDefault="00000000" w:rsidRPr="00000000" w14:paraId="00000057">
            <w:pPr>
              <w:rPr/>
            </w:pPr>
            <w:r w:rsidDel="00000000" w:rsidR="00000000" w:rsidRPr="00000000">
              <w:rPr>
                <w:b w:val="1"/>
                <w:bCs w:val="1"/>
                <w:rtl w:val="0"/>
              </w:rPr>
              <w:t xml:space="preserve">Timeline (</w:t>
            </w:r>
            <w:r w:rsidDel="00000000" w:rsidR="00000000" w:rsidRPr="00000000">
              <w:rPr>
                <w:rtl w:val="0"/>
              </w:rPr>
              <w:t xml:space="preserve">tentative</w:t>
            </w:r>
            <w:r w:rsidDel="00000000" w:rsidR="00000000" w:rsidRPr="00000000">
              <w:rPr>
                <w:b w:val="1"/>
                <w:bCs w:val="1"/>
                <w:rtl w:val="0"/>
              </w:rPr>
              <w:t xml:space="preserve">)</w:t>
            </w:r>
            <w:r w:rsidDel="00000000" w:rsidR="00000000" w:rsidRPr="00000000">
              <w:rPr>
                <w:rtl w:val="0"/>
              </w:rPr>
            </w:r>
          </w:p>
        </w:tc>
        <w:tc>
          <w:tcPr>
            <w:shd w:fill="d5e8f0" w:val="clear"/>
          </w:tcPr>
          <w:p w:rsidR="00000000" w:rsidDel="00000000" w:rsidP="00000000" w:rsidRDefault="00000000" w:rsidRPr="00000000" w14:paraId="00000058">
            <w:pPr>
              <w:rPr/>
            </w:pPr>
            <w:r w:rsidDel="00000000" w:rsidR="00000000" w:rsidRPr="00000000">
              <w:rPr>
                <w:rtl w:val="0"/>
              </w:rPr>
              <w:t xml:space="preserve">4-6 weeks for initial deployment</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color w:val="2e5c8a"/>
        </w:rPr>
      </w:pPr>
      <w:r w:rsidDel="00000000" w:rsidR="00000000" w:rsidRPr="00000000">
        <w:rPr>
          <w:color w:val="000000"/>
          <w:rtl w:val="0"/>
        </w:rPr>
        <w:t xml:space="preserve">2.2 Technical Architecture</w:t>
      </w:r>
      <w:r w:rsidDel="00000000" w:rsidR="00000000" w:rsidRPr="00000000">
        <w:rPr>
          <w:color w:val="2e5c8a"/>
          <w:rtl w:val="0"/>
        </w:rPr>
        <w:br w:type="textWrapping"/>
      </w:r>
    </w:p>
    <w:p w:rsidR="00000000" w:rsidDel="00000000" w:rsidP="00000000" w:rsidRDefault="00000000" w:rsidRPr="00000000" w14:paraId="0000005B">
      <w:pPr>
        <w:rPr/>
      </w:pPr>
      <w:r w:rsidDel="00000000" w:rsidR="00000000" w:rsidRPr="00000000">
        <w:rPr/>
        <w:drawing>
          <wp:inline distB="114300" distT="114300" distL="114300" distR="114300">
            <wp:extent cx="5695950" cy="337810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95950" cy="337810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b w:val="1"/>
          <w:bCs w:val="1"/>
          <w:i w:val="1"/>
          <w:iCs w:val="1"/>
          <w:sz w:val="22"/>
          <w:szCs w:val="22"/>
          <w:rtl w:val="0"/>
        </w:rPr>
        <w:t xml:space="preserve">Figure 2: POC System Architecture</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pStyle w:val="Heading2"/>
        <w:rPr>
          <w:color w:val="2e5c8a"/>
        </w:rPr>
      </w:pPr>
      <w:r w:rsidDel="00000000" w:rsidR="00000000" w:rsidRPr="00000000">
        <w:rPr>
          <w:rtl w:val="0"/>
        </w:rPr>
      </w:r>
    </w:p>
    <w:p w:rsidR="00000000" w:rsidDel="00000000" w:rsidP="00000000" w:rsidRDefault="00000000" w:rsidRPr="00000000" w14:paraId="0000005F">
      <w:pPr>
        <w:pStyle w:val="Heading2"/>
        <w:rPr>
          <w:color w:val="000000"/>
        </w:rPr>
      </w:pPr>
      <w:r w:rsidDel="00000000" w:rsidR="00000000" w:rsidRPr="00000000">
        <w:rPr>
          <w:color w:val="000000"/>
          <w:rtl w:val="0"/>
        </w:rPr>
        <w:t xml:space="preserve">2.3 Query Processing Workflow (indicative)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b w:val="1"/>
          <w:bCs w:val="1"/>
          <w:i w:val="1"/>
          <w:iCs w:val="1"/>
          <w:sz w:val="22"/>
          <w:szCs w:val="22"/>
          <w:rtl w:val="0"/>
        </w:rPr>
        <w:t xml:space="preserve">Figure 3: Query Processing Flow</w:t>
      </w:r>
      <w:r w:rsidDel="00000000" w:rsidR="00000000" w:rsidRPr="00000000">
        <w:rPr>
          <w:rtl w:val="0"/>
        </w:rPr>
      </w:r>
    </w:p>
    <w:tbl>
      <w:tblPr>
        <w:tblStyle w:val="Table7"/>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62">
            <w:pPr>
              <w:jc w:val="center"/>
              <w:rPr/>
            </w:pPr>
            <w:r w:rsidDel="00000000" w:rsidR="00000000" w:rsidRPr="00000000">
              <w:rPr>
                <w:b w:val="1"/>
                <w:bCs w:val="1"/>
                <w:color w:val="000000"/>
                <w:sz w:val="22"/>
                <w:szCs w:val="22"/>
                <w:rtl w:val="0"/>
              </w:rPr>
              <w:t xml:space="preserve">Step 1: Query Input</w:t>
            </w:r>
            <w:r w:rsidDel="00000000" w:rsidR="00000000" w:rsidRPr="00000000">
              <w:rPr>
                <w:color w:val="000000"/>
                <w:sz w:val="20"/>
                <w:szCs w:val="20"/>
                <w:rtl w:val="0"/>
              </w:rPr>
              <w:br w:type="textWrapping"/>
              <w:t xml:space="preserve">Subject Officer submits natural language query</w:t>
              <w:br w:type="textWrapping"/>
              <w:t xml:space="preserve">Example: "What is the 5.5x rule for cost norms?"</w:t>
            </w:r>
            <w:r w:rsidDel="00000000" w:rsidR="00000000" w:rsidRPr="00000000">
              <w:rPr>
                <w:rtl w:val="0"/>
              </w:rPr>
            </w:r>
          </w:p>
        </w:tc>
      </w:tr>
    </w:tbl>
    <w:p w:rsidR="00000000" w:rsidDel="00000000" w:rsidP="00000000" w:rsidRDefault="00000000" w:rsidRPr="00000000" w14:paraId="00000063">
      <w:pPr>
        <w:jc w:val="center"/>
        <w:rPr/>
      </w:pPr>
      <w:sdt>
        <w:sdtPr>
          <w:id w:val="-37314991"/>
          <w:tag w:val="goog_rdk_3"/>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8"/>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64">
            <w:pPr>
              <w:jc w:val="center"/>
              <w:rPr/>
            </w:pPr>
            <w:r w:rsidDel="00000000" w:rsidR="00000000" w:rsidRPr="00000000">
              <w:rPr>
                <w:b w:val="1"/>
                <w:bCs w:val="1"/>
                <w:color w:val="000000"/>
                <w:sz w:val="22"/>
                <w:szCs w:val="22"/>
                <w:rtl w:val="0"/>
              </w:rPr>
              <w:t xml:space="preserve">Step 2: Query Understanding</w:t>
            </w:r>
            <w:sdt>
              <w:sdtPr>
                <w:id w:val="-1333299395"/>
                <w:tag w:val="goog_rdk_4"/>
              </w:sdtPr>
              <w:sdtContent>
                <w:r w:rsidDel="00000000" w:rsidR="00000000" w:rsidRPr="00000000">
                  <w:rPr>
                    <w:rFonts w:ascii="Arial Unicode MS" w:cs="Arial Unicode MS" w:eastAsia="Arial Unicode MS" w:hAnsi="Arial Unicode MS"/>
                    <w:color w:val="000000"/>
                    <w:sz w:val="20"/>
                    <w:szCs w:val="20"/>
                    <w:rtl w:val="0"/>
                  </w:rPr>
                  <w:br w:type="textWrapping"/>
                  <w:t xml:space="preserve">Intent classification → Extract key entities → Generate embedding vector</w:t>
                </w:r>
              </w:sdtContent>
            </w:sdt>
            <w:r w:rsidDel="00000000" w:rsidR="00000000" w:rsidRPr="00000000">
              <w:rPr>
                <w:rtl w:val="0"/>
              </w:rPr>
            </w:r>
          </w:p>
        </w:tc>
      </w:tr>
    </w:tbl>
    <w:p w:rsidR="00000000" w:rsidDel="00000000" w:rsidP="00000000" w:rsidRDefault="00000000" w:rsidRPr="00000000" w14:paraId="00000065">
      <w:pPr>
        <w:jc w:val="center"/>
        <w:rPr/>
      </w:pPr>
      <w:sdt>
        <w:sdtPr>
          <w:id w:val="2090376853"/>
          <w:tag w:val="goog_rdk_5"/>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9"/>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699" w:val="clear"/>
          </w:tcPr>
          <w:p w:rsidR="00000000" w:rsidDel="00000000" w:rsidP="00000000" w:rsidRDefault="00000000" w:rsidRPr="00000000" w14:paraId="00000066">
            <w:pPr>
              <w:jc w:val="center"/>
              <w:rPr/>
            </w:pPr>
            <w:r w:rsidDel="00000000" w:rsidR="00000000" w:rsidRPr="00000000">
              <w:rPr>
                <w:b w:val="1"/>
                <w:bCs w:val="1"/>
                <w:color w:val="000000"/>
                <w:sz w:val="22"/>
                <w:szCs w:val="22"/>
                <w:rtl w:val="0"/>
              </w:rPr>
              <w:t xml:space="preserve">Step 3: Context Retrieval</w:t>
            </w:r>
            <w:sdt>
              <w:sdtPr>
                <w:id w:val="-34053612"/>
                <w:tag w:val="goog_rdk_6"/>
              </w:sdtPr>
              <w:sdtContent>
                <w:r w:rsidDel="00000000" w:rsidR="00000000" w:rsidRPr="00000000">
                  <w:rPr>
                    <w:rFonts w:ascii="Arial Unicode MS" w:cs="Arial Unicode MS" w:eastAsia="Arial Unicode MS" w:hAnsi="Arial Unicode MS"/>
                    <w:color w:val="000000"/>
                    <w:sz w:val="20"/>
                    <w:szCs w:val="20"/>
                    <w:rtl w:val="0"/>
                  </w:rPr>
                  <w:br w:type="textWrapping"/>
                  <w:t xml:space="preserve">Semantic search in vector DB → Retrieve top-K relevant document chunks</w:t>
                </w:r>
              </w:sdtContent>
            </w:sdt>
            <w:r w:rsidDel="00000000" w:rsidR="00000000" w:rsidRPr="00000000">
              <w:rPr>
                <w:rtl w:val="0"/>
              </w:rPr>
            </w:r>
          </w:p>
        </w:tc>
      </w:tr>
    </w:tbl>
    <w:p w:rsidR="00000000" w:rsidDel="00000000" w:rsidP="00000000" w:rsidRDefault="00000000" w:rsidRPr="00000000" w14:paraId="00000067">
      <w:pPr>
        <w:jc w:val="center"/>
        <w:rPr/>
      </w:pPr>
      <w:sdt>
        <w:sdtPr>
          <w:id w:val="-89622918"/>
          <w:tag w:val="goog_rdk_7"/>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0"/>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b084" w:val="clear"/>
          </w:tcPr>
          <w:p w:rsidR="00000000" w:rsidDel="00000000" w:rsidP="00000000" w:rsidRDefault="00000000" w:rsidRPr="00000000" w14:paraId="00000068">
            <w:pPr>
              <w:jc w:val="center"/>
              <w:rPr/>
            </w:pPr>
            <w:r w:rsidDel="00000000" w:rsidR="00000000" w:rsidRPr="00000000">
              <w:rPr>
                <w:b w:val="1"/>
                <w:bCs w:val="1"/>
                <w:color w:val="000000"/>
                <w:sz w:val="22"/>
                <w:szCs w:val="22"/>
                <w:rtl w:val="0"/>
              </w:rPr>
              <w:t xml:space="preserve">Step 4: Response Generation</w:t>
            </w:r>
            <w:r w:rsidDel="00000000" w:rsidR="00000000" w:rsidRPr="00000000">
              <w:rPr>
                <w:color w:val="000000"/>
                <w:sz w:val="20"/>
                <w:szCs w:val="20"/>
                <w:rtl w:val="0"/>
              </w:rPr>
              <w:br w:type="textWrapping"/>
              <w:t xml:space="preserve">AWS Bedrock (Claude) generates contextual response with source citations</w:t>
            </w:r>
            <w:r w:rsidDel="00000000" w:rsidR="00000000" w:rsidRPr="00000000">
              <w:rPr>
                <w:rtl w:val="0"/>
              </w:rPr>
            </w:r>
          </w:p>
        </w:tc>
      </w:tr>
    </w:tbl>
    <w:p w:rsidR="00000000" w:rsidDel="00000000" w:rsidP="00000000" w:rsidRDefault="00000000" w:rsidRPr="00000000" w14:paraId="00000069">
      <w:pPr>
        <w:jc w:val="center"/>
        <w:rPr/>
      </w:pPr>
      <w:sdt>
        <w:sdtPr>
          <w:id w:val="-1957854705"/>
          <w:tag w:val="goog_rdk_8"/>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tbl>
      <w:tblPr>
        <w:tblStyle w:val="Table11"/>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6A">
            <w:pPr>
              <w:jc w:val="center"/>
              <w:rPr/>
            </w:pPr>
            <w:r w:rsidDel="00000000" w:rsidR="00000000" w:rsidRPr="00000000">
              <w:rPr>
                <w:b w:val="1"/>
                <w:bCs w:val="1"/>
                <w:color w:val="ffffff"/>
                <w:sz w:val="22"/>
                <w:szCs w:val="22"/>
                <w:rtl w:val="0"/>
              </w:rPr>
              <w:t xml:space="preserve">Step 5: Response Delivery</w:t>
            </w:r>
            <w:sdt>
              <w:sdtPr>
                <w:id w:val="-563067431"/>
                <w:tag w:val="goog_rdk_9"/>
              </w:sdtPr>
              <w:sdtContent>
                <w:r w:rsidDel="00000000" w:rsidR="00000000" w:rsidRPr="00000000">
                  <w:rPr>
                    <w:rFonts w:ascii="Arial Unicode MS" w:cs="Arial Unicode MS" w:eastAsia="Arial Unicode MS" w:hAnsi="Arial Unicode MS"/>
                    <w:color w:val="ffffff"/>
                    <w:sz w:val="20"/>
                    <w:szCs w:val="20"/>
                    <w:rtl w:val="0"/>
                  </w:rPr>
                  <w:br w:type="textWrapping"/>
                  <w:t xml:space="preserve">Formatted answer with references → Display to Subject Officer</w:t>
                </w:r>
              </w:sdtContent>
            </w:sdt>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color w:val="000000"/>
        </w:rPr>
      </w:pPr>
      <w:r w:rsidDel="00000000" w:rsidR="00000000" w:rsidRPr="00000000">
        <w:rPr>
          <w:color w:val="000000"/>
          <w:rtl w:val="0"/>
        </w:rPr>
        <w:t xml:space="preserve">2.4 Technical Components (Indicative)</w:t>
      </w:r>
    </w:p>
    <w:tbl>
      <w:tblPr>
        <w:tblStyle w:val="Table1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6D">
            <w:pPr>
              <w:rPr/>
            </w:pPr>
            <w:r w:rsidDel="00000000" w:rsidR="00000000" w:rsidRPr="00000000">
              <w:rPr>
                <w:b w:val="1"/>
                <w:bCs w:val="1"/>
                <w:color w:val="ffffff"/>
                <w:rtl w:val="0"/>
              </w:rPr>
              <w:t xml:space="preserve">Component</w:t>
            </w:r>
            <w:r w:rsidDel="00000000" w:rsidR="00000000" w:rsidRPr="00000000">
              <w:rPr>
                <w:rtl w:val="0"/>
              </w:rPr>
            </w:r>
          </w:p>
        </w:tc>
        <w:tc>
          <w:tcPr>
            <w:shd w:fill="4472c4" w:val="clear"/>
          </w:tcPr>
          <w:p w:rsidR="00000000" w:rsidDel="00000000" w:rsidP="00000000" w:rsidRDefault="00000000" w:rsidRPr="00000000" w14:paraId="0000006E">
            <w:pPr>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6F">
            <w:pPr>
              <w:rPr/>
            </w:pPr>
            <w:r w:rsidDel="00000000" w:rsidR="00000000" w:rsidRPr="00000000">
              <w:rPr>
                <w:b w:val="1"/>
                <w:bCs w:val="1"/>
                <w:rtl w:val="0"/>
              </w:rPr>
              <w:t xml:space="preserve">Foundation Model</w:t>
            </w:r>
            <w:r w:rsidDel="00000000" w:rsidR="00000000" w:rsidRPr="00000000">
              <w:rPr>
                <w:rtl w:val="0"/>
              </w:rPr>
            </w:r>
          </w:p>
        </w:tc>
        <w:tc>
          <w:tcPr>
            <w:shd w:fill="d5e8f0" w:val="clear"/>
          </w:tcPr>
          <w:p w:rsidR="00000000" w:rsidDel="00000000" w:rsidP="00000000" w:rsidRDefault="00000000" w:rsidRPr="00000000" w14:paraId="00000070">
            <w:pPr>
              <w:rPr/>
            </w:pPr>
            <w:r w:rsidDel="00000000" w:rsidR="00000000" w:rsidRPr="00000000">
              <w:rPr>
                <w:rtl w:val="0"/>
              </w:rPr>
              <w:t xml:space="preserve">Claude 3.5 Sonnet (comprehensive responses) or Claude 3.7 Haiku (quick queries) via AWS Bedrock</w:t>
            </w:r>
          </w:p>
        </w:tc>
      </w:tr>
      <w:tr>
        <w:trPr>
          <w:cantSplit w:val="0"/>
          <w:tblHeader w:val="0"/>
        </w:trPr>
        <w:tc>
          <w:tcPr>
            <w:shd w:fill="d5e8f0" w:val="clear"/>
          </w:tcPr>
          <w:p w:rsidR="00000000" w:rsidDel="00000000" w:rsidP="00000000" w:rsidRDefault="00000000" w:rsidRPr="00000000" w14:paraId="00000071">
            <w:pPr>
              <w:rPr/>
            </w:pPr>
            <w:r w:rsidDel="00000000" w:rsidR="00000000" w:rsidRPr="00000000">
              <w:rPr>
                <w:b w:val="1"/>
                <w:bCs w:val="1"/>
                <w:rtl w:val="0"/>
              </w:rPr>
              <w:t xml:space="preserve">Embedding Model</w:t>
            </w:r>
            <w:r w:rsidDel="00000000" w:rsidR="00000000" w:rsidRPr="00000000">
              <w:rPr>
                <w:rtl w:val="0"/>
              </w:rPr>
            </w:r>
          </w:p>
        </w:tc>
        <w:tc>
          <w:tcPr>
            <w:shd w:fill="d5e8f0" w:val="clear"/>
          </w:tcPr>
          <w:p w:rsidR="00000000" w:rsidDel="00000000" w:rsidP="00000000" w:rsidRDefault="00000000" w:rsidRPr="00000000" w14:paraId="00000072">
            <w:pPr>
              <w:rPr/>
            </w:pPr>
            <w:r w:rsidDel="00000000" w:rsidR="00000000" w:rsidRPr="00000000">
              <w:rPr>
                <w:rtl w:val="0"/>
              </w:rPr>
              <w:t xml:space="preserve">Amazon Titan Embeddings V2 (512-1024 dimensions for semantic search)</w:t>
            </w:r>
          </w:p>
        </w:tc>
      </w:tr>
      <w:tr>
        <w:trPr>
          <w:cantSplit w:val="0"/>
          <w:tblHeader w:val="0"/>
        </w:trPr>
        <w:tc>
          <w:tcPr>
            <w:shd w:fill="d5e8f0" w:val="clear"/>
          </w:tcPr>
          <w:p w:rsidR="00000000" w:rsidDel="00000000" w:rsidP="00000000" w:rsidRDefault="00000000" w:rsidRPr="00000000" w14:paraId="00000073">
            <w:pPr>
              <w:rPr/>
            </w:pPr>
            <w:r w:rsidDel="00000000" w:rsidR="00000000" w:rsidRPr="00000000">
              <w:rPr>
                <w:b w:val="1"/>
                <w:bCs w:val="1"/>
                <w:rtl w:val="0"/>
              </w:rPr>
              <w:t xml:space="preserve">Vector Store</w:t>
            </w:r>
            <w:r w:rsidDel="00000000" w:rsidR="00000000" w:rsidRPr="00000000">
              <w:rPr>
                <w:rtl w:val="0"/>
              </w:rPr>
            </w:r>
          </w:p>
        </w:tc>
        <w:tc>
          <w:tcPr>
            <w:shd w:fill="d5e8f0" w:val="clear"/>
          </w:tcPr>
          <w:p w:rsidR="00000000" w:rsidDel="00000000" w:rsidP="00000000" w:rsidRDefault="00000000" w:rsidRPr="00000000" w14:paraId="00000074">
            <w:pPr>
              <w:rPr/>
            </w:pPr>
            <w:r w:rsidDel="00000000" w:rsidR="00000000" w:rsidRPr="00000000">
              <w:rPr>
                <w:rtl w:val="0"/>
              </w:rPr>
              <w:t xml:space="preserve">Amazon OpenSearch Service with k-NN plugin or Pinecone (managed vector DB)</w:t>
            </w:r>
          </w:p>
        </w:tc>
      </w:tr>
      <w:tr>
        <w:trPr>
          <w:cantSplit w:val="0"/>
          <w:tblHeader w:val="0"/>
        </w:trPr>
        <w:tc>
          <w:tcPr>
            <w:shd w:fill="d5e8f0" w:val="clear"/>
          </w:tcPr>
          <w:p w:rsidR="00000000" w:rsidDel="00000000" w:rsidP="00000000" w:rsidRDefault="00000000" w:rsidRPr="00000000" w14:paraId="00000075">
            <w:pPr>
              <w:rPr/>
            </w:pPr>
            <w:r w:rsidDel="00000000" w:rsidR="00000000" w:rsidRPr="00000000">
              <w:rPr>
                <w:b w:val="1"/>
                <w:bCs w:val="1"/>
                <w:rtl w:val="0"/>
              </w:rPr>
              <w:t xml:space="preserve">Orchestration</w:t>
            </w:r>
            <w:r w:rsidDel="00000000" w:rsidR="00000000" w:rsidRPr="00000000">
              <w:rPr>
                <w:rtl w:val="0"/>
              </w:rPr>
            </w:r>
          </w:p>
        </w:tc>
        <w:tc>
          <w:tcPr>
            <w:shd w:fill="d5e8f0" w:val="clear"/>
          </w:tcPr>
          <w:p w:rsidR="00000000" w:rsidDel="00000000" w:rsidP="00000000" w:rsidRDefault="00000000" w:rsidRPr="00000000" w14:paraId="00000076">
            <w:pPr>
              <w:rPr/>
            </w:pPr>
            <w:r w:rsidDel="00000000" w:rsidR="00000000" w:rsidRPr="00000000">
              <w:rPr>
                <w:rtl w:val="0"/>
              </w:rPr>
              <w:t xml:space="preserve">AWS Lambda (serverless functions) + API Gateway for request routing</w:t>
            </w:r>
          </w:p>
        </w:tc>
      </w:tr>
      <w:tr>
        <w:trPr>
          <w:cantSplit w:val="0"/>
          <w:tblHeader w:val="0"/>
        </w:trPr>
        <w:tc>
          <w:tcPr>
            <w:shd w:fill="d5e8f0" w:val="clear"/>
          </w:tcPr>
          <w:p w:rsidR="00000000" w:rsidDel="00000000" w:rsidP="00000000" w:rsidRDefault="00000000" w:rsidRPr="00000000" w14:paraId="00000077">
            <w:pPr>
              <w:rPr/>
            </w:pPr>
            <w:r w:rsidDel="00000000" w:rsidR="00000000" w:rsidRPr="00000000">
              <w:rPr>
                <w:b w:val="1"/>
                <w:bCs w:val="1"/>
                <w:rtl w:val="0"/>
              </w:rPr>
              <w:t xml:space="preserve">Frontend</w:t>
            </w:r>
            <w:r w:rsidDel="00000000" w:rsidR="00000000" w:rsidRPr="00000000">
              <w:rPr>
                <w:rtl w:val="0"/>
              </w:rPr>
            </w:r>
          </w:p>
        </w:tc>
        <w:tc>
          <w:tcPr>
            <w:shd w:fill="d5e8f0" w:val="clear"/>
          </w:tcPr>
          <w:p w:rsidR="00000000" w:rsidDel="00000000" w:rsidP="00000000" w:rsidRDefault="00000000" w:rsidRPr="00000000" w14:paraId="00000078">
            <w:pPr>
              <w:rPr/>
            </w:pPr>
            <w:r w:rsidDel="00000000" w:rsidR="00000000" w:rsidRPr="00000000">
              <w:rPr>
                <w:rtl w:val="0"/>
              </w:rPr>
              <w:t xml:space="preserve">React.js web application hosted on AWS Amplify or S3+CloudFront</w:t>
            </w:r>
          </w:p>
        </w:tc>
      </w:tr>
      <w:tr>
        <w:trPr>
          <w:cantSplit w:val="0"/>
          <w:tblHeader w:val="0"/>
        </w:trPr>
        <w:tc>
          <w:tcPr>
            <w:shd w:fill="d5e8f0" w:val="clear"/>
          </w:tcPr>
          <w:p w:rsidR="00000000" w:rsidDel="00000000" w:rsidP="00000000" w:rsidRDefault="00000000" w:rsidRPr="00000000" w14:paraId="00000079">
            <w:pPr>
              <w:rPr/>
            </w:pPr>
            <w:r w:rsidDel="00000000" w:rsidR="00000000" w:rsidRPr="00000000">
              <w:rPr>
                <w:b w:val="1"/>
                <w:bCs w:val="1"/>
                <w:rtl w:val="0"/>
              </w:rPr>
              <w:t xml:space="preserve">Document Storage</w:t>
            </w:r>
            <w:r w:rsidDel="00000000" w:rsidR="00000000" w:rsidRPr="00000000">
              <w:rPr>
                <w:rtl w:val="0"/>
              </w:rPr>
            </w:r>
          </w:p>
        </w:tc>
        <w:tc>
          <w:tcPr>
            <w:shd w:fill="d5e8f0" w:val="clear"/>
          </w:tcPr>
          <w:p w:rsidR="00000000" w:rsidDel="00000000" w:rsidP="00000000" w:rsidRDefault="00000000" w:rsidRPr="00000000" w14:paraId="0000007A">
            <w:pPr>
              <w:rPr/>
            </w:pPr>
            <w:r w:rsidDel="00000000" w:rsidR="00000000" w:rsidRPr="00000000">
              <w:rPr>
                <w:rtl w:val="0"/>
              </w:rPr>
              <w:t xml:space="preserve">Amazon S3 (public documents repository with versioning)</w:t>
            </w:r>
          </w:p>
        </w:tc>
      </w:tr>
    </w:tbl>
    <w:p w:rsidR="00000000" w:rsidDel="00000000" w:rsidP="00000000" w:rsidRDefault="00000000" w:rsidRPr="00000000" w14:paraId="0000007B">
      <w:pPr>
        <w:pStyle w:val="Heading1"/>
        <w:rPr>
          <w:color w:val="000000"/>
        </w:rPr>
      </w:pPr>
      <w:r w:rsidDel="00000000" w:rsidR="00000000" w:rsidRPr="00000000">
        <w:rPr>
          <w:color w:val="000000"/>
          <w:rtl w:val="0"/>
        </w:rPr>
        <w:t xml:space="preserve">3. Cloud-Based Production System Architecture</w:t>
      </w:r>
    </w:p>
    <w:p w:rsidR="00000000" w:rsidDel="00000000" w:rsidP="00000000" w:rsidRDefault="00000000" w:rsidRPr="00000000" w14:paraId="0000007C">
      <w:pPr>
        <w:pStyle w:val="Heading2"/>
        <w:rPr>
          <w:color w:val="000000"/>
        </w:rPr>
      </w:pPr>
      <w:bookmarkStart w:colFirst="0" w:colLast="0" w:name="_heading=h.mkb759zdvnka" w:id="0"/>
      <w:bookmarkEnd w:id="0"/>
      <w:r w:rsidDel="00000000" w:rsidR="00000000" w:rsidRPr="00000000">
        <w:rPr>
          <w:color w:val="000000"/>
          <w:rtl w:val="0"/>
        </w:rPr>
        <w:t xml:space="preserve">3.1 Overview</w:t>
      </w:r>
    </w:p>
    <w:p w:rsidR="00000000" w:rsidDel="00000000" w:rsidP="00000000" w:rsidRDefault="00000000" w:rsidRPr="00000000" w14:paraId="0000007D">
      <w:pPr>
        <w:rPr/>
      </w:pPr>
      <w:r w:rsidDel="00000000" w:rsidR="00000000" w:rsidRPr="00000000">
        <w:rPr>
          <w:rtl w:val="0"/>
        </w:rPr>
        <w:t xml:space="preserve">The cloud-based production system processes confidential DPR documents through a multi-agent architecture deployed on enterprise cloud infrastructure. The system utilizes managed AI services for inference while implementing comprehensive security controls to protect sensitive data.</w:t>
      </w:r>
    </w:p>
    <w:tbl>
      <w:tblPr>
        <w:tblStyle w:val="Table1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Characteristic</w:t>
            </w:r>
          </w:p>
        </w:tc>
        <w:tc>
          <w:tcPr/>
          <w:p w:rsidR="00000000" w:rsidDel="00000000" w:rsidP="00000000" w:rsidRDefault="00000000" w:rsidRPr="00000000" w14:paraId="0000007F">
            <w:pPr>
              <w:rPr/>
            </w:pPr>
            <w:r w:rsidDel="00000000" w:rsidR="00000000" w:rsidRPr="00000000">
              <w:rPr>
                <w:rtl w:val="0"/>
              </w:rPr>
              <w:t xml:space="preserve">Details</w:t>
            </w:r>
          </w:p>
        </w:tc>
      </w:tr>
      <w:tr>
        <w:trPr>
          <w:cantSplit w:val="0"/>
          <w:tblHeader w:val="0"/>
        </w:trPr>
        <w:tc>
          <w:tcPr>
            <w:shd w:fill="d5e8f0" w:val="clear"/>
          </w:tcPr>
          <w:p w:rsidR="00000000" w:rsidDel="00000000" w:rsidP="00000000" w:rsidRDefault="00000000" w:rsidRPr="00000000" w14:paraId="00000080">
            <w:pPr>
              <w:rPr/>
            </w:pPr>
            <w:r w:rsidDel="00000000" w:rsidR="00000000" w:rsidRPr="00000000">
              <w:rPr>
                <w:rtl w:val="0"/>
              </w:rPr>
              <w:t xml:space="preserve">Scope</w:t>
            </w:r>
          </w:p>
        </w:tc>
        <w:tc>
          <w:tcPr>
            <w:shd w:fill="d5e8f0" w:val="clear"/>
          </w:tcPr>
          <w:p w:rsidR="00000000" w:rsidDel="00000000" w:rsidP="00000000" w:rsidRDefault="00000000" w:rsidRPr="00000000" w14:paraId="00000081">
            <w:pPr>
              <w:rPr/>
            </w:pPr>
            <w:r w:rsidDel="00000000" w:rsidR="00000000" w:rsidRPr="00000000">
              <w:rPr>
                <w:rtl w:val="0"/>
              </w:rPr>
              <w:t xml:space="preserve">Full DPR processing including confidential project documents and sensitive financial data</w:t>
            </w:r>
          </w:p>
        </w:tc>
      </w:tr>
      <w:tr>
        <w:trPr>
          <w:cantSplit w:val="0"/>
          <w:tblHeader w:val="0"/>
        </w:trPr>
        <w:tc>
          <w:tcPr>
            <w:shd w:fill="d5e8f0" w:val="clear"/>
          </w:tcPr>
          <w:p w:rsidR="00000000" w:rsidDel="00000000" w:rsidP="00000000" w:rsidRDefault="00000000" w:rsidRPr="00000000" w14:paraId="00000082">
            <w:pPr>
              <w:rPr/>
            </w:pPr>
            <w:r w:rsidDel="00000000" w:rsidR="00000000" w:rsidRPr="00000000">
              <w:rPr>
                <w:rtl w:val="0"/>
              </w:rPr>
              <w:t xml:space="preserve">Infrastructure</w:t>
            </w:r>
          </w:p>
        </w:tc>
        <w:tc>
          <w:tcPr>
            <w:shd w:fill="d5e8f0" w:val="clear"/>
          </w:tcPr>
          <w:p w:rsidR="00000000" w:rsidDel="00000000" w:rsidP="00000000" w:rsidRDefault="00000000" w:rsidRPr="00000000" w14:paraId="00000083">
            <w:pPr>
              <w:rPr/>
            </w:pPr>
            <w:r w:rsidDel="00000000" w:rsidR="00000000" w:rsidRPr="00000000">
              <w:rPr>
                <w:rtl w:val="0"/>
              </w:rPr>
              <w:t xml:space="preserve">Cloud-native deployment using AWS Bedrock or Google Vertex AI managed services</w:t>
            </w:r>
          </w:p>
        </w:tc>
      </w:tr>
      <w:tr>
        <w:trPr>
          <w:cantSplit w:val="0"/>
          <w:tblHeader w:val="0"/>
        </w:trPr>
        <w:tc>
          <w:tcPr>
            <w:shd w:fill="d5e8f0" w:val="clear"/>
          </w:tcPr>
          <w:p w:rsidR="00000000" w:rsidDel="00000000" w:rsidP="00000000" w:rsidRDefault="00000000" w:rsidRPr="00000000" w14:paraId="00000084">
            <w:pPr>
              <w:rPr/>
            </w:pPr>
            <w:r w:rsidDel="00000000" w:rsidR="00000000" w:rsidRPr="00000000">
              <w:rPr>
                <w:rtl w:val="0"/>
              </w:rPr>
              <w:t xml:space="preserve">Security Model</w:t>
            </w:r>
          </w:p>
        </w:tc>
        <w:tc>
          <w:tcPr>
            <w:shd w:fill="d5e8f0" w:val="clear"/>
          </w:tcPr>
          <w:p w:rsidR="00000000" w:rsidDel="00000000" w:rsidP="00000000" w:rsidRDefault="00000000" w:rsidRPr="00000000" w14:paraId="00000085">
            <w:pPr>
              <w:rPr/>
            </w:pPr>
            <w:r w:rsidDel="00000000" w:rsidR="00000000" w:rsidRPr="00000000">
              <w:rPr>
                <w:rtl w:val="0"/>
              </w:rPr>
              <w:t xml:space="preserve">VPC isolation, encrypted storage, private endpoints, IAM access control, comprehensive audit logging</w:t>
            </w:r>
          </w:p>
        </w:tc>
      </w:tr>
      <w:tr>
        <w:trPr>
          <w:cantSplit w:val="0"/>
          <w:tblHeader w:val="0"/>
        </w:trPr>
        <w:tc>
          <w:tcPr>
            <w:shd w:fill="d5e8f0" w:val="clear"/>
          </w:tcPr>
          <w:p w:rsidR="00000000" w:rsidDel="00000000" w:rsidP="00000000" w:rsidRDefault="00000000" w:rsidRPr="00000000" w14:paraId="00000086">
            <w:pPr>
              <w:rPr/>
            </w:pPr>
            <w:r w:rsidDel="00000000" w:rsidR="00000000" w:rsidRPr="00000000">
              <w:rPr>
                <w:rtl w:val="0"/>
              </w:rPr>
              <w:t xml:space="preserve">Processing Mode</w:t>
            </w:r>
          </w:p>
        </w:tc>
        <w:tc>
          <w:tcPr>
            <w:shd w:fill="d5e8f0" w:val="clear"/>
          </w:tcPr>
          <w:p w:rsidR="00000000" w:rsidDel="00000000" w:rsidP="00000000" w:rsidRDefault="00000000" w:rsidRPr="00000000" w14:paraId="00000087">
            <w:pPr>
              <w:rPr/>
            </w:pPr>
            <w:r w:rsidDel="00000000" w:rsidR="00000000" w:rsidRPr="00000000">
              <w:rPr>
                <w:rtl w:val="0"/>
              </w:rPr>
              <w:t xml:space="preserve">Multi-agent orchestration with specialized assessment agents for each appraisal dimension</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color w:val="000000"/>
        </w:rPr>
      </w:pPr>
      <w:r w:rsidDel="00000000" w:rsidR="00000000" w:rsidRPr="00000000">
        <w:rPr>
          <w:color w:val="000000"/>
          <w:rtl w:val="0"/>
        </w:rPr>
        <w:t xml:space="preserve">3.2 System Architecture</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Cloud Platform Support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architecture supports deployment on either AWS or Google Cloud Platform, providing flexibility based on organizational cloud strategy and existing infrastructure.</w:t>
      </w:r>
    </w:p>
    <w:sdt>
      <w:sdtPr>
        <w:lock w:val="contentLocked"/>
        <w:id w:val="-1518628886"/>
        <w:tag w:val="goog_rdk_10"/>
      </w:sdtPr>
      <w:sdtContent>
        <w:tbl>
          <w:tblPr>
            <w:tblStyle w:val="Table1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4472c4" w:val="clear"/>
              </w:tcPr>
              <w:p w:rsidR="00000000" w:rsidDel="00000000" w:rsidP="00000000" w:rsidRDefault="00000000" w:rsidRPr="00000000" w14:paraId="0000008D">
                <w:pPr>
                  <w:rPr/>
                </w:pPr>
                <w:r w:rsidDel="00000000" w:rsidR="00000000" w:rsidRPr="00000000">
                  <w:rPr>
                    <w:color w:val="ffffff"/>
                    <w:rtl w:val="0"/>
                  </w:rPr>
                  <w:t xml:space="preserve">Component</w:t>
                </w:r>
                <w:r w:rsidDel="00000000" w:rsidR="00000000" w:rsidRPr="00000000">
                  <w:rPr>
                    <w:rtl w:val="0"/>
                  </w:rPr>
                </w:r>
              </w:p>
            </w:tc>
            <w:tc>
              <w:tcPr>
                <w:shd w:fill="4472c4" w:val="clear"/>
              </w:tcPr>
              <w:p w:rsidR="00000000" w:rsidDel="00000000" w:rsidP="00000000" w:rsidRDefault="00000000" w:rsidRPr="00000000" w14:paraId="0000008E">
                <w:pPr>
                  <w:rPr/>
                </w:pPr>
                <w:r w:rsidDel="00000000" w:rsidR="00000000" w:rsidRPr="00000000">
                  <w:rPr>
                    <w:color w:val="ffffff"/>
                    <w:rtl w:val="0"/>
                  </w:rPr>
                  <w:t xml:space="preserve">AWS Solution</w:t>
                </w:r>
                <w:r w:rsidDel="00000000" w:rsidR="00000000" w:rsidRPr="00000000">
                  <w:rPr>
                    <w:rtl w:val="0"/>
                  </w:rPr>
                </w:r>
              </w:p>
            </w:tc>
            <w:tc>
              <w:tcPr>
                <w:shd w:fill="4472c4" w:val="clear"/>
              </w:tcPr>
              <w:p w:rsidR="00000000" w:rsidDel="00000000" w:rsidP="00000000" w:rsidRDefault="00000000" w:rsidRPr="00000000" w14:paraId="0000008F">
                <w:pPr>
                  <w:rPr/>
                </w:pPr>
                <w:r w:rsidDel="00000000" w:rsidR="00000000" w:rsidRPr="00000000">
                  <w:rPr>
                    <w:color w:val="ffffff"/>
                    <w:rtl w:val="0"/>
                  </w:rPr>
                  <w:t xml:space="preserve">Google Cloud Solution</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AI/ML Service</w:t>
                </w:r>
              </w:p>
            </w:tc>
            <w:tc>
              <w:tcPr/>
              <w:p w:rsidR="00000000" w:rsidDel="00000000" w:rsidP="00000000" w:rsidRDefault="00000000" w:rsidRPr="00000000" w14:paraId="00000091">
                <w:pPr>
                  <w:rPr/>
                </w:pPr>
                <w:r w:rsidDel="00000000" w:rsidR="00000000" w:rsidRPr="00000000">
                  <w:rPr>
                    <w:rtl w:val="0"/>
                  </w:rPr>
                  <w:t xml:space="preserve">AWS Bedrock</w:t>
                </w:r>
              </w:p>
            </w:tc>
            <w:tc>
              <w:tcPr/>
              <w:p w:rsidR="00000000" w:rsidDel="00000000" w:rsidP="00000000" w:rsidRDefault="00000000" w:rsidRPr="00000000" w14:paraId="00000092">
                <w:pPr>
                  <w:rPr/>
                </w:pPr>
                <w:r w:rsidDel="00000000" w:rsidR="00000000" w:rsidRPr="00000000">
                  <w:rPr>
                    <w:rtl w:val="0"/>
                  </w:rPr>
                  <w:t xml:space="preserve">Google Vertex AI</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Foundation Models</w:t>
                </w:r>
              </w:p>
            </w:tc>
            <w:tc>
              <w:tcPr/>
              <w:p w:rsidR="00000000" w:rsidDel="00000000" w:rsidP="00000000" w:rsidRDefault="00000000" w:rsidRPr="00000000" w14:paraId="00000094">
                <w:pPr>
                  <w:rPr/>
                </w:pPr>
                <w:r w:rsidDel="00000000" w:rsidR="00000000" w:rsidRPr="00000000">
                  <w:rPr>
                    <w:rtl w:val="0"/>
                  </w:rPr>
                  <w:t xml:space="preserve">Claude 3.5 Sonnet, Claude 3.7 Haiku, Titan</w:t>
                </w:r>
              </w:p>
            </w:tc>
            <w:tc>
              <w:tcPr/>
              <w:p w:rsidR="00000000" w:rsidDel="00000000" w:rsidP="00000000" w:rsidRDefault="00000000" w:rsidRPr="00000000" w14:paraId="00000095">
                <w:pPr>
                  <w:rPr/>
                </w:pPr>
                <w:r w:rsidDel="00000000" w:rsidR="00000000" w:rsidRPr="00000000">
                  <w:rPr>
                    <w:rtl w:val="0"/>
                  </w:rPr>
                  <w:t xml:space="preserve">Gemini 1.5 Pro, Gemini 1.5 Flash, PaLM 2</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Vector Database</w:t>
                </w:r>
              </w:p>
            </w:tc>
            <w:tc>
              <w:tcPr/>
              <w:p w:rsidR="00000000" w:rsidDel="00000000" w:rsidP="00000000" w:rsidRDefault="00000000" w:rsidRPr="00000000" w14:paraId="00000097">
                <w:pPr>
                  <w:rPr/>
                </w:pPr>
                <w:r w:rsidDel="00000000" w:rsidR="00000000" w:rsidRPr="00000000">
                  <w:rPr>
                    <w:rtl w:val="0"/>
                  </w:rPr>
                  <w:t xml:space="preserve">Amazon OpenSearch / Aurora pgvector</w:t>
                </w:r>
              </w:p>
            </w:tc>
            <w:tc>
              <w:tcPr/>
              <w:p w:rsidR="00000000" w:rsidDel="00000000" w:rsidP="00000000" w:rsidRDefault="00000000" w:rsidRPr="00000000" w14:paraId="00000098">
                <w:pPr>
                  <w:rPr/>
                </w:pPr>
                <w:r w:rsidDel="00000000" w:rsidR="00000000" w:rsidRPr="00000000">
                  <w:rPr>
                    <w:rtl w:val="0"/>
                  </w:rPr>
                  <w:t xml:space="preserve">Vertex AI Vector Search / Cloud SQL pgvector</w:t>
                </w:r>
              </w:p>
            </w:tc>
          </w:tr>
        </w:tbl>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i w:val="1"/>
          <w:iCs w:val="1"/>
          <w:rtl w:val="0"/>
        </w:rPr>
        <w:t xml:space="preserve">Cloud-Based Production System Architecture:</w:t>
        <w:br w:type="textWrapping"/>
      </w:r>
      <w:r w:rsidDel="00000000" w:rsidR="00000000" w:rsidRPr="00000000">
        <w:rPr>
          <w:rtl w:val="0"/>
        </w:rPr>
      </w:r>
    </w:p>
    <w:p w:rsidR="00000000" w:rsidDel="00000000" w:rsidP="00000000" w:rsidRDefault="00000000" w:rsidRPr="00000000" w14:paraId="0000009F">
      <w:pPr>
        <w:rPr>
          <w:color w:val="000000"/>
        </w:rPr>
      </w:pPr>
      <w:r w:rsidDel="00000000" w:rsidR="00000000" w:rsidRPr="00000000">
        <w:rPr/>
        <w:drawing>
          <wp:inline distB="114300" distT="114300" distL="114300" distR="114300">
            <wp:extent cx="5610225" cy="4327937"/>
            <wp:effectExtent b="0" l="0" r="0" t="0"/>
            <wp:docPr id="4" name="image1.png"/>
            <a:graphic>
              <a:graphicData uri="http://schemas.openxmlformats.org/drawingml/2006/picture">
                <pic:pic>
                  <pic:nvPicPr>
                    <pic:cNvPr id="0" name="image1.png"/>
                    <pic:cNvPicPr preferRelativeResize="0"/>
                  </pic:nvPicPr>
                  <pic:blipFill>
                    <a:blip r:embed="rId8"/>
                    <a:srcRect b="0" l="23785" r="0" t="4723"/>
                    <a:stretch>
                      <a:fillRect/>
                    </a:stretch>
                  </pic:blipFill>
                  <pic:spPr>
                    <a:xfrm>
                      <a:off x="0" y="0"/>
                      <a:ext cx="5610225" cy="432793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rPr>
          <w:color w:val="000000"/>
        </w:rPr>
      </w:pPr>
      <w:r w:rsidDel="00000000" w:rsidR="00000000" w:rsidRPr="00000000">
        <w:rPr>
          <w:rtl w:val="0"/>
        </w:rPr>
      </w:r>
    </w:p>
    <w:p w:rsidR="00000000" w:rsidDel="00000000" w:rsidP="00000000" w:rsidRDefault="00000000" w:rsidRPr="00000000" w14:paraId="000000A1">
      <w:pPr>
        <w:pStyle w:val="Heading2"/>
        <w:rPr>
          <w:color w:val="000000"/>
        </w:rPr>
      </w:pPr>
      <w:r w:rsidDel="00000000" w:rsidR="00000000" w:rsidRPr="00000000">
        <w:rPr>
          <w:rtl w:val="0"/>
        </w:rPr>
      </w:r>
    </w:p>
    <w:p w:rsidR="00000000" w:rsidDel="00000000" w:rsidP="00000000" w:rsidRDefault="00000000" w:rsidRPr="00000000" w14:paraId="000000A2">
      <w:pPr>
        <w:pStyle w:val="Heading2"/>
        <w:rPr>
          <w:color w:val="000000"/>
        </w:rPr>
      </w:pPr>
      <w:r w:rsidDel="00000000" w:rsidR="00000000" w:rsidRPr="00000000">
        <w:rPr>
          <w:color w:val="000000"/>
          <w:rtl w:val="0"/>
        </w:rPr>
        <w:t xml:space="preserve">3.3 Multi-Agent Processing Workflow</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b w:val="1"/>
          <w:bCs w:val="1"/>
          <w:i w:val="1"/>
          <w:iCs w:val="1"/>
          <w:sz w:val="22"/>
          <w:szCs w:val="22"/>
          <w:rtl w:val="0"/>
        </w:rPr>
        <w:t xml:space="preserve">Figure 5: DPR Processing Workflow with Specialized </w:t>
      </w:r>
      <w:r w:rsidDel="00000000" w:rsidR="00000000" w:rsidRPr="00000000">
        <w:rPr>
          <w:b w:val="1"/>
          <w:bCs w:val="1"/>
          <w:i w:val="1"/>
          <w:iCs w:val="1"/>
          <w:rtl w:val="0"/>
        </w:rPr>
        <w:t xml:space="preserve">Agents. </w:t>
      </w:r>
      <w:r w:rsidDel="00000000" w:rsidR="00000000" w:rsidRPr="00000000">
        <w:rPr>
          <w:rtl w:val="0"/>
        </w:rPr>
      </w:r>
    </w:p>
    <w:sdt>
      <w:sdtPr>
        <w:lock w:val="contentLocked"/>
        <w:id w:val="591768949"/>
        <w:tag w:val="goog_rdk_12"/>
      </w:sdtPr>
      <w:sdtContent>
        <w:tbl>
          <w:tblPr>
            <w:tblStyle w:val="Table15"/>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A5">
                <w:pPr>
                  <w:jc w:val="center"/>
                  <w:rPr/>
                </w:pPr>
                <w:r w:rsidDel="00000000" w:rsidR="00000000" w:rsidRPr="00000000">
                  <w:rPr>
                    <w:b w:val="1"/>
                    <w:bCs w:val="1"/>
                    <w:rtl w:val="0"/>
                  </w:rPr>
                  <w:t xml:space="preserve">Phase 1: Secure Document Ingestion</w:t>
                </w:r>
                <w:sdt>
                  <w:sdtPr>
                    <w:id w:val="-1669379809"/>
                    <w:tag w:val="goog_rdk_11"/>
                  </w:sdtPr>
                  <w:sdtContent>
                    <w:r w:rsidDel="00000000" w:rsidR="00000000" w:rsidRPr="00000000">
                      <w:rPr>
                        <w:rFonts w:ascii="Arial Unicode MS" w:cs="Arial Unicode MS" w:eastAsia="Arial Unicode MS" w:hAnsi="Arial Unicode MS"/>
                        <w:sz w:val="20"/>
                        <w:szCs w:val="20"/>
                        <w:rtl w:val="0"/>
                      </w:rPr>
                      <w:br w:type="textWrapping"/>
                      <w:t xml:space="preserve">HTTPS upload → Virus scan → Format validation → Metadata extraction → Encrypted storage</w:t>
                    </w:r>
                  </w:sdtContent>
                </w:sdt>
                <w:r w:rsidDel="00000000" w:rsidR="00000000" w:rsidRPr="00000000">
                  <w:rPr>
                    <w:rtl w:val="0"/>
                  </w:rPr>
                </w:r>
              </w:p>
            </w:tc>
          </w:tr>
        </w:tbl>
      </w:sdtContent>
    </w:sdt>
    <w:p w:rsidR="00000000" w:rsidDel="00000000" w:rsidP="00000000" w:rsidRDefault="00000000" w:rsidRPr="00000000" w14:paraId="000000A6">
      <w:pPr>
        <w:jc w:val="center"/>
        <w:rPr/>
      </w:pPr>
      <w:sdt>
        <w:sdtPr>
          <w:id w:val="-1459710367"/>
          <w:tag w:val="goog_rdk_13"/>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sdt>
      <w:sdtPr>
        <w:lock w:val="contentLocked"/>
        <w:id w:val="1821057051"/>
        <w:tag w:val="goog_rdk_15"/>
      </w:sdtPr>
      <w:sdtContent>
        <w:tbl>
          <w:tblPr>
            <w:tblStyle w:val="Table16"/>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0A7">
                <w:pPr>
                  <w:jc w:val="center"/>
                  <w:rPr/>
                </w:pPr>
                <w:r w:rsidDel="00000000" w:rsidR="00000000" w:rsidRPr="00000000">
                  <w:rPr>
                    <w:b w:val="1"/>
                    <w:bCs w:val="1"/>
                    <w:rtl w:val="0"/>
                  </w:rPr>
                  <w:t xml:space="preserve">Phase 2: Document Parsing &amp; Chunking</w:t>
                </w:r>
                <w:sdt>
                  <w:sdtPr>
                    <w:id w:val="-1917654690"/>
                    <w:tag w:val="goog_rdk_14"/>
                  </w:sdtPr>
                  <w:sdtContent>
                    <w:r w:rsidDel="00000000" w:rsidR="00000000" w:rsidRPr="00000000">
                      <w:rPr>
                        <w:rFonts w:ascii="Arial Unicode MS" w:cs="Arial Unicode MS" w:eastAsia="Arial Unicode MS" w:hAnsi="Arial Unicode MS"/>
                        <w:sz w:val="20"/>
                        <w:szCs w:val="20"/>
                        <w:rtl w:val="0"/>
                      </w:rPr>
                      <w:br w:type="textWrapping"/>
                      <w:t xml:space="preserve">OCR (if needed) → Text extraction → Intelligent chunking → Embedding generation → Vector index</w:t>
                    </w:r>
                  </w:sdtContent>
                </w:sdt>
                <w:r w:rsidDel="00000000" w:rsidR="00000000" w:rsidRPr="00000000">
                  <w:rPr>
                    <w:rtl w:val="0"/>
                  </w:rPr>
                </w:r>
              </w:p>
            </w:tc>
          </w:tr>
        </w:tbl>
      </w:sdtContent>
    </w:sdt>
    <w:p w:rsidR="00000000" w:rsidDel="00000000" w:rsidP="00000000" w:rsidRDefault="00000000" w:rsidRPr="00000000" w14:paraId="000000A8">
      <w:pPr>
        <w:jc w:val="center"/>
        <w:rPr/>
      </w:pPr>
      <w:sdt>
        <w:sdtPr>
          <w:id w:val="318610814"/>
          <w:tag w:val="goog_rdk_16"/>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sdt>
      <w:sdtPr>
        <w:lock w:val="contentLocked"/>
        <w:id w:val="1721240139"/>
        <w:tag w:val="goog_rdk_18"/>
      </w:sdtPr>
      <w:sdtContent>
        <w:tbl>
          <w:tblPr>
            <w:tblStyle w:val="Table17"/>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472c4" w:val="clear"/>
              </w:tcPr>
              <w:p w:rsidR="00000000" w:rsidDel="00000000" w:rsidP="00000000" w:rsidRDefault="00000000" w:rsidRPr="00000000" w14:paraId="000000A9">
                <w:pPr>
                  <w:jc w:val="center"/>
                  <w:rPr/>
                </w:pPr>
                <w:r w:rsidDel="00000000" w:rsidR="00000000" w:rsidRPr="00000000">
                  <w:rPr>
                    <w:b w:val="1"/>
                    <w:bCs w:val="1"/>
                    <w:color w:val="ffffff"/>
                    <w:rtl w:val="0"/>
                  </w:rPr>
                  <w:t xml:space="preserve">Phase 3: Master Orchestrator Planning</w:t>
                </w:r>
                <w:sdt>
                  <w:sdtPr>
                    <w:id w:val="-544163443"/>
                    <w:tag w:val="goog_rdk_17"/>
                  </w:sdtPr>
                  <w:sdtContent>
                    <w:r w:rsidDel="00000000" w:rsidR="00000000" w:rsidRPr="00000000">
                      <w:rPr>
                        <w:rFonts w:ascii="Arial Unicode MS" w:cs="Arial Unicode MS" w:eastAsia="Arial Unicode MS" w:hAnsi="Arial Unicode MS"/>
                        <w:color w:val="ffffff"/>
                        <w:sz w:val="20"/>
                        <w:szCs w:val="20"/>
                        <w:rtl w:val="0"/>
                      </w:rPr>
                      <w:br w:type="textWrapping"/>
                      <w:t xml:space="preserve">Task decomposition → Agent assignment → Dependency analysis → Parallel execution plan</w:t>
                    </w:r>
                  </w:sdtContent>
                </w:sdt>
                <w:r w:rsidDel="00000000" w:rsidR="00000000" w:rsidRPr="00000000">
                  <w:rPr>
                    <w:rtl w:val="0"/>
                  </w:rPr>
                </w:r>
              </w:p>
            </w:tc>
          </w:tr>
        </w:tbl>
      </w:sdtContent>
    </w:sdt>
    <w:p w:rsidR="00000000" w:rsidDel="00000000" w:rsidP="00000000" w:rsidRDefault="00000000" w:rsidRPr="00000000" w14:paraId="000000AA">
      <w:pPr>
        <w:jc w:val="center"/>
        <w:rPr/>
      </w:pPr>
      <w:sdt>
        <w:sdtPr>
          <w:id w:val="-1882577954"/>
          <w:tag w:val="goog_rdk_19"/>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sdt>
      <w:sdtPr>
        <w:lock w:val="contentLocked"/>
        <w:id w:val="-1263282458"/>
        <w:tag w:val="goog_rdk_20"/>
      </w:sdtPr>
      <w:sdtContent>
        <w:tbl>
          <w:tblPr>
            <w:tblStyle w:val="Table18"/>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699" w:val="clear"/>
              </w:tcPr>
              <w:p w:rsidR="00000000" w:rsidDel="00000000" w:rsidP="00000000" w:rsidRDefault="00000000" w:rsidRPr="00000000" w14:paraId="000000AB">
                <w:pPr>
                  <w:jc w:val="center"/>
                  <w:rPr/>
                </w:pPr>
                <w:r w:rsidDel="00000000" w:rsidR="00000000" w:rsidRPr="00000000">
                  <w:rPr>
                    <w:b w:val="1"/>
                    <w:bCs w:val="1"/>
                    <w:rtl w:val="0"/>
                  </w:rPr>
                  <w:t xml:space="preserve">Phase 4: Parallel Multi-Agent Analysis</w:t>
                </w:r>
                <w:r w:rsidDel="00000000" w:rsidR="00000000" w:rsidRPr="00000000">
                  <w:rPr>
                    <w:sz w:val="20"/>
                    <w:szCs w:val="20"/>
                    <w:rtl w:val="0"/>
                  </w:rPr>
                  <w:br w:type="textWrapping"/>
                  <w:t xml:space="preserve">5 specialized agents execute concurrently | RAG-augmented assessment | Cross-referencing guidelines</w:t>
                </w:r>
                <w:r w:rsidDel="00000000" w:rsidR="00000000" w:rsidRPr="00000000">
                  <w:rPr>
                    <w:rtl w:val="0"/>
                  </w:rPr>
                </w:r>
              </w:p>
            </w:tc>
          </w:tr>
        </w:tbl>
      </w:sdtContent>
    </w:sdt>
    <w:p w:rsidR="00000000" w:rsidDel="00000000" w:rsidP="00000000" w:rsidRDefault="00000000" w:rsidRPr="00000000" w14:paraId="000000AC">
      <w:pPr>
        <w:jc w:val="center"/>
        <w:rPr/>
      </w:pPr>
      <w:sdt>
        <w:sdtPr>
          <w:id w:val="-1689885203"/>
          <w:tag w:val="goog_rdk_21"/>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sdt>
      <w:sdtPr>
        <w:lock w:val="contentLocked"/>
        <w:id w:val="1267988523"/>
        <w:tag w:val="goog_rdk_23"/>
      </w:sdtPr>
      <w:sdtContent>
        <w:tbl>
          <w:tblPr>
            <w:tblStyle w:val="Table19"/>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4b084" w:val="clear"/>
              </w:tcPr>
              <w:p w:rsidR="00000000" w:rsidDel="00000000" w:rsidP="00000000" w:rsidRDefault="00000000" w:rsidRPr="00000000" w14:paraId="000000AD">
                <w:pPr>
                  <w:jc w:val="center"/>
                  <w:rPr/>
                </w:pPr>
                <w:r w:rsidDel="00000000" w:rsidR="00000000" w:rsidRPr="00000000">
                  <w:rPr>
                    <w:b w:val="1"/>
                    <w:bCs w:val="1"/>
                    <w:rtl w:val="0"/>
                  </w:rPr>
                  <w:t xml:space="preserve">Phase 5: Result Synthesis &amp; Validation</w:t>
                </w:r>
                <w:sdt>
                  <w:sdtPr>
                    <w:id w:val="376460515"/>
                    <w:tag w:val="goog_rdk_22"/>
                  </w:sdtPr>
                  <w:sdtContent>
                    <w:r w:rsidDel="00000000" w:rsidR="00000000" w:rsidRPr="00000000">
                      <w:rPr>
                        <w:rFonts w:ascii="Arial Unicode MS" w:cs="Arial Unicode MS" w:eastAsia="Arial Unicode MS" w:hAnsi="Arial Unicode MS"/>
                        <w:sz w:val="20"/>
                        <w:szCs w:val="20"/>
                        <w:rtl w:val="0"/>
                      </w:rPr>
                      <w:br w:type="textWrapping"/>
                      <w:t xml:space="preserve">Orchestrator aggregates findings → Consistency checks → Conflict resolution → Confidence scoring</w:t>
                    </w:r>
                  </w:sdtContent>
                </w:sdt>
                <w:r w:rsidDel="00000000" w:rsidR="00000000" w:rsidRPr="00000000">
                  <w:rPr>
                    <w:rtl w:val="0"/>
                  </w:rPr>
                </w:r>
              </w:p>
            </w:tc>
          </w:tr>
        </w:tbl>
      </w:sdtContent>
    </w:sdt>
    <w:p w:rsidR="00000000" w:rsidDel="00000000" w:rsidP="00000000" w:rsidRDefault="00000000" w:rsidRPr="00000000" w14:paraId="000000AE">
      <w:pPr>
        <w:jc w:val="center"/>
        <w:rPr/>
      </w:pPr>
      <w:sdt>
        <w:sdtPr>
          <w:id w:val="1202565011"/>
          <w:tag w:val="goog_rdk_24"/>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sdt>
      <w:sdtPr>
        <w:lock w:val="contentLocked"/>
        <w:id w:val="-289314124"/>
        <w:tag w:val="goog_rdk_26"/>
      </w:sdtPr>
      <w:sdtContent>
        <w:tbl>
          <w:tblPr>
            <w:tblStyle w:val="Table20"/>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AF">
                <w:pPr>
                  <w:jc w:val="center"/>
                  <w:rPr/>
                </w:pPr>
                <w:r w:rsidDel="00000000" w:rsidR="00000000" w:rsidRPr="00000000">
                  <w:rPr>
                    <w:b w:val="1"/>
                    <w:bCs w:val="1"/>
                    <w:color w:val="ffffff"/>
                    <w:rtl w:val="0"/>
                  </w:rPr>
                  <w:t xml:space="preserve">Phase 6: Report Generation</w:t>
                </w:r>
                <w:sdt>
                  <w:sdtPr>
                    <w:id w:val="-424247220"/>
                    <w:tag w:val="goog_rdk_25"/>
                  </w:sdtPr>
                  <w:sdtContent>
                    <w:r w:rsidDel="00000000" w:rsidR="00000000" w:rsidRPr="00000000">
                      <w:rPr>
                        <w:rFonts w:ascii="Arial Unicode MS" w:cs="Arial Unicode MS" w:eastAsia="Arial Unicode MS" w:hAnsi="Arial Unicode MS"/>
                        <w:color w:val="ffffff"/>
                        <w:sz w:val="20"/>
                        <w:szCs w:val="20"/>
                        <w:rtl w:val="0"/>
                      </w:rPr>
                      <w:br w:type="textWrapping"/>
                      <w:t xml:space="preserve">Structured appraisal note → Risk matrix → Compliance checklist → Recommendation summary</w:t>
                    </w:r>
                  </w:sdtContent>
                </w:sdt>
                <w:r w:rsidDel="00000000" w:rsidR="00000000" w:rsidRPr="00000000">
                  <w:rPr>
                    <w:rtl w:val="0"/>
                  </w:rPr>
                </w:r>
              </w:p>
            </w:tc>
          </w:tr>
        </w:tbl>
      </w:sdtContent>
    </w:sdt>
    <w:p w:rsidR="00000000" w:rsidDel="00000000" w:rsidP="00000000" w:rsidRDefault="00000000" w:rsidRPr="00000000" w14:paraId="000000B0">
      <w:pPr>
        <w:jc w:val="center"/>
        <w:rPr/>
      </w:pPr>
      <w:sdt>
        <w:sdtPr>
          <w:id w:val="2056530149"/>
          <w:tag w:val="goog_rdk_27"/>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rtl w:val="0"/>
        </w:rPr>
      </w:r>
    </w:p>
    <w:sdt>
      <w:sdtPr>
        <w:lock w:val="contentLocked"/>
        <w:id w:val="-1764502914"/>
        <w:tag w:val="goog_rdk_29"/>
      </w:sdtPr>
      <w:sdtContent>
        <w:tbl>
          <w:tblPr>
            <w:tblStyle w:val="Table21"/>
            <w:tblW w:w="8640.0" w:type="dxa"/>
            <w:jc w:val="center"/>
            <w:tblLayout w:type="fixed"/>
            <w:tblLook w:val="0400"/>
          </w:tblPr>
          <w:tblGrid>
            <w:gridCol w:w="8640"/>
            <w:tblGridChange w:id="0">
              <w:tblGrid>
                <w:gridCol w:w="8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0ad47" w:val="clear"/>
              </w:tcPr>
              <w:p w:rsidR="00000000" w:rsidDel="00000000" w:rsidP="00000000" w:rsidRDefault="00000000" w:rsidRPr="00000000" w14:paraId="000000B1">
                <w:pPr>
                  <w:jc w:val="center"/>
                  <w:rPr/>
                </w:pPr>
                <w:r w:rsidDel="00000000" w:rsidR="00000000" w:rsidRPr="00000000">
                  <w:rPr>
                    <w:b w:val="1"/>
                    <w:bCs w:val="1"/>
                    <w:color w:val="ffffff"/>
                    <w:rtl w:val="0"/>
                  </w:rPr>
                  <w:t xml:space="preserve">Phase 7: Human Review &amp; Approval</w:t>
                </w:r>
                <w:sdt>
                  <w:sdtPr>
                    <w:id w:val="1663749991"/>
                    <w:tag w:val="goog_rdk_28"/>
                  </w:sdtPr>
                  <w:sdtContent>
                    <w:r w:rsidDel="00000000" w:rsidR="00000000" w:rsidRPr="00000000">
                      <w:rPr>
                        <w:rFonts w:ascii="Arial Unicode MS" w:cs="Arial Unicode MS" w:eastAsia="Arial Unicode MS" w:hAnsi="Arial Unicode MS"/>
                        <w:color w:val="ffffff"/>
                        <w:sz w:val="20"/>
                        <w:szCs w:val="20"/>
                        <w:rtl w:val="0"/>
                      </w:rPr>
                      <w:br w:type="textWrapping"/>
                      <w:t xml:space="preserve">SO reviews AI assessment → Edits/overrides → Final approval → Audit trail</w:t>
                    </w:r>
                  </w:sdtContent>
                </w:sdt>
                <w:r w:rsidDel="00000000" w:rsidR="00000000" w:rsidRPr="00000000">
                  <w:rPr>
                    <w:rtl w:val="0"/>
                  </w:rPr>
                </w:r>
              </w:p>
            </w:tc>
          </w:tr>
        </w:tbl>
      </w:sdtContent>
    </w:sdt>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color w:val="000000"/>
        </w:rPr>
      </w:pPr>
      <w:bookmarkStart w:colFirst="0" w:colLast="0" w:name="_heading=h.2sruwnowxcq" w:id="1"/>
      <w:bookmarkEnd w:id="1"/>
      <w:r w:rsidDel="00000000" w:rsidR="00000000" w:rsidRPr="00000000">
        <w:rPr>
          <w:color w:val="000000"/>
          <w:rtl w:val="0"/>
        </w:rPr>
        <w:t xml:space="preserve">3.4 Agent Specializations (Indicative)</w:t>
      </w:r>
    </w:p>
    <w:tbl>
      <w:tblPr>
        <w:tblStyle w:val="Table2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B4">
            <w:pPr>
              <w:rPr/>
            </w:pPr>
            <w:r w:rsidDel="00000000" w:rsidR="00000000" w:rsidRPr="00000000">
              <w:rPr>
                <w:b w:val="1"/>
                <w:bCs w:val="1"/>
                <w:color w:val="ffffff"/>
                <w:rtl w:val="0"/>
              </w:rPr>
              <w:t xml:space="preserve">Agent</w:t>
            </w:r>
            <w:r w:rsidDel="00000000" w:rsidR="00000000" w:rsidRPr="00000000">
              <w:rPr>
                <w:rtl w:val="0"/>
              </w:rPr>
            </w:r>
          </w:p>
        </w:tc>
        <w:tc>
          <w:tcPr>
            <w:shd w:fill="4472c4" w:val="clear"/>
          </w:tcPr>
          <w:p w:rsidR="00000000" w:rsidDel="00000000" w:rsidP="00000000" w:rsidRDefault="00000000" w:rsidRPr="00000000" w14:paraId="000000B5">
            <w:pPr>
              <w:rPr/>
            </w:pPr>
            <w:r w:rsidDel="00000000" w:rsidR="00000000" w:rsidRPr="00000000">
              <w:rPr>
                <w:b w:val="1"/>
                <w:bCs w:val="1"/>
                <w:color w:val="ffffff"/>
                <w:rtl w:val="0"/>
              </w:rPr>
              <w:t xml:space="preserve">Assessment Focus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0B6">
            <w:pPr>
              <w:rPr/>
            </w:pPr>
            <w:r w:rsidDel="00000000" w:rsidR="00000000" w:rsidRPr="00000000">
              <w:rPr>
                <w:b w:val="1"/>
                <w:bCs w:val="1"/>
                <w:rtl w:val="0"/>
              </w:rPr>
              <w:t xml:space="preserve">Need &amp; Relevance Agent</w:t>
            </w:r>
            <w:r w:rsidDel="00000000" w:rsidR="00000000" w:rsidRPr="00000000">
              <w:rPr>
                <w:rtl w:val="0"/>
              </w:rPr>
            </w:r>
          </w:p>
        </w:tc>
        <w:tc>
          <w:tcPr>
            <w:shd w:fill="d5e8f0" w:val="clear"/>
          </w:tcPr>
          <w:p w:rsidR="00000000" w:rsidDel="00000000" w:rsidP="00000000" w:rsidRDefault="00000000" w:rsidRPr="00000000" w14:paraId="000000B7">
            <w:pPr>
              <w:rPr/>
            </w:pPr>
            <w:r w:rsidDel="00000000" w:rsidR="00000000" w:rsidRPr="00000000">
              <w:rPr>
                <w:rtl w:val="0"/>
              </w:rPr>
              <w:t xml:space="preserve">Problem justification, duplication check, FC-cycle alignment, strategic fit</w:t>
            </w:r>
          </w:p>
        </w:tc>
      </w:tr>
      <w:tr>
        <w:trPr>
          <w:cantSplit w:val="0"/>
          <w:tblHeader w:val="0"/>
        </w:trPr>
        <w:tc>
          <w:tcPr>
            <w:shd w:fill="d5e8f0" w:val="clear"/>
          </w:tcPr>
          <w:p w:rsidR="00000000" w:rsidDel="00000000" w:rsidP="00000000" w:rsidRDefault="00000000" w:rsidRPr="00000000" w14:paraId="000000B8">
            <w:pPr>
              <w:rPr/>
            </w:pPr>
            <w:r w:rsidDel="00000000" w:rsidR="00000000" w:rsidRPr="00000000">
              <w:rPr>
                <w:b w:val="1"/>
                <w:bCs w:val="1"/>
                <w:rtl w:val="0"/>
              </w:rPr>
              <w:t xml:space="preserve">Outcome &amp; Performance Agent</w:t>
            </w:r>
            <w:r w:rsidDel="00000000" w:rsidR="00000000" w:rsidRPr="00000000">
              <w:rPr>
                <w:rtl w:val="0"/>
              </w:rPr>
            </w:r>
          </w:p>
        </w:tc>
        <w:tc>
          <w:tcPr>
            <w:shd w:fill="d5e8f0" w:val="clear"/>
          </w:tcPr>
          <w:p w:rsidR="00000000" w:rsidDel="00000000" w:rsidP="00000000" w:rsidRDefault="00000000" w:rsidRPr="00000000" w14:paraId="000000B9">
            <w:pPr>
              <w:rPr/>
            </w:pPr>
            <w:r w:rsidDel="00000000" w:rsidR="00000000" w:rsidRPr="00000000">
              <w:rPr>
                <w:rtl w:val="0"/>
              </w:rPr>
              <w:t xml:space="preserve">Output indicators, outcome measurement, past performance analysis, KPI validation</w:t>
            </w:r>
          </w:p>
        </w:tc>
      </w:tr>
      <w:tr>
        <w:trPr>
          <w:cantSplit w:val="0"/>
          <w:tblHeader w:val="0"/>
        </w:trPr>
        <w:tc>
          <w:tcPr>
            <w:shd w:fill="d5e8f0" w:val="clear"/>
          </w:tcPr>
          <w:p w:rsidR="00000000" w:rsidDel="00000000" w:rsidP="00000000" w:rsidRDefault="00000000" w:rsidRPr="00000000" w14:paraId="000000BA">
            <w:pPr>
              <w:rPr/>
            </w:pPr>
            <w:r w:rsidDel="00000000" w:rsidR="00000000" w:rsidRPr="00000000">
              <w:rPr>
                <w:b w:val="1"/>
                <w:bCs w:val="1"/>
                <w:rtl w:val="0"/>
              </w:rPr>
              <w:t xml:space="preserve">Cost &amp; Fiscal Agent</w:t>
            </w:r>
            <w:r w:rsidDel="00000000" w:rsidR="00000000" w:rsidRPr="00000000">
              <w:rPr>
                <w:rtl w:val="0"/>
              </w:rPr>
            </w:r>
          </w:p>
        </w:tc>
        <w:tc>
          <w:tcPr>
            <w:shd w:fill="d5e8f0" w:val="clear"/>
          </w:tcPr>
          <w:p w:rsidR="00000000" w:rsidDel="00000000" w:rsidP="00000000" w:rsidRDefault="00000000" w:rsidRPr="00000000" w14:paraId="000000BB">
            <w:pPr>
              <w:rPr/>
            </w:pPr>
            <w:r w:rsidDel="00000000" w:rsidR="00000000" w:rsidRPr="00000000">
              <w:rPr>
                <w:rtl w:val="0"/>
              </w:rPr>
              <w:t xml:space="preserve">Cost norm compliance, affordability check, FC ceiling validation, 5.5x rule assessment</w:t>
            </w:r>
          </w:p>
        </w:tc>
      </w:tr>
      <w:tr>
        <w:trPr>
          <w:cantSplit w:val="0"/>
          <w:tblHeader w:val="0"/>
        </w:trPr>
        <w:tc>
          <w:tcPr>
            <w:shd w:fill="d5e8f0" w:val="clear"/>
          </w:tcPr>
          <w:p w:rsidR="00000000" w:rsidDel="00000000" w:rsidP="00000000" w:rsidRDefault="00000000" w:rsidRPr="00000000" w14:paraId="000000BC">
            <w:pPr>
              <w:rPr/>
            </w:pPr>
            <w:r w:rsidDel="00000000" w:rsidR="00000000" w:rsidRPr="00000000">
              <w:rPr>
                <w:b w:val="1"/>
                <w:bCs w:val="1"/>
                <w:rtl w:val="0"/>
              </w:rPr>
              <w:t xml:space="preserve">Implementation &amp; Risk Agent</w:t>
            </w:r>
            <w:r w:rsidDel="00000000" w:rsidR="00000000" w:rsidRPr="00000000">
              <w:rPr>
                <w:rtl w:val="0"/>
              </w:rPr>
            </w:r>
          </w:p>
        </w:tc>
        <w:tc>
          <w:tcPr>
            <w:shd w:fill="d5e8f0" w:val="clear"/>
          </w:tcPr>
          <w:p w:rsidR="00000000" w:rsidDel="00000000" w:rsidP="00000000" w:rsidRDefault="00000000" w:rsidRPr="00000000" w14:paraId="000000BD">
            <w:pPr>
              <w:rPr/>
            </w:pPr>
            <w:r w:rsidDel="00000000" w:rsidR="00000000" w:rsidRPr="00000000">
              <w:rPr>
                <w:rtl w:val="0"/>
              </w:rPr>
              <w:t xml:space="preserve">Delivery mechanism feasibility, DBT/PFMS integration, capacity assessment, risk mitigation</w:t>
            </w:r>
          </w:p>
        </w:tc>
      </w:tr>
      <w:tr>
        <w:trPr>
          <w:cantSplit w:val="0"/>
          <w:tblHeader w:val="0"/>
        </w:trPr>
        <w:tc>
          <w:tcPr>
            <w:shd w:fill="d5e8f0" w:val="clear"/>
          </w:tcPr>
          <w:p w:rsidR="00000000" w:rsidDel="00000000" w:rsidP="00000000" w:rsidRDefault="00000000" w:rsidRPr="00000000" w14:paraId="000000BE">
            <w:pPr>
              <w:rPr/>
            </w:pPr>
            <w:r w:rsidDel="00000000" w:rsidR="00000000" w:rsidRPr="00000000">
              <w:rPr>
                <w:b w:val="1"/>
                <w:bCs w:val="1"/>
                <w:rtl w:val="0"/>
              </w:rPr>
              <w:t xml:space="preserve">Inter-Ministerial Agent</w:t>
            </w:r>
            <w:r w:rsidDel="00000000" w:rsidR="00000000" w:rsidRPr="00000000">
              <w:rPr>
                <w:rtl w:val="0"/>
              </w:rPr>
            </w:r>
          </w:p>
        </w:tc>
        <w:tc>
          <w:tcPr>
            <w:shd w:fill="d5e8f0" w:val="clear"/>
          </w:tcPr>
          <w:p w:rsidR="00000000" w:rsidDel="00000000" w:rsidP="00000000" w:rsidRDefault="00000000" w:rsidRPr="00000000" w14:paraId="000000BF">
            <w:pPr>
              <w:rPr/>
            </w:pPr>
            <w:r w:rsidDel="00000000" w:rsidR="00000000" w:rsidRPr="00000000">
              <w:rPr>
                <w:rtl w:val="0"/>
              </w:rPr>
              <w:t xml:space="preserve">Overlap detection, NITI Aayog coordination, inter-ministerial funding analysis, alignment check</w:t>
            </w:r>
          </w:p>
        </w:tc>
      </w:tr>
    </w:tbl>
    <w:p w:rsidR="00000000" w:rsidDel="00000000" w:rsidP="00000000" w:rsidRDefault="00000000" w:rsidRPr="00000000" w14:paraId="000000C0">
      <w:pPr>
        <w:pStyle w:val="Heading2"/>
        <w:rPr>
          <w:color w:val="000000"/>
          <w:sz w:val="28"/>
          <w:szCs w:val="28"/>
        </w:rPr>
      </w:pPr>
      <w:r w:rsidDel="00000000" w:rsidR="00000000" w:rsidRPr="00000000">
        <w:rPr>
          <w:color w:val="000000"/>
          <w:rtl w:val="0"/>
        </w:rPr>
        <w:t xml:space="preserve">3.5 </w:t>
      </w:r>
      <w:r w:rsidDel="00000000" w:rsidR="00000000" w:rsidRPr="00000000">
        <w:rPr>
          <w:color w:val="000000"/>
          <w:sz w:val="28"/>
          <w:szCs w:val="28"/>
          <w:rtl w:val="0"/>
        </w:rPr>
        <w:t xml:space="preserve">Technical Components and Services</w:t>
      </w:r>
    </w:p>
    <w:p w:rsidR="00000000" w:rsidDel="00000000" w:rsidP="00000000" w:rsidRDefault="00000000" w:rsidRPr="00000000" w14:paraId="000000C1">
      <w:pPr>
        <w:pStyle w:val="Heading2"/>
        <w:rPr>
          <w:color w:val="000000"/>
        </w:rPr>
      </w:pPr>
      <w:r w:rsidDel="00000000" w:rsidR="00000000" w:rsidRPr="00000000">
        <w:rPr>
          <w:color w:val="000000"/>
          <w:rtl w:val="0"/>
        </w:rPr>
        <w:t xml:space="preserve">3.5.1 AWS-Based Implementation</w:t>
      </w:r>
    </w:p>
    <w:sdt>
      <w:sdtPr>
        <w:lock w:val="contentLocked"/>
        <w:id w:val="1093416173"/>
        <w:tag w:val="goog_rdk_30"/>
      </w:sdtPr>
      <w:sdtContent>
        <w:tbl>
          <w:tblPr>
            <w:tblStyle w:val="Table2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f9900" w:val="clear"/>
              </w:tcPr>
              <w:p w:rsidR="00000000" w:rsidDel="00000000" w:rsidP="00000000" w:rsidRDefault="00000000" w:rsidRPr="00000000" w14:paraId="000000C2">
                <w:pPr>
                  <w:rPr/>
                </w:pPr>
                <w:r w:rsidDel="00000000" w:rsidR="00000000" w:rsidRPr="00000000">
                  <w:rPr>
                    <w:color w:val="ffffff"/>
                    <w:rtl w:val="0"/>
                  </w:rPr>
                  <w:t xml:space="preserve">Component</w:t>
                </w:r>
                <w:r w:rsidDel="00000000" w:rsidR="00000000" w:rsidRPr="00000000">
                  <w:rPr>
                    <w:rtl w:val="0"/>
                  </w:rPr>
                </w:r>
              </w:p>
            </w:tc>
            <w:tc>
              <w:tcPr>
                <w:shd w:fill="ff9900" w:val="clear"/>
              </w:tcPr>
              <w:p w:rsidR="00000000" w:rsidDel="00000000" w:rsidP="00000000" w:rsidRDefault="00000000" w:rsidRPr="00000000" w14:paraId="000000C3">
                <w:pPr>
                  <w:rPr/>
                </w:pPr>
                <w:r w:rsidDel="00000000" w:rsidR="00000000" w:rsidRPr="00000000">
                  <w:rPr>
                    <w:color w:val="ffffff"/>
                    <w:rtl w:val="0"/>
                  </w:rPr>
                  <w:t xml:space="preserve">AWS Service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rPr/>
                </w:pPr>
                <w:r w:rsidDel="00000000" w:rsidR="00000000" w:rsidRPr="00000000">
                  <w:rPr>
                    <w:rtl w:val="0"/>
                  </w:rPr>
                  <w:t xml:space="preserve">Foundation Models</w:t>
                </w:r>
              </w:p>
            </w:tc>
            <w:tc>
              <w:tcPr>
                <w:shd w:fill="auto" w:val="clear"/>
              </w:tcPr>
              <w:p w:rsidR="00000000" w:rsidDel="00000000" w:rsidP="00000000" w:rsidRDefault="00000000" w:rsidRPr="00000000" w14:paraId="000000C5">
                <w:pPr>
                  <w:rPr/>
                </w:pPr>
                <w:r w:rsidDel="00000000" w:rsidR="00000000" w:rsidRPr="00000000">
                  <w:rPr>
                    <w:rtl w:val="0"/>
                  </w:rPr>
                  <w:t xml:space="preserve">Amazon Bedrock: Claude 3.5 Sonnet (comprehensive analysis), Claude 3.7 Haiku (quick queries)</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Embedding Service</w:t>
                </w:r>
              </w:p>
            </w:tc>
            <w:tc>
              <w:tcPr/>
              <w:p w:rsidR="00000000" w:rsidDel="00000000" w:rsidP="00000000" w:rsidRDefault="00000000" w:rsidRPr="00000000" w14:paraId="000000C7">
                <w:pPr>
                  <w:rPr/>
                </w:pPr>
                <w:r w:rsidDel="00000000" w:rsidR="00000000" w:rsidRPr="00000000">
                  <w:rPr>
                    <w:rtl w:val="0"/>
                  </w:rPr>
                  <w:t xml:space="preserve">Amazon Bedrock: Titan Embeddings V2 (1024 dimensions)</w:t>
                </w:r>
              </w:p>
            </w:tc>
          </w:tr>
          <w:tr>
            <w:trPr>
              <w:cantSplit w:val="0"/>
              <w:tblHeader w:val="0"/>
            </w:trPr>
            <w:tc>
              <w:tcPr>
                <w:shd w:fill="auto" w:val="clear"/>
              </w:tcPr>
              <w:p w:rsidR="00000000" w:rsidDel="00000000" w:rsidP="00000000" w:rsidRDefault="00000000" w:rsidRPr="00000000" w14:paraId="000000C8">
                <w:pPr>
                  <w:rPr/>
                </w:pPr>
                <w:r w:rsidDel="00000000" w:rsidR="00000000" w:rsidRPr="00000000">
                  <w:rPr>
                    <w:rtl w:val="0"/>
                  </w:rPr>
                  <w:t xml:space="preserve">Vector Database</w:t>
                </w:r>
              </w:p>
            </w:tc>
            <w:tc>
              <w:tcPr>
                <w:shd w:fill="auto" w:val="clear"/>
              </w:tcPr>
              <w:p w:rsidR="00000000" w:rsidDel="00000000" w:rsidP="00000000" w:rsidRDefault="00000000" w:rsidRPr="00000000" w14:paraId="000000C9">
                <w:pPr>
                  <w:rPr/>
                </w:pPr>
                <w:r w:rsidDel="00000000" w:rsidR="00000000" w:rsidRPr="00000000">
                  <w:rPr>
                    <w:rtl w:val="0"/>
                  </w:rPr>
                  <w:t xml:space="preserve">Amazon OpenSearch Service with k-NN plugin or Aurora PostgreSQL with pgvector extension</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Compute</w:t>
                </w:r>
              </w:p>
            </w:tc>
            <w:tc>
              <w:tcPr/>
              <w:p w:rsidR="00000000" w:rsidDel="00000000" w:rsidP="00000000" w:rsidRDefault="00000000" w:rsidRPr="00000000" w14:paraId="000000CB">
                <w:pPr>
                  <w:rPr/>
                </w:pPr>
                <w:r w:rsidDel="00000000" w:rsidR="00000000" w:rsidRPr="00000000">
                  <w:rPr>
                    <w:rtl w:val="0"/>
                  </w:rPr>
                  <w:t xml:space="preserve">AWS Lambda (serverless agent execution), ECS Fargate (containerized orchestrator)</w:t>
                </w:r>
              </w:p>
            </w:tc>
          </w:tr>
          <w:tr>
            <w:trPr>
              <w:cantSplit w:val="0"/>
              <w:tblHeader w:val="0"/>
            </w:trPr>
            <w:tc>
              <w:tcPr>
                <w:shd w:fill="auto" w:val="clear"/>
              </w:tcPr>
              <w:p w:rsidR="00000000" w:rsidDel="00000000" w:rsidP="00000000" w:rsidRDefault="00000000" w:rsidRPr="00000000" w14:paraId="000000CC">
                <w:pPr>
                  <w:rPr/>
                </w:pPr>
                <w:r w:rsidDel="00000000" w:rsidR="00000000" w:rsidRPr="00000000">
                  <w:rPr>
                    <w:rtl w:val="0"/>
                  </w:rPr>
                  <w:t xml:space="preserve">API Layer</w:t>
                </w:r>
              </w:p>
            </w:tc>
            <w:tc>
              <w:tcPr>
                <w:shd w:fill="auto" w:val="clear"/>
              </w:tcPr>
              <w:p w:rsidR="00000000" w:rsidDel="00000000" w:rsidP="00000000" w:rsidRDefault="00000000" w:rsidRPr="00000000" w14:paraId="000000CD">
                <w:pPr>
                  <w:rPr/>
                </w:pPr>
                <w:r w:rsidDel="00000000" w:rsidR="00000000" w:rsidRPr="00000000">
                  <w:rPr>
                    <w:rtl w:val="0"/>
                  </w:rPr>
                  <w:t xml:space="preserve">Amazon API Gateway (REST/WebSocket), Application Load Balancer</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Storage</w:t>
                </w:r>
              </w:p>
            </w:tc>
            <w:tc>
              <w:tcPr/>
              <w:p w:rsidR="00000000" w:rsidDel="00000000" w:rsidP="00000000" w:rsidRDefault="00000000" w:rsidRPr="00000000" w14:paraId="000000CF">
                <w:pPr>
                  <w:rPr/>
                </w:pPr>
                <w:r w:rsidDel="00000000" w:rsidR="00000000" w:rsidRPr="00000000">
                  <w:rPr>
                    <w:rtl w:val="0"/>
                  </w:rPr>
                  <w:t xml:space="preserve">Amazon S3 (encrypted document storage), Amazon EFS (shared file system)</w:t>
                </w:r>
              </w:p>
            </w:tc>
          </w:tr>
          <w:tr>
            <w:trPr>
              <w:cantSplit w:val="0"/>
              <w:tblHeader w:val="0"/>
            </w:trPr>
            <w:tc>
              <w:tcPr>
                <w:shd w:fill="auto" w:val="clear"/>
              </w:tcPr>
              <w:p w:rsidR="00000000" w:rsidDel="00000000" w:rsidP="00000000" w:rsidRDefault="00000000" w:rsidRPr="00000000" w14:paraId="000000D0">
                <w:pPr>
                  <w:rPr/>
                </w:pPr>
                <w:r w:rsidDel="00000000" w:rsidR="00000000" w:rsidRPr="00000000">
                  <w:rPr>
                    <w:rtl w:val="0"/>
                  </w:rPr>
                  <w:t xml:space="preserve">Database</w:t>
                </w:r>
              </w:p>
            </w:tc>
            <w:tc>
              <w:tcPr>
                <w:shd w:fill="auto" w:val="clear"/>
              </w:tcPr>
              <w:p w:rsidR="00000000" w:rsidDel="00000000" w:rsidP="00000000" w:rsidRDefault="00000000" w:rsidRPr="00000000" w14:paraId="000000D1">
                <w:pPr>
                  <w:rPr/>
                </w:pPr>
                <w:r w:rsidDel="00000000" w:rsidR="00000000" w:rsidRPr="00000000">
                  <w:rPr>
                    <w:rtl w:val="0"/>
                  </w:rPr>
                  <w:t xml:space="preserve">Amazon RDS PostgreSQL (metadata), Amazon DynamoDB (session state)</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Networking</w:t>
                </w:r>
              </w:p>
            </w:tc>
            <w:tc>
              <w:tcPr/>
              <w:p w:rsidR="00000000" w:rsidDel="00000000" w:rsidP="00000000" w:rsidRDefault="00000000" w:rsidRPr="00000000" w14:paraId="000000D3">
                <w:pPr>
                  <w:rPr/>
                </w:pPr>
                <w:r w:rsidDel="00000000" w:rsidR="00000000" w:rsidRPr="00000000">
                  <w:rPr>
                    <w:rtl w:val="0"/>
                  </w:rPr>
                  <w:t xml:space="preserve">VPC with private subnets, VPC endpoints, PrivateLink for Bedrock</w:t>
                </w:r>
              </w:p>
            </w:tc>
          </w:tr>
          <w:tr>
            <w:trPr>
              <w:cantSplit w:val="0"/>
              <w:tblHeader w:val="0"/>
            </w:trPr>
            <w:tc>
              <w:tcPr>
                <w:shd w:fill="auto" w:val="clear"/>
              </w:tcPr>
              <w:p w:rsidR="00000000" w:rsidDel="00000000" w:rsidP="00000000" w:rsidRDefault="00000000" w:rsidRPr="00000000" w14:paraId="000000D4">
                <w:pPr>
                  <w:rPr/>
                </w:pPr>
                <w:r w:rsidDel="00000000" w:rsidR="00000000" w:rsidRPr="00000000">
                  <w:rPr>
                    <w:rtl w:val="0"/>
                  </w:rPr>
                  <w:t xml:space="preserve">Security</w:t>
                </w:r>
              </w:p>
            </w:tc>
            <w:tc>
              <w:tcPr>
                <w:shd w:fill="auto" w:val="clear"/>
              </w:tcPr>
              <w:p w:rsidR="00000000" w:rsidDel="00000000" w:rsidP="00000000" w:rsidRDefault="00000000" w:rsidRPr="00000000" w14:paraId="000000D5">
                <w:pPr>
                  <w:rPr/>
                </w:pPr>
                <w:r w:rsidDel="00000000" w:rsidR="00000000" w:rsidRPr="00000000">
                  <w:rPr>
                    <w:rtl w:val="0"/>
                  </w:rPr>
                  <w:t xml:space="preserve">AWS KMS (encryption), IAM (access control), Secrets Manager, AWS WAF</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Monitoring</w:t>
                </w:r>
              </w:p>
            </w:tc>
            <w:tc>
              <w:tcPr/>
              <w:p w:rsidR="00000000" w:rsidDel="00000000" w:rsidP="00000000" w:rsidRDefault="00000000" w:rsidRPr="00000000" w14:paraId="000000D7">
                <w:pPr>
                  <w:rPr/>
                </w:pPr>
                <w:r w:rsidDel="00000000" w:rsidR="00000000" w:rsidRPr="00000000">
                  <w:rPr>
                    <w:rtl w:val="0"/>
                  </w:rPr>
                  <w:t xml:space="preserve">CloudWatch (metrics/logs), CloudTrail (audit), X-Ray (tracing), GuardDuty (threats)</w:t>
                </w:r>
              </w:p>
            </w:tc>
          </w:tr>
        </w:tbl>
      </w:sdtContent>
    </w:sdt>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color w:val="000000"/>
        </w:rPr>
      </w:pPr>
      <w:bookmarkStart w:colFirst="0" w:colLast="0" w:name="_heading=h.fjyxbmece8sz" w:id="2"/>
      <w:bookmarkEnd w:id="2"/>
      <w:r w:rsidDel="00000000" w:rsidR="00000000" w:rsidRPr="00000000">
        <w:rPr>
          <w:color w:val="000000"/>
          <w:rtl w:val="0"/>
        </w:rPr>
        <w:t xml:space="preserve">3.5.2 Google Cloud-Based Implementation</w:t>
      </w:r>
    </w:p>
    <w:sdt>
      <w:sdtPr>
        <w:lock w:val="contentLocked"/>
        <w:id w:val="1492494000"/>
        <w:tag w:val="goog_rdk_31"/>
      </w:sdtPr>
      <w:sdtContent>
        <w:tbl>
          <w:tblPr>
            <w:tblStyle w:val="Table2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4285f4" w:val="clear"/>
              </w:tcPr>
              <w:p w:rsidR="00000000" w:rsidDel="00000000" w:rsidP="00000000" w:rsidRDefault="00000000" w:rsidRPr="00000000" w14:paraId="000000DA">
                <w:pPr>
                  <w:rPr/>
                </w:pPr>
                <w:r w:rsidDel="00000000" w:rsidR="00000000" w:rsidRPr="00000000">
                  <w:rPr>
                    <w:color w:val="ffffff"/>
                    <w:rtl w:val="0"/>
                  </w:rPr>
                  <w:t xml:space="preserve">Component</w:t>
                </w:r>
                <w:r w:rsidDel="00000000" w:rsidR="00000000" w:rsidRPr="00000000">
                  <w:rPr>
                    <w:rtl w:val="0"/>
                  </w:rPr>
                </w:r>
              </w:p>
            </w:tc>
            <w:tc>
              <w:tcPr>
                <w:shd w:fill="4285f4" w:val="clear"/>
              </w:tcPr>
              <w:p w:rsidR="00000000" w:rsidDel="00000000" w:rsidP="00000000" w:rsidRDefault="00000000" w:rsidRPr="00000000" w14:paraId="000000DB">
                <w:pPr>
                  <w:rPr/>
                </w:pPr>
                <w:r w:rsidDel="00000000" w:rsidR="00000000" w:rsidRPr="00000000">
                  <w:rPr>
                    <w:color w:val="ffffff"/>
                    <w:rtl w:val="0"/>
                  </w:rPr>
                  <w:t xml:space="preserve">Google Cloud Service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rPr/>
                </w:pPr>
                <w:r w:rsidDel="00000000" w:rsidR="00000000" w:rsidRPr="00000000">
                  <w:rPr>
                    <w:rtl w:val="0"/>
                  </w:rPr>
                  <w:t xml:space="preserve">Foundation Models</w:t>
                </w:r>
              </w:p>
            </w:tc>
            <w:tc>
              <w:tcPr>
                <w:shd w:fill="auto" w:val="clear"/>
              </w:tcPr>
              <w:p w:rsidR="00000000" w:rsidDel="00000000" w:rsidP="00000000" w:rsidRDefault="00000000" w:rsidRPr="00000000" w14:paraId="000000DD">
                <w:pPr>
                  <w:rPr/>
                </w:pPr>
                <w:r w:rsidDel="00000000" w:rsidR="00000000" w:rsidRPr="00000000">
                  <w:rPr>
                    <w:rtl w:val="0"/>
                  </w:rPr>
                  <w:t xml:space="preserve">Vertex AI: Gemini 1.5 Pro (comprehensive analysis), Gemini 1.5 Flash (quick queries)</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Embedding Service</w:t>
                </w:r>
              </w:p>
            </w:tc>
            <w:tc>
              <w:tcPr/>
              <w:p w:rsidR="00000000" w:rsidDel="00000000" w:rsidP="00000000" w:rsidRDefault="00000000" w:rsidRPr="00000000" w14:paraId="000000DF">
                <w:pPr>
                  <w:rPr/>
                </w:pPr>
                <w:r w:rsidDel="00000000" w:rsidR="00000000" w:rsidRPr="00000000">
                  <w:rPr>
                    <w:rtl w:val="0"/>
                  </w:rPr>
                  <w:t xml:space="preserve">Vertex AI Text Embeddings API (768 dimensions)</w:t>
                </w:r>
              </w:p>
            </w:tc>
          </w:tr>
          <w:tr>
            <w:trPr>
              <w:cantSplit w:val="0"/>
              <w:tblHeader w:val="0"/>
            </w:trPr>
            <w:tc>
              <w:tcPr>
                <w:shd w:fill="auto" w:val="clear"/>
              </w:tcPr>
              <w:p w:rsidR="00000000" w:rsidDel="00000000" w:rsidP="00000000" w:rsidRDefault="00000000" w:rsidRPr="00000000" w14:paraId="000000E0">
                <w:pPr>
                  <w:rPr/>
                </w:pPr>
                <w:r w:rsidDel="00000000" w:rsidR="00000000" w:rsidRPr="00000000">
                  <w:rPr>
                    <w:rtl w:val="0"/>
                  </w:rPr>
                  <w:t xml:space="preserve">Vector Database</w:t>
                </w:r>
              </w:p>
            </w:tc>
            <w:tc>
              <w:tcPr>
                <w:shd w:fill="auto" w:val="clear"/>
              </w:tcPr>
              <w:p w:rsidR="00000000" w:rsidDel="00000000" w:rsidP="00000000" w:rsidRDefault="00000000" w:rsidRPr="00000000" w14:paraId="000000E1">
                <w:pPr>
                  <w:rPr/>
                </w:pPr>
                <w:r w:rsidDel="00000000" w:rsidR="00000000" w:rsidRPr="00000000">
                  <w:rPr>
                    <w:rtl w:val="0"/>
                  </w:rPr>
                  <w:t xml:space="preserve">Vertex AI Vector Search or Cloud SQL for PostgreSQL with pgvector</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Compute</w:t>
                </w:r>
              </w:p>
            </w:tc>
            <w:tc>
              <w:tcPr/>
              <w:p w:rsidR="00000000" w:rsidDel="00000000" w:rsidP="00000000" w:rsidRDefault="00000000" w:rsidRPr="00000000" w14:paraId="000000E3">
                <w:pPr>
                  <w:rPr/>
                </w:pPr>
                <w:r w:rsidDel="00000000" w:rsidR="00000000" w:rsidRPr="00000000">
                  <w:rPr>
                    <w:rtl w:val="0"/>
                  </w:rPr>
                  <w:t xml:space="preserve">Cloud Functions (serverless agents), Cloud Run (containerized orchestrator)</w:t>
                </w:r>
              </w:p>
            </w:tc>
          </w:tr>
          <w:tr>
            <w:trPr>
              <w:cantSplit w:val="0"/>
              <w:tblHeader w:val="0"/>
            </w:trPr>
            <w:tc>
              <w:tcPr>
                <w:shd w:fill="auto" w:val="clear"/>
              </w:tcPr>
              <w:p w:rsidR="00000000" w:rsidDel="00000000" w:rsidP="00000000" w:rsidRDefault="00000000" w:rsidRPr="00000000" w14:paraId="000000E4">
                <w:pPr>
                  <w:rPr/>
                </w:pPr>
                <w:r w:rsidDel="00000000" w:rsidR="00000000" w:rsidRPr="00000000">
                  <w:rPr>
                    <w:rtl w:val="0"/>
                  </w:rPr>
                  <w:t xml:space="preserve">API Layer</w:t>
                </w:r>
              </w:p>
            </w:tc>
            <w:tc>
              <w:tcPr>
                <w:shd w:fill="auto" w:val="clear"/>
              </w:tcPr>
              <w:p w:rsidR="00000000" w:rsidDel="00000000" w:rsidP="00000000" w:rsidRDefault="00000000" w:rsidRPr="00000000" w14:paraId="000000E5">
                <w:pPr>
                  <w:rPr/>
                </w:pPr>
                <w:r w:rsidDel="00000000" w:rsidR="00000000" w:rsidRPr="00000000">
                  <w:rPr>
                    <w:rtl w:val="0"/>
                  </w:rPr>
                  <w:t xml:space="preserve">Cloud Endpoints (API management), Cloud Load Balancing</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Storage</w:t>
                </w:r>
              </w:p>
            </w:tc>
            <w:tc>
              <w:tcPr/>
              <w:p w:rsidR="00000000" w:rsidDel="00000000" w:rsidP="00000000" w:rsidRDefault="00000000" w:rsidRPr="00000000" w14:paraId="000000E7">
                <w:pPr>
                  <w:rPr/>
                </w:pPr>
                <w:r w:rsidDel="00000000" w:rsidR="00000000" w:rsidRPr="00000000">
                  <w:rPr>
                    <w:rtl w:val="0"/>
                  </w:rPr>
                  <w:t xml:space="preserve">Cloud Storage (encrypted documents), Filestore (shared file system)</w:t>
                </w:r>
              </w:p>
            </w:tc>
          </w:tr>
          <w:tr>
            <w:trPr>
              <w:cantSplit w:val="0"/>
              <w:tblHeader w:val="0"/>
            </w:trPr>
            <w:tc>
              <w:tcPr>
                <w:shd w:fill="auto" w:val="clear"/>
              </w:tcPr>
              <w:p w:rsidR="00000000" w:rsidDel="00000000" w:rsidP="00000000" w:rsidRDefault="00000000" w:rsidRPr="00000000" w14:paraId="000000E8">
                <w:pPr>
                  <w:rPr/>
                </w:pPr>
                <w:r w:rsidDel="00000000" w:rsidR="00000000" w:rsidRPr="00000000">
                  <w:rPr>
                    <w:rtl w:val="0"/>
                  </w:rPr>
                  <w:t xml:space="preserve">Database</w:t>
                </w:r>
              </w:p>
            </w:tc>
            <w:tc>
              <w:tcPr>
                <w:shd w:fill="auto" w:val="clear"/>
              </w:tcPr>
              <w:p w:rsidR="00000000" w:rsidDel="00000000" w:rsidP="00000000" w:rsidRDefault="00000000" w:rsidRPr="00000000" w14:paraId="000000E9">
                <w:pPr>
                  <w:rPr/>
                </w:pPr>
                <w:r w:rsidDel="00000000" w:rsidR="00000000" w:rsidRPr="00000000">
                  <w:rPr>
                    <w:rtl w:val="0"/>
                  </w:rPr>
                  <w:t xml:space="preserve">Cloud SQL PostgreSQL (metadata), Firestore (session state)</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Networking</w:t>
                </w:r>
              </w:p>
            </w:tc>
            <w:tc>
              <w:tcPr/>
              <w:p w:rsidR="00000000" w:rsidDel="00000000" w:rsidP="00000000" w:rsidRDefault="00000000" w:rsidRPr="00000000" w14:paraId="000000EB">
                <w:pPr>
                  <w:rPr/>
                </w:pPr>
                <w:r w:rsidDel="00000000" w:rsidR="00000000" w:rsidRPr="00000000">
                  <w:rPr>
                    <w:rtl w:val="0"/>
                  </w:rPr>
                  <w:t xml:space="preserve">VPC with private subnets, Private Service Connect, VPC Service Controls</w:t>
                </w:r>
              </w:p>
            </w:tc>
          </w:tr>
          <w:tr>
            <w:trPr>
              <w:cantSplit w:val="0"/>
              <w:tblHeader w:val="0"/>
            </w:trPr>
            <w:tc>
              <w:tcPr>
                <w:shd w:fill="auto" w:val="clear"/>
              </w:tcPr>
              <w:p w:rsidR="00000000" w:rsidDel="00000000" w:rsidP="00000000" w:rsidRDefault="00000000" w:rsidRPr="00000000" w14:paraId="000000EC">
                <w:pPr>
                  <w:rPr/>
                </w:pPr>
                <w:r w:rsidDel="00000000" w:rsidR="00000000" w:rsidRPr="00000000">
                  <w:rPr>
                    <w:rtl w:val="0"/>
                  </w:rPr>
                  <w:t xml:space="preserve">Security</w:t>
                </w:r>
              </w:p>
            </w:tc>
            <w:tc>
              <w:tcPr>
                <w:shd w:fill="auto" w:val="clear"/>
              </w:tcPr>
              <w:p w:rsidR="00000000" w:rsidDel="00000000" w:rsidP="00000000" w:rsidRDefault="00000000" w:rsidRPr="00000000" w14:paraId="000000ED">
                <w:pPr>
                  <w:rPr/>
                </w:pPr>
                <w:r w:rsidDel="00000000" w:rsidR="00000000" w:rsidRPr="00000000">
                  <w:rPr>
                    <w:rtl w:val="0"/>
                  </w:rPr>
                  <w:t xml:space="preserve">Cloud KMS (CMEK), IAM (access control), Secret Manager, Cloud Armor</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Monitoring</w:t>
                </w:r>
              </w:p>
            </w:tc>
            <w:tc>
              <w:tcPr/>
              <w:p w:rsidR="00000000" w:rsidDel="00000000" w:rsidP="00000000" w:rsidRDefault="00000000" w:rsidRPr="00000000" w14:paraId="000000EF">
                <w:pPr>
                  <w:rPr/>
                </w:pPr>
                <w:r w:rsidDel="00000000" w:rsidR="00000000" w:rsidRPr="00000000">
                  <w:rPr>
                    <w:rtl w:val="0"/>
                  </w:rPr>
                  <w:t xml:space="preserve">Cloud Monitoring, Cloud Logging, Cloud Trace, Security Command Center</w:t>
                </w:r>
              </w:p>
            </w:tc>
          </w:tr>
        </w:tbl>
      </w:sdtContent>
    </w:sdt>
    <w:p w:rsidR="00000000" w:rsidDel="00000000" w:rsidP="00000000" w:rsidRDefault="00000000" w:rsidRPr="00000000" w14:paraId="000000F0">
      <w:pPr>
        <w:pStyle w:val="Heading1"/>
        <w:rPr>
          <w:color w:val="000000"/>
        </w:rPr>
      </w:pPr>
      <w:r w:rsidDel="00000000" w:rsidR="00000000" w:rsidRPr="00000000">
        <w:rPr>
          <w:color w:val="000000"/>
          <w:rtl w:val="0"/>
        </w:rPr>
        <w:t xml:space="preserve">4. Deployment Architecture and Scalability</w:t>
      </w:r>
    </w:p>
    <w:p w:rsidR="00000000" w:rsidDel="00000000" w:rsidP="00000000" w:rsidRDefault="00000000" w:rsidRPr="00000000" w14:paraId="000000F1">
      <w:pPr>
        <w:pStyle w:val="Heading2"/>
        <w:rPr>
          <w:color w:val="000000"/>
        </w:rPr>
      </w:pPr>
      <w:r w:rsidDel="00000000" w:rsidR="00000000" w:rsidRPr="00000000">
        <w:rPr>
          <w:color w:val="000000"/>
          <w:rtl w:val="0"/>
        </w:rPr>
        <w:t xml:space="preserve">4.1 High-Availability Design</w:t>
      </w:r>
    </w:p>
    <w:sdt>
      <w:sdtPr>
        <w:lock w:val="contentLocked"/>
        <w:id w:val="387465015"/>
        <w:tag w:val="goog_rdk_32"/>
      </w:sdtPr>
      <w:sdtContent>
        <w:tbl>
          <w:tblPr>
            <w:tblStyle w:val="Table2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70ad47" w:val="clear"/>
              </w:tcPr>
              <w:p w:rsidR="00000000" w:rsidDel="00000000" w:rsidP="00000000" w:rsidRDefault="00000000" w:rsidRPr="00000000" w14:paraId="000000F2">
                <w:pPr>
                  <w:rPr/>
                </w:pPr>
                <w:r w:rsidDel="00000000" w:rsidR="00000000" w:rsidRPr="00000000">
                  <w:rPr>
                    <w:color w:val="ffffff"/>
                    <w:rtl w:val="0"/>
                  </w:rPr>
                  <w:t xml:space="preserve">Component</w:t>
                </w:r>
                <w:r w:rsidDel="00000000" w:rsidR="00000000" w:rsidRPr="00000000">
                  <w:rPr>
                    <w:rtl w:val="0"/>
                  </w:rPr>
                </w:r>
              </w:p>
            </w:tc>
            <w:tc>
              <w:tcPr>
                <w:shd w:fill="70ad47" w:val="clear"/>
              </w:tcPr>
              <w:p w:rsidR="00000000" w:rsidDel="00000000" w:rsidP="00000000" w:rsidRDefault="00000000" w:rsidRPr="00000000" w14:paraId="000000F3">
                <w:pPr>
                  <w:rPr/>
                </w:pPr>
                <w:r w:rsidDel="00000000" w:rsidR="00000000" w:rsidRPr="00000000">
                  <w:rPr>
                    <w:color w:val="ffffff"/>
                    <w:rtl w:val="0"/>
                  </w:rPr>
                  <w:t xml:space="preserve">HA Strategy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rPr/>
                </w:pPr>
                <w:r w:rsidDel="00000000" w:rsidR="00000000" w:rsidRPr="00000000">
                  <w:rPr>
                    <w:rtl w:val="0"/>
                  </w:rPr>
                  <w:t xml:space="preserve">Frontend</w:t>
                </w:r>
              </w:p>
            </w:tc>
            <w:tc>
              <w:tcPr>
                <w:shd w:fill="auto" w:val="clear"/>
              </w:tcPr>
              <w:p w:rsidR="00000000" w:rsidDel="00000000" w:rsidP="00000000" w:rsidRDefault="00000000" w:rsidRPr="00000000" w14:paraId="000000F5">
                <w:pPr>
                  <w:rPr/>
                </w:pPr>
                <w:r w:rsidDel="00000000" w:rsidR="00000000" w:rsidRPr="00000000">
                  <w:rPr>
                    <w:rtl w:val="0"/>
                  </w:rPr>
                  <w:t xml:space="preserve">Multi-AZ deployment, CloudFront/Cloud CDN, auto-scaling, health checks</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API/Compute</w:t>
                </w:r>
              </w:p>
            </w:tc>
            <w:tc>
              <w:tcPr/>
              <w:p w:rsidR="00000000" w:rsidDel="00000000" w:rsidP="00000000" w:rsidRDefault="00000000" w:rsidRPr="00000000" w14:paraId="000000F7">
                <w:pPr>
                  <w:rPr/>
                </w:pPr>
                <w:r w:rsidDel="00000000" w:rsidR="00000000" w:rsidRPr="00000000">
                  <w:rPr>
                    <w:rtl w:val="0"/>
                  </w:rPr>
                  <w:t xml:space="preserve">Lambda/Cloud Functions (inherent HA), ECS/Cloud Run multi-AZ, auto-scaling policies</w:t>
                </w:r>
              </w:p>
            </w:tc>
          </w:tr>
          <w:tr>
            <w:trPr>
              <w:cantSplit w:val="0"/>
              <w:tblHeader w:val="0"/>
            </w:trPr>
            <w:tc>
              <w:tcPr>
                <w:shd w:fill="auto" w:val="clear"/>
              </w:tcPr>
              <w:p w:rsidR="00000000" w:rsidDel="00000000" w:rsidP="00000000" w:rsidRDefault="00000000" w:rsidRPr="00000000" w14:paraId="000000F8">
                <w:pPr>
                  <w:rPr/>
                </w:pPr>
                <w:r w:rsidDel="00000000" w:rsidR="00000000" w:rsidRPr="00000000">
                  <w:rPr>
                    <w:rtl w:val="0"/>
                  </w:rPr>
                  <w:t xml:space="preserve">AI Services</w:t>
                </w:r>
              </w:p>
            </w:tc>
            <w:tc>
              <w:tcPr>
                <w:shd w:fill="auto" w:val="clear"/>
              </w:tcPr>
              <w:p w:rsidR="00000000" w:rsidDel="00000000" w:rsidP="00000000" w:rsidRDefault="00000000" w:rsidRPr="00000000" w14:paraId="000000F9">
                <w:pPr>
                  <w:rPr/>
                </w:pPr>
                <w:r w:rsidDel="00000000" w:rsidR="00000000" w:rsidRPr="00000000">
                  <w:rPr>
                    <w:rtl w:val="0"/>
                  </w:rPr>
                  <w:t xml:space="preserve">Bedrock/Vertex AI fully managed with SLA, automatic failover, regional redundancy</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Storage</w:t>
                </w:r>
              </w:p>
            </w:tc>
            <w:tc>
              <w:tcPr/>
              <w:p w:rsidR="00000000" w:rsidDel="00000000" w:rsidP="00000000" w:rsidRDefault="00000000" w:rsidRPr="00000000" w14:paraId="000000FB">
                <w:pPr>
                  <w:rPr/>
                </w:pPr>
                <w:r w:rsidDel="00000000" w:rsidR="00000000" w:rsidRPr="00000000">
                  <w:rPr>
                    <w:rtl w:val="0"/>
                  </w:rPr>
                  <w:t xml:space="preserve">S3/Cloud Storage (11 nines durability), cross-AZ replication, versioning enabled</w:t>
                </w:r>
              </w:p>
            </w:tc>
          </w:tr>
        </w:tbl>
      </w:sdtContent>
    </w:sdt>
    <w:p w:rsidR="00000000" w:rsidDel="00000000" w:rsidP="00000000" w:rsidRDefault="00000000" w:rsidRPr="00000000" w14:paraId="000000FC">
      <w:pPr>
        <w:pStyle w:val="Heading2"/>
        <w:rPr>
          <w:color w:val="000000"/>
        </w:rPr>
      </w:pPr>
      <w:bookmarkStart w:colFirst="0" w:colLast="0" w:name="_heading=h.rkfqxef9szww" w:id="3"/>
      <w:bookmarkEnd w:id="3"/>
      <w:r w:rsidDel="00000000" w:rsidR="00000000" w:rsidRPr="00000000">
        <w:rPr>
          <w:color w:val="000000"/>
          <w:rtl w:val="0"/>
        </w:rPr>
        <w:t xml:space="preserve">4.2 Scalability Model</w:t>
      </w:r>
    </w:p>
    <w:p w:rsidR="00000000" w:rsidDel="00000000" w:rsidP="00000000" w:rsidRDefault="00000000" w:rsidRPr="00000000" w14:paraId="000000FD">
      <w:pPr>
        <w:rPr/>
      </w:pPr>
      <w:r w:rsidDel="00000000" w:rsidR="00000000" w:rsidRPr="00000000">
        <w:rPr>
          <w:rtl w:val="0"/>
        </w:rPr>
        <w:t xml:space="preserve">The cloud-native architecture automatically scales based on demand:</w:t>
      </w:r>
    </w:p>
    <w:sdt>
      <w:sdtPr>
        <w:lock w:val="contentLocked"/>
        <w:id w:val="-486289743"/>
        <w:tag w:val="goog_rdk_33"/>
      </w:sdtPr>
      <w:sdtContent>
        <w:tbl>
          <w:tblPr>
            <w:tblStyle w:val="Table2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4472c4" w:val="clear"/>
              </w:tcPr>
              <w:p w:rsidR="00000000" w:rsidDel="00000000" w:rsidP="00000000" w:rsidRDefault="00000000" w:rsidRPr="00000000" w14:paraId="000000FE">
                <w:pPr>
                  <w:rPr/>
                </w:pPr>
                <w:r w:rsidDel="00000000" w:rsidR="00000000" w:rsidRPr="00000000">
                  <w:rPr>
                    <w:color w:val="ffffff"/>
                    <w:rtl w:val="0"/>
                  </w:rPr>
                  <w:t xml:space="preserve">Load Level</w:t>
                </w:r>
                <w:r w:rsidDel="00000000" w:rsidR="00000000" w:rsidRPr="00000000">
                  <w:rPr>
                    <w:rtl w:val="0"/>
                  </w:rPr>
                </w:r>
              </w:p>
            </w:tc>
            <w:tc>
              <w:tcPr>
                <w:shd w:fill="4472c4" w:val="clear"/>
              </w:tcPr>
              <w:p w:rsidR="00000000" w:rsidDel="00000000" w:rsidP="00000000" w:rsidRDefault="00000000" w:rsidRPr="00000000" w14:paraId="000000FF">
                <w:pPr>
                  <w:rPr/>
                </w:pPr>
                <w:r w:rsidDel="00000000" w:rsidR="00000000" w:rsidRPr="00000000">
                  <w:rPr>
                    <w:color w:val="ffffff"/>
                    <w:rtl w:val="0"/>
                  </w:rPr>
                  <w:t xml:space="preserve">Concurrent DPRs</w:t>
                </w:r>
                <w:r w:rsidDel="00000000" w:rsidR="00000000" w:rsidRPr="00000000">
                  <w:rPr>
                    <w:rtl w:val="0"/>
                  </w:rPr>
                </w:r>
              </w:p>
            </w:tc>
            <w:tc>
              <w:tcPr>
                <w:shd w:fill="4472c4" w:val="clear"/>
              </w:tcPr>
              <w:p w:rsidR="00000000" w:rsidDel="00000000" w:rsidP="00000000" w:rsidRDefault="00000000" w:rsidRPr="00000000" w14:paraId="00000100">
                <w:pPr>
                  <w:rPr/>
                </w:pPr>
                <w:r w:rsidDel="00000000" w:rsidR="00000000" w:rsidRPr="00000000">
                  <w:rPr>
                    <w:color w:val="ffffff"/>
                    <w:rtl w:val="0"/>
                  </w:rPr>
                  <w:t xml:space="preserve">Auto-Scaling Response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rPr/>
                </w:pPr>
                <w:r w:rsidDel="00000000" w:rsidR="00000000" w:rsidRPr="00000000">
                  <w:rPr>
                    <w:rtl w:val="0"/>
                  </w:rPr>
                  <w:t xml:space="preserve">Low (Normal)</w:t>
                </w:r>
              </w:p>
            </w:tc>
            <w:tc>
              <w:tcPr>
                <w:shd w:fill="auto" w:val="clear"/>
              </w:tcPr>
              <w:p w:rsidR="00000000" w:rsidDel="00000000" w:rsidP="00000000" w:rsidRDefault="00000000" w:rsidRPr="00000000" w14:paraId="00000102">
                <w:pPr>
                  <w:rPr/>
                </w:pPr>
                <w:r w:rsidDel="00000000" w:rsidR="00000000" w:rsidRPr="00000000">
                  <w:rPr>
                    <w:rtl w:val="0"/>
                  </w:rPr>
                  <w:t xml:space="preserve">1-5</w:t>
                </w:r>
              </w:p>
            </w:tc>
            <w:tc>
              <w:tcPr>
                <w:shd w:fill="auto" w:val="clear"/>
              </w:tcPr>
              <w:p w:rsidR="00000000" w:rsidDel="00000000" w:rsidP="00000000" w:rsidRDefault="00000000" w:rsidRPr="00000000" w14:paraId="00000103">
                <w:pPr>
                  <w:rPr/>
                </w:pPr>
                <w:r w:rsidDel="00000000" w:rsidR="00000000" w:rsidRPr="00000000">
                  <w:rPr>
                    <w:rtl w:val="0"/>
                  </w:rPr>
                  <w:t xml:space="preserve">Minimum instances, baseline AI quota</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Medium (Busy)</w:t>
                </w:r>
              </w:p>
            </w:tc>
            <w:tc>
              <w:tcPr/>
              <w:p w:rsidR="00000000" w:rsidDel="00000000" w:rsidP="00000000" w:rsidRDefault="00000000" w:rsidRPr="00000000" w14:paraId="00000105">
                <w:pPr>
                  <w:rPr/>
                </w:pPr>
                <w:r w:rsidDel="00000000" w:rsidR="00000000" w:rsidRPr="00000000">
                  <w:rPr>
                    <w:rtl w:val="0"/>
                  </w:rPr>
                  <w:t xml:space="preserve">6-20</w:t>
                </w:r>
              </w:p>
            </w:tc>
            <w:tc>
              <w:tcPr/>
              <w:p w:rsidR="00000000" w:rsidDel="00000000" w:rsidP="00000000" w:rsidRDefault="00000000" w:rsidRPr="00000000" w14:paraId="00000106">
                <w:pPr>
                  <w:rPr/>
                </w:pPr>
                <w:r w:rsidDel="00000000" w:rsidR="00000000" w:rsidRPr="00000000">
                  <w:rPr>
                    <w:rtl w:val="0"/>
                  </w:rPr>
                  <w:t xml:space="preserve">Horizontal scaling +50%, increased AI throughput</w:t>
                </w:r>
              </w:p>
            </w:tc>
          </w:tr>
          <w:tr>
            <w:trPr>
              <w:cantSplit w:val="0"/>
              <w:tblHeader w:val="0"/>
            </w:trPr>
            <w:tc>
              <w:tcPr>
                <w:shd w:fill="auto" w:val="clear"/>
              </w:tcPr>
              <w:p w:rsidR="00000000" w:rsidDel="00000000" w:rsidP="00000000" w:rsidRDefault="00000000" w:rsidRPr="00000000" w14:paraId="00000107">
                <w:pPr>
                  <w:rPr/>
                </w:pPr>
                <w:r w:rsidDel="00000000" w:rsidR="00000000" w:rsidRPr="00000000">
                  <w:rPr>
                    <w:rtl w:val="0"/>
                  </w:rPr>
                  <w:t xml:space="preserve">High (Peak)</w:t>
                </w:r>
              </w:p>
            </w:tc>
            <w:tc>
              <w:tcPr>
                <w:shd w:fill="auto" w:val="clear"/>
              </w:tcPr>
              <w:p w:rsidR="00000000" w:rsidDel="00000000" w:rsidP="00000000" w:rsidRDefault="00000000" w:rsidRPr="00000000" w14:paraId="00000108">
                <w:pPr>
                  <w:rPr/>
                </w:pPr>
                <w:r w:rsidDel="00000000" w:rsidR="00000000" w:rsidRPr="00000000">
                  <w:rPr>
                    <w:rtl w:val="0"/>
                  </w:rPr>
                  <w:t xml:space="preserve">20+</w:t>
                </w:r>
              </w:p>
            </w:tc>
            <w:tc>
              <w:tcPr>
                <w:shd w:fill="auto" w:val="clear"/>
              </w:tcPr>
              <w:p w:rsidR="00000000" w:rsidDel="00000000" w:rsidP="00000000" w:rsidRDefault="00000000" w:rsidRPr="00000000" w14:paraId="00000109">
                <w:pPr>
                  <w:rPr/>
                </w:pPr>
                <w:r w:rsidDel="00000000" w:rsidR="00000000" w:rsidRPr="00000000">
                  <w:rPr>
                    <w:rtl w:val="0"/>
                  </w:rPr>
                  <w:t xml:space="preserve">Maximum scaling, priority request queuing, burst AI quota</w:t>
                </w:r>
              </w:p>
            </w:tc>
          </w:tr>
        </w:tbl>
      </w:sdtContent>
    </w:sdt>
    <w:p w:rsidR="00000000" w:rsidDel="00000000" w:rsidP="00000000" w:rsidRDefault="00000000" w:rsidRPr="00000000" w14:paraId="0000010A">
      <w:pPr>
        <w:pStyle w:val="Heading1"/>
        <w:rPr>
          <w:color w:val="000000"/>
        </w:rPr>
      </w:pPr>
      <w:bookmarkStart w:colFirst="0" w:colLast="0" w:name="_heading=h.bnr2vyp5lmkc" w:id="4"/>
      <w:bookmarkEnd w:id="4"/>
      <w:r w:rsidDel="00000000" w:rsidR="00000000" w:rsidRPr="00000000">
        <w:rPr>
          <w:color w:val="000000"/>
          <w:rtl w:val="0"/>
        </w:rPr>
        <w:t xml:space="preserve">5. Conclusion</w:t>
      </w:r>
    </w:p>
    <w:p w:rsidR="00000000" w:rsidDel="00000000" w:rsidP="00000000" w:rsidRDefault="00000000" w:rsidRPr="00000000" w14:paraId="0000010B">
      <w:pPr>
        <w:rPr/>
      </w:pPr>
      <w:r w:rsidDel="00000000" w:rsidR="00000000" w:rsidRPr="00000000">
        <w:rPr>
          <w:rtl w:val="0"/>
        </w:rPr>
        <w:t xml:space="preserve">The proposed two-phase automation approach provides the Department of Expenditure with a pragmatic pathway to enhance appraisal efficiency while maintaining appropriate security controls.</w:t>
      </w:r>
    </w:p>
    <w:p w:rsidR="00000000" w:rsidDel="00000000" w:rsidP="00000000" w:rsidRDefault="00000000" w:rsidRPr="00000000" w14:paraId="0000010C">
      <w:pPr>
        <w:ind w:left="720" w:firstLine="0"/>
        <w:rPr>
          <w:color w:val="000000"/>
        </w:rPr>
      </w:pPr>
      <w:r w:rsidDel="00000000" w:rsidR="00000000" w:rsidRPr="00000000">
        <w:rPr>
          <w:rtl w:val="0"/>
        </w:rPr>
      </w:r>
    </w:p>
    <w:p w:rsidR="00000000" w:rsidDel="00000000" w:rsidP="00000000" w:rsidRDefault="00000000" w:rsidRPr="00000000" w14:paraId="0000010D">
      <w:pPr>
        <w:pStyle w:val="Heading2"/>
        <w:rPr>
          <w:color w:val="00000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NUGTQBZnWlgAXY6+b0tpbG8oW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