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br w:type="textWrapping"/>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36"/>
          <w:szCs w:val="36"/>
          <w:rtl w:val="0"/>
        </w:rPr>
        <w:t xml:space="preserve">DPR APPRAISAL AUTOMATION SYSTEM</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8"/>
          <w:szCs w:val="28"/>
          <w:rtl w:val="0"/>
        </w:rPr>
        <w:t xml:space="preserve">Technical Design Document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r>
    </w:p>
    <w:sdt>
      <w:sdtPr>
        <w:id w:val="-2052865875"/>
        <w:docPartObj>
          <w:docPartGallery w:val="Table of Contents"/>
          <w:docPartUnique w:val="1"/>
        </w:docPartObj>
      </w:sdtPr>
      <w:sdtContent>
        <w:p w:rsidR="00000000" w:rsidDel="00000000" w:rsidP="00000000" w:rsidRDefault="00000000" w:rsidRPr="00000000" w14:paraId="0000000A">
          <w:pPr>
            <w:widowControl w:val="0"/>
            <w:tabs>
              <w:tab w:val="right" w:leader="none"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Introduction and Context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Current Appraisal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Challenges in Current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Solution 1: POC - Intelligent Query Assistant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Technical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Query Processing Workflow (indicative)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Technical Components (Indicative)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Solution 2: Full Production System - Automated DPR Appraisal Platform</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System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Multi-Agent Processing Workflow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8640"/>
            </w:tabs>
            <w:spacing w:after="0" w:before="60" w:line="240" w:lineRule="auto"/>
            <w:ind w:left="360" w:firstLine="0"/>
            <w:rPr>
              <w:color w:val="000000"/>
              <w:u w:val="none"/>
            </w:rPr>
          </w:pPr>
          <w:hyperlink w:anchor="_heading=h.2sruwnowxcq">
            <w:r w:rsidDel="00000000" w:rsidR="00000000" w:rsidRPr="00000000">
              <w:rPr>
                <w:color w:val="000000"/>
                <w:u w:val="none"/>
                <w:rtl w:val="0"/>
              </w:rPr>
              <w:t xml:space="preserve">3.4 Agent Specializations (Indicative)</w:t>
              <w:tab/>
            </w:r>
          </w:hyperlink>
          <w:r w:rsidDel="00000000" w:rsidR="00000000" w:rsidRPr="00000000">
            <w:fldChar w:fldCharType="begin"/>
            <w:instrText xml:space="preserve"> PAGEREF _heading=h.2sruwnowxcq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3.5 Infrastructure Requirements (Indicative)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Hardware Specifications (Indicative)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Software Stack (Indicative)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Conclusion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4.1 Key Benefits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color w:val="000000"/>
          <w:sz w:val="34"/>
          <w:szCs w:val="34"/>
        </w:rPr>
      </w:pPr>
      <w:r w:rsidDel="00000000" w:rsidR="00000000" w:rsidRPr="00000000">
        <w:rPr>
          <w:color w:val="000000"/>
          <w:sz w:val="34"/>
          <w:szCs w:val="34"/>
          <w:rtl w:val="0"/>
        </w:rPr>
        <w:t xml:space="preserve">Executive Summary</w:t>
      </w:r>
    </w:p>
    <w:p w:rsidR="00000000" w:rsidDel="00000000" w:rsidP="00000000" w:rsidRDefault="00000000" w:rsidRPr="00000000" w14:paraId="00000020">
      <w:pPr>
        <w:rPr/>
      </w:pPr>
      <w:r w:rsidDel="00000000" w:rsidR="00000000" w:rsidRPr="00000000">
        <w:rPr>
          <w:rtl w:val="0"/>
        </w:rPr>
        <w:t xml:space="preserve">The Department of Expenditure (DoE) currently processes project appraisals through a multi-stage manual review process, involving assessment of project proposals against established guidelines, fiscal norms, and inter-ministerial consultations. This process, while thorough, is time-intensive and requires Subject Officers (SOs) to navigate extensive documentation including General Financial Rules (GFR), Detailed Financial Procedures and Rules (DFPR), Office Memorandums (OMs), and historical appraisal records.</w:t>
      </w:r>
    </w:p>
    <w:p w:rsidR="00000000" w:rsidDel="00000000" w:rsidP="00000000" w:rsidRDefault="00000000" w:rsidRPr="00000000" w14:paraId="00000021">
      <w:pPr>
        <w:rPr/>
      </w:pPr>
      <w:r w:rsidDel="00000000" w:rsidR="00000000" w:rsidRPr="00000000">
        <w:rPr>
          <w:rtl w:val="0"/>
        </w:rPr>
        <w:t xml:space="preserve">To enhance efficiency and decision-making capability, this document presents a phased automation approach:</w:t>
      </w:r>
    </w:p>
    <w:p w:rsidR="00000000" w:rsidDel="00000000" w:rsidP="00000000" w:rsidRDefault="00000000" w:rsidRPr="00000000" w14:paraId="00000022">
      <w:pPr>
        <w:rPr/>
      </w:pPr>
      <w:r w:rsidDel="00000000" w:rsidR="00000000" w:rsidRPr="00000000">
        <w:rPr>
          <w:b w:val="1"/>
          <w:bCs w:val="1"/>
          <w:rtl w:val="0"/>
        </w:rPr>
        <w:t xml:space="preserve">Phase 1: Proof of Concept (POC) - Intelligent Query Assistant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initial phase focuses on creating an AI-powered query assistant with publicly available appraisal guidelines and policy documents. This POC system will enable SOs to obtain instant clarifications on appraisal procedures, financial norms, and policy interpretations without processing any confidential project documents. The system utilizes a curated knowledge repository of public documents, including GFR, DFPR, standard templates, and published OMs and Appraisal and approval Guidelines to provide contextual responses to officer queries.</w:t>
      </w:r>
    </w:p>
    <w:p w:rsidR="00000000" w:rsidDel="00000000" w:rsidP="00000000" w:rsidRDefault="00000000" w:rsidRPr="00000000" w14:paraId="00000024">
      <w:pPr>
        <w:rPr/>
      </w:pPr>
      <w:r w:rsidDel="00000000" w:rsidR="00000000" w:rsidRPr="00000000">
        <w:rPr>
          <w:b w:val="1"/>
          <w:bCs w:val="1"/>
          <w:rtl w:val="0"/>
        </w:rPr>
        <w:t xml:space="preserve">Phase 2: Full Production System - Automated DPR Appraisal Platform</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production system will implement complete on-premise inferencing infrastructure to process confidential DPR documents. This multi-agent architecture will automate assessment across all appraisal dimensions—need analysis, cost scrutiny, implementation feasibility, and inter-ministerial coordination—while maintaining data security through dedicated inference servers deployed within DoE's secure environment.</w:t>
      </w:r>
    </w:p>
    <w:p w:rsidR="00000000" w:rsidDel="00000000" w:rsidP="00000000" w:rsidRDefault="00000000" w:rsidRPr="00000000" w14:paraId="00000026">
      <w:pPr>
        <w:rPr/>
      </w:pPr>
      <w:r w:rsidDel="00000000" w:rsidR="00000000" w:rsidRPr="00000000">
        <w:rPr>
          <w:rtl w:val="0"/>
        </w:rPr>
        <w:t xml:space="preserve">Both phases leverage a structured knowledge repository architecture that organizes reference materials into specialized vaults, enabling precise retrieval and context-aware responses. This document provides detailed technical specifications, architecture diagrams, implementation workflows, and deployment considerations for both solutions.</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color w:val="000000"/>
        </w:rPr>
      </w:pPr>
      <w:r w:rsidDel="00000000" w:rsidR="00000000" w:rsidRPr="00000000">
        <w:rPr>
          <w:color w:val="000000"/>
          <w:rtl w:val="0"/>
        </w:rPr>
        <w:t xml:space="preserve">1. Introduction and Context</w:t>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1.1 Current Appraisal Process</w:t>
      </w:r>
    </w:p>
    <w:p w:rsidR="00000000" w:rsidDel="00000000" w:rsidP="00000000" w:rsidRDefault="00000000" w:rsidRPr="00000000" w14:paraId="0000002A">
      <w:pPr>
        <w:rPr/>
      </w:pPr>
      <w:r w:rsidDel="00000000" w:rsidR="00000000" w:rsidRPr="00000000">
        <w:rPr>
          <w:rtl w:val="0"/>
        </w:rPr>
        <w:t xml:space="preserve">The Department of Expenditure follows a structured appraisal workflow for project proposals:</w:t>
      </w:r>
    </w:p>
    <w:p w:rsidR="00000000" w:rsidDel="00000000" w:rsidP="00000000" w:rsidRDefault="00000000" w:rsidRPr="00000000" w14:paraId="0000002B">
      <w:pPr>
        <w:jc w:val="center"/>
        <w:rPr/>
      </w:pPr>
      <w:r w:rsidDel="00000000" w:rsidR="00000000" w:rsidRPr="00000000">
        <w:rPr>
          <w:b w:val="1"/>
          <w:bCs w:val="1"/>
          <w:i w:val="1"/>
          <w:iCs w:val="1"/>
          <w:rtl w:val="0"/>
        </w:rPr>
        <w:t xml:space="preserve">Figure 1: Current DPR Appraisal Workflow</w:t>
      </w:r>
      <w:r w:rsidDel="00000000" w:rsidR="00000000" w:rsidRPr="00000000">
        <w:rPr>
          <w:rtl w:val="0"/>
        </w:rPr>
      </w:r>
    </w:p>
    <w:tbl>
      <w:tblPr>
        <w:tblStyle w:val="Table1"/>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2C">
            <w:pPr>
              <w:jc w:val="center"/>
              <w:rPr/>
            </w:pPr>
            <w:r w:rsidDel="00000000" w:rsidR="00000000" w:rsidRPr="00000000">
              <w:rPr>
                <w:b w:val="1"/>
                <w:bCs w:val="1"/>
                <w:sz w:val="22"/>
                <w:szCs w:val="22"/>
                <w:rtl w:val="0"/>
              </w:rPr>
              <w:t xml:space="preserve">Ministry prepares Concept Note / DP</w:t>
            </w:r>
            <w:r w:rsidDel="00000000" w:rsidR="00000000" w:rsidRPr="00000000">
              <w:rPr>
                <w:b w:val="1"/>
                <w:bCs w:val="1"/>
                <w:rtl w:val="0"/>
              </w:rPr>
              <w:t xml:space="preserve">R</w:t>
            </w:r>
            <w:r w:rsidDel="00000000" w:rsidR="00000000" w:rsidRPr="00000000">
              <w:rPr>
                <w:rtl w:val="0"/>
              </w:rPr>
            </w:r>
          </w:p>
        </w:tc>
      </w:tr>
    </w:tbl>
    <w:p w:rsidR="00000000" w:rsidDel="00000000" w:rsidP="00000000" w:rsidRDefault="00000000" w:rsidRPr="00000000" w14:paraId="0000002D">
      <w:pPr>
        <w:jc w:val="center"/>
        <w:rPr/>
      </w:pPr>
      <w:sdt>
        <w:sdtPr>
          <w:id w:val="-390093222"/>
          <w:tag w:val="goog_rdk_0"/>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2"/>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2E">
            <w:pPr>
              <w:jc w:val="center"/>
              <w:rPr/>
            </w:pPr>
            <w:r w:rsidDel="00000000" w:rsidR="00000000" w:rsidRPr="00000000">
              <w:rPr>
                <w:b w:val="1"/>
                <w:bCs w:val="1"/>
                <w:sz w:val="22"/>
                <w:szCs w:val="22"/>
                <w:rtl w:val="0"/>
              </w:rPr>
              <w:t xml:space="preserve">Submission to Department of Expenditure</w:t>
            </w:r>
            <w:r w:rsidDel="00000000" w:rsidR="00000000" w:rsidRPr="00000000">
              <w:rPr>
                <w:rtl w:val="0"/>
              </w:rPr>
            </w:r>
          </w:p>
        </w:tc>
      </w:tr>
    </w:tbl>
    <w:p w:rsidR="00000000" w:rsidDel="00000000" w:rsidP="00000000" w:rsidRDefault="00000000" w:rsidRPr="00000000" w14:paraId="0000002F">
      <w:pPr>
        <w:jc w:val="center"/>
        <w:rPr/>
      </w:pPr>
      <w:sdt>
        <w:sdtPr>
          <w:id w:val="1392540280"/>
          <w:tag w:val="goog_rdk_1"/>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3"/>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30">
            <w:pPr>
              <w:jc w:val="center"/>
              <w:rPr/>
            </w:pPr>
            <w:r w:rsidDel="00000000" w:rsidR="00000000" w:rsidRPr="00000000">
              <w:rPr>
                <w:b w:val="1"/>
                <w:bCs w:val="1"/>
                <w:sz w:val="22"/>
                <w:szCs w:val="22"/>
                <w:rtl w:val="0"/>
              </w:rPr>
              <w:t xml:space="preserve">Preliminary Check by DoE</w:t>
              <w:br w:type="textWrapping"/>
              <w:t xml:space="preserve">(Completeness, Format, In-principle Approval)</w:t>
            </w:r>
            <w:r w:rsidDel="00000000" w:rsidR="00000000" w:rsidRPr="00000000">
              <w:rPr>
                <w:rtl w:val="0"/>
              </w:rPr>
            </w:r>
          </w:p>
        </w:tc>
      </w:tr>
    </w:tbl>
    <w:p w:rsidR="00000000" w:rsidDel="00000000" w:rsidP="00000000" w:rsidRDefault="00000000" w:rsidRPr="00000000" w14:paraId="00000031">
      <w:pPr>
        <w:jc w:val="center"/>
        <w:rPr/>
      </w:pPr>
      <w:sdt>
        <w:sdtPr>
          <w:id w:val="1923200095"/>
          <w:tag w:val="goog_rdk_2"/>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6.9269949066213"/>
        <w:gridCol w:w="1745.6027164685909"/>
        <w:gridCol w:w="1657.5891341256365"/>
        <w:gridCol w:w="1804.2784380305602"/>
        <w:gridCol w:w="1745.6027164685909"/>
        <w:tblGridChange w:id="0">
          <w:tblGrid>
            <w:gridCol w:w="1686.9269949066213"/>
            <w:gridCol w:w="1745.6027164685909"/>
            <w:gridCol w:w="1657.5891341256365"/>
            <w:gridCol w:w="1804.2784380305602"/>
            <w:gridCol w:w="1745.6027164685909"/>
          </w:tblGrid>
        </w:tblGridChange>
      </w:tblGrid>
      <w:tr>
        <w:trPr>
          <w:cantSplit w:val="0"/>
          <w:trHeight w:val="300" w:hRule="atLeast"/>
          <w:tblHeader w:val="0"/>
        </w:trPr>
        <w:tc>
          <w:tcPr>
            <w:gridSpan w:val="5"/>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Multi-Dimensional Appraisal</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Need &amp;</w:t>
              <w:br w:type="textWrapping"/>
              <w:t xml:space="preserve"> Relevance</w:t>
            </w:r>
          </w:p>
        </w:tc>
        <w:tc>
          <w:tcPr>
            <w:tcBorders>
              <w:top w:color="000000" w:space="0" w:sz="0" w:val="nil"/>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Outcome &amp;</w:t>
              <w:br w:type="textWrapping"/>
              <w:t xml:space="preserve"> Performance</w:t>
            </w:r>
          </w:p>
        </w:tc>
        <w:tc>
          <w:tcPr>
            <w:tcBorders>
              <w:top w:color="000000" w:space="0" w:sz="0" w:val="nil"/>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Cost &amp; Fiscal</w:t>
              <w:br w:type="textWrapping"/>
              <w:t xml:space="preserve"> Scrutiny</w:t>
            </w:r>
          </w:p>
        </w:tc>
        <w:tc>
          <w:tcPr>
            <w:tcBorders>
              <w:top w:color="000000" w:space="0" w:sz="0" w:val="nil"/>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Implementation</w:t>
              <w:br w:type="textWrapping"/>
              <w:t xml:space="preserve"> &amp; Risk</w:t>
            </w:r>
          </w:p>
        </w:tc>
        <w:tc>
          <w:tcPr>
            <w:tcBorders>
              <w:top w:color="000000" w:space="0" w:sz="0" w:val="nil"/>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Inter-Ministerial</w:t>
              <w:br w:type="textWrapping"/>
              <w:t xml:space="preserve"> Consultation</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color w:val="2e5c8a"/>
        </w:rPr>
      </w:pPr>
      <w:r w:rsidDel="00000000" w:rsidR="00000000" w:rsidRPr="00000000">
        <w:rPr>
          <w:rtl w:val="0"/>
        </w:rPr>
      </w:r>
    </w:p>
    <w:p w:rsidR="00000000" w:rsidDel="00000000" w:rsidP="00000000" w:rsidRDefault="00000000" w:rsidRPr="00000000" w14:paraId="0000003E">
      <w:pPr>
        <w:pStyle w:val="Heading2"/>
        <w:rPr>
          <w:color w:val="000000"/>
        </w:rPr>
      </w:pPr>
      <w:r w:rsidDel="00000000" w:rsidR="00000000" w:rsidRPr="00000000">
        <w:rPr>
          <w:color w:val="000000"/>
          <w:rtl w:val="0"/>
        </w:rPr>
        <w:t xml:space="preserve">1.2 Challenges in Current Process</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3F">
            <w:pPr>
              <w:rPr/>
            </w:pPr>
            <w:r w:rsidDel="00000000" w:rsidR="00000000" w:rsidRPr="00000000">
              <w:rPr>
                <w:b w:val="1"/>
                <w:bCs w:val="1"/>
                <w:color w:val="ffffff"/>
                <w:rtl w:val="0"/>
              </w:rPr>
              <w:t xml:space="preserve">Challenge</w:t>
            </w:r>
            <w:r w:rsidDel="00000000" w:rsidR="00000000" w:rsidRPr="00000000">
              <w:rPr>
                <w:rtl w:val="0"/>
              </w:rPr>
            </w:r>
          </w:p>
        </w:tc>
        <w:tc>
          <w:tcPr>
            <w:shd w:fill="4472c4" w:val="clear"/>
          </w:tcPr>
          <w:p w:rsidR="00000000" w:rsidDel="00000000" w:rsidP="00000000" w:rsidRDefault="00000000" w:rsidRPr="00000000" w14:paraId="00000040">
            <w:pPr>
              <w:rPr/>
            </w:pPr>
            <w:r w:rsidDel="00000000" w:rsidR="00000000" w:rsidRPr="00000000">
              <w:rPr>
                <w:b w:val="1"/>
                <w:bCs w:val="1"/>
                <w:color w:val="ffffff"/>
                <w:rtl w:val="0"/>
              </w:rPr>
              <w:t xml:space="preserve">Impact</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41">
            <w:pPr>
              <w:rPr/>
            </w:pPr>
            <w:r w:rsidDel="00000000" w:rsidR="00000000" w:rsidRPr="00000000">
              <w:rPr>
                <w:b w:val="1"/>
                <w:bCs w:val="1"/>
                <w:rtl w:val="0"/>
              </w:rPr>
              <w:t xml:space="preserve">Information Retrieval</w:t>
            </w:r>
            <w:r w:rsidDel="00000000" w:rsidR="00000000" w:rsidRPr="00000000">
              <w:rPr>
                <w:rtl w:val="0"/>
              </w:rPr>
            </w:r>
          </w:p>
        </w:tc>
        <w:tc>
          <w:tcPr>
            <w:shd w:fill="d5e8f0" w:val="clear"/>
          </w:tcPr>
          <w:p w:rsidR="00000000" w:rsidDel="00000000" w:rsidP="00000000" w:rsidRDefault="00000000" w:rsidRPr="00000000" w14:paraId="00000042">
            <w:pPr>
              <w:rPr/>
            </w:pPr>
            <w:r w:rsidDel="00000000" w:rsidR="00000000" w:rsidRPr="00000000">
              <w:rPr>
                <w:rtl w:val="0"/>
              </w:rPr>
              <w:t xml:space="preserve">Subject Officers must manually search through extensive documentation (GFR, DFPR, OMs) to locate relevant guidelines</w:t>
            </w:r>
          </w:p>
        </w:tc>
      </w:tr>
      <w:tr>
        <w:trPr>
          <w:cantSplit w:val="0"/>
          <w:tblHeader w:val="0"/>
        </w:trPr>
        <w:tc>
          <w:tcPr>
            <w:shd w:fill="d5e8f0" w:val="clear"/>
          </w:tcPr>
          <w:p w:rsidR="00000000" w:rsidDel="00000000" w:rsidP="00000000" w:rsidRDefault="00000000" w:rsidRPr="00000000" w14:paraId="00000043">
            <w:pPr>
              <w:rPr/>
            </w:pPr>
            <w:r w:rsidDel="00000000" w:rsidR="00000000" w:rsidRPr="00000000">
              <w:rPr>
                <w:b w:val="1"/>
                <w:bCs w:val="1"/>
                <w:rtl w:val="0"/>
              </w:rPr>
              <w:t xml:space="preserve">Processing Time</w:t>
            </w:r>
            <w:r w:rsidDel="00000000" w:rsidR="00000000" w:rsidRPr="00000000">
              <w:rPr>
                <w:rtl w:val="0"/>
              </w:rPr>
            </w:r>
          </w:p>
        </w:tc>
        <w:tc>
          <w:tcPr>
            <w:shd w:fill="d5e8f0" w:val="clear"/>
          </w:tcPr>
          <w:p w:rsidR="00000000" w:rsidDel="00000000" w:rsidP="00000000" w:rsidRDefault="00000000" w:rsidRPr="00000000" w14:paraId="00000044">
            <w:pPr>
              <w:rPr/>
            </w:pPr>
            <w:r w:rsidDel="00000000" w:rsidR="00000000" w:rsidRPr="00000000">
              <w:rPr>
                <w:rtl w:val="0"/>
              </w:rPr>
              <w:t xml:space="preserve">Multi-dimensional assessment across five parameters requires significant time per proposal</w:t>
            </w:r>
          </w:p>
        </w:tc>
      </w:tr>
      <w:tr>
        <w:trPr>
          <w:cantSplit w:val="0"/>
          <w:tblHeader w:val="0"/>
        </w:trPr>
        <w:tc>
          <w:tcPr>
            <w:shd w:fill="d5e8f0" w:val="clear"/>
          </w:tcPr>
          <w:p w:rsidR="00000000" w:rsidDel="00000000" w:rsidP="00000000" w:rsidRDefault="00000000" w:rsidRPr="00000000" w14:paraId="00000045">
            <w:pPr>
              <w:rPr/>
            </w:pPr>
            <w:r w:rsidDel="00000000" w:rsidR="00000000" w:rsidRPr="00000000">
              <w:rPr>
                <w:b w:val="1"/>
                <w:bCs w:val="1"/>
                <w:rtl w:val="0"/>
              </w:rPr>
              <w:t xml:space="preserve">Consistency</w:t>
            </w:r>
            <w:r w:rsidDel="00000000" w:rsidR="00000000" w:rsidRPr="00000000">
              <w:rPr>
                <w:rtl w:val="0"/>
              </w:rPr>
            </w:r>
          </w:p>
        </w:tc>
        <w:tc>
          <w:tcPr>
            <w:shd w:fill="d5e8f0" w:val="clear"/>
          </w:tcPr>
          <w:p w:rsidR="00000000" w:rsidDel="00000000" w:rsidP="00000000" w:rsidRDefault="00000000" w:rsidRPr="00000000" w14:paraId="00000046">
            <w:pPr>
              <w:rPr/>
            </w:pPr>
            <w:r w:rsidDel="00000000" w:rsidR="00000000" w:rsidRPr="00000000">
              <w:rPr>
                <w:rtl w:val="0"/>
              </w:rPr>
              <w:t xml:space="preserve">Varying interpretation of guidelines across different appraisals and officers</w:t>
            </w:r>
          </w:p>
        </w:tc>
      </w:tr>
      <w:tr>
        <w:trPr>
          <w:cantSplit w:val="0"/>
          <w:tblHeader w:val="0"/>
        </w:trPr>
        <w:tc>
          <w:tcPr>
            <w:shd w:fill="d5e8f0" w:val="clear"/>
          </w:tcPr>
          <w:p w:rsidR="00000000" w:rsidDel="00000000" w:rsidP="00000000" w:rsidRDefault="00000000" w:rsidRPr="00000000" w14:paraId="00000047">
            <w:pPr>
              <w:rPr/>
            </w:pPr>
            <w:r w:rsidDel="00000000" w:rsidR="00000000" w:rsidRPr="00000000">
              <w:rPr>
                <w:b w:val="1"/>
                <w:bCs w:val="1"/>
                <w:rtl w:val="0"/>
              </w:rPr>
              <w:t xml:space="preserve">Knowledge Management</w:t>
            </w:r>
            <w:r w:rsidDel="00000000" w:rsidR="00000000" w:rsidRPr="00000000">
              <w:rPr>
                <w:rtl w:val="0"/>
              </w:rPr>
            </w:r>
          </w:p>
        </w:tc>
        <w:tc>
          <w:tcPr>
            <w:shd w:fill="d5e8f0" w:val="clear"/>
          </w:tcPr>
          <w:p w:rsidR="00000000" w:rsidDel="00000000" w:rsidP="00000000" w:rsidRDefault="00000000" w:rsidRPr="00000000" w14:paraId="00000048">
            <w:pPr>
              <w:rPr/>
            </w:pPr>
            <w:r w:rsidDel="00000000" w:rsidR="00000000" w:rsidRPr="00000000">
              <w:rPr>
                <w:rtl w:val="0"/>
              </w:rPr>
              <w:t xml:space="preserve">Historical appraisal decisions and institutional knowledge not systematically captured or accessible</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color w:val="000000"/>
        </w:rPr>
      </w:pPr>
      <w:r w:rsidDel="00000000" w:rsidR="00000000" w:rsidRPr="00000000">
        <w:rPr>
          <w:color w:val="000000"/>
          <w:rtl w:val="0"/>
        </w:rPr>
        <w:t xml:space="preserve">2. Solution 1: POC - Intelligent Query Assistant</w:t>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2.1 Overview</w:t>
      </w:r>
    </w:p>
    <w:p w:rsidR="00000000" w:rsidDel="00000000" w:rsidP="00000000" w:rsidRDefault="00000000" w:rsidRPr="00000000" w14:paraId="0000004D">
      <w:pPr>
        <w:rPr/>
      </w:pPr>
      <w:r w:rsidDel="00000000" w:rsidR="00000000" w:rsidRPr="00000000">
        <w:rPr>
          <w:rtl w:val="0"/>
        </w:rPr>
        <w:t xml:space="preserve">The Proof of Concept implements an AI-powered query assistant system that enables Subject Officers to obtain instant, contextual responses to appraisal-related queries. The system operates exclusively on publicly available guidelines and policy documents, leveraging managed AI infrastructure.</w:t>
      </w:r>
    </w:p>
    <w:tbl>
      <w:tblPr>
        <w:tblStyle w:val="Table6"/>
        <w:tblW w:w="8895.0" w:type="dxa"/>
        <w:jc w:val="left"/>
        <w:tblInd w:w="-16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80"/>
        <w:gridCol w:w="4515"/>
        <w:tblGridChange w:id="0">
          <w:tblGrid>
            <w:gridCol w:w="4380"/>
            <w:gridCol w:w="4515"/>
          </w:tblGrid>
        </w:tblGridChange>
      </w:tblGrid>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Characteristic</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50">
            <w:pPr>
              <w:rPr/>
            </w:pPr>
            <w:r w:rsidDel="00000000" w:rsidR="00000000" w:rsidRPr="00000000">
              <w:rPr>
                <w:b w:val="1"/>
                <w:bCs w:val="1"/>
                <w:rtl w:val="0"/>
              </w:rPr>
              <w:t xml:space="preserve">Scope</w:t>
            </w:r>
            <w:r w:rsidDel="00000000" w:rsidR="00000000" w:rsidRPr="00000000">
              <w:rPr>
                <w:rtl w:val="0"/>
              </w:rPr>
            </w:r>
          </w:p>
        </w:tc>
        <w:tc>
          <w:tcPr>
            <w:shd w:fill="d5e8f0" w:val="clear"/>
          </w:tcPr>
          <w:p w:rsidR="00000000" w:rsidDel="00000000" w:rsidP="00000000" w:rsidRDefault="00000000" w:rsidRPr="00000000" w14:paraId="00000051">
            <w:pPr>
              <w:rPr/>
            </w:pPr>
            <w:r w:rsidDel="00000000" w:rsidR="00000000" w:rsidRPr="00000000">
              <w:rPr>
                <w:rtl w:val="0"/>
              </w:rPr>
              <w:t xml:space="preserve">Public documents only (GFR, DFPR, published OMs, standard templates)</w:t>
            </w:r>
          </w:p>
        </w:tc>
      </w:tr>
      <w:tr>
        <w:trPr>
          <w:cantSplit w:val="0"/>
          <w:tblHeader w:val="0"/>
        </w:trPr>
        <w:tc>
          <w:tcPr>
            <w:shd w:fill="d5e8f0" w:val="clear"/>
          </w:tcPr>
          <w:p w:rsidR="00000000" w:rsidDel="00000000" w:rsidP="00000000" w:rsidRDefault="00000000" w:rsidRPr="00000000" w14:paraId="00000052">
            <w:pPr>
              <w:rPr/>
            </w:pPr>
            <w:r w:rsidDel="00000000" w:rsidR="00000000" w:rsidRPr="00000000">
              <w:rPr>
                <w:b w:val="1"/>
                <w:bCs w:val="1"/>
                <w:rtl w:val="0"/>
              </w:rPr>
              <w:t xml:space="preserve">Use Case</w:t>
            </w:r>
            <w:r w:rsidDel="00000000" w:rsidR="00000000" w:rsidRPr="00000000">
              <w:rPr>
                <w:rtl w:val="0"/>
              </w:rPr>
            </w:r>
          </w:p>
        </w:tc>
        <w:tc>
          <w:tcPr>
            <w:shd w:fill="d5e8f0" w:val="clear"/>
          </w:tcPr>
          <w:p w:rsidR="00000000" w:rsidDel="00000000" w:rsidP="00000000" w:rsidRDefault="00000000" w:rsidRPr="00000000" w14:paraId="00000053">
            <w:pPr>
              <w:rPr/>
            </w:pPr>
            <w:r w:rsidDel="00000000" w:rsidR="00000000" w:rsidRPr="00000000">
              <w:rPr>
                <w:rtl w:val="0"/>
              </w:rPr>
              <w:t xml:space="preserve">Query resolution on appraisal procedures, financial norms, policy interpretation</w:t>
            </w:r>
          </w:p>
        </w:tc>
      </w:tr>
      <w:tr>
        <w:trPr>
          <w:cantSplit w:val="0"/>
          <w:tblHeader w:val="0"/>
        </w:trPr>
        <w:tc>
          <w:tcPr>
            <w:shd w:fill="d5e8f0" w:val="clear"/>
          </w:tcPr>
          <w:p w:rsidR="00000000" w:rsidDel="00000000" w:rsidP="00000000" w:rsidRDefault="00000000" w:rsidRPr="00000000" w14:paraId="00000054">
            <w:pPr>
              <w:rPr/>
            </w:pPr>
            <w:r w:rsidDel="00000000" w:rsidR="00000000" w:rsidRPr="00000000">
              <w:rPr>
                <w:b w:val="1"/>
                <w:bCs w:val="1"/>
                <w:rtl w:val="0"/>
              </w:rPr>
              <w:t xml:space="preserve">Timeline (</w:t>
            </w:r>
            <w:r w:rsidDel="00000000" w:rsidR="00000000" w:rsidRPr="00000000">
              <w:rPr>
                <w:rtl w:val="0"/>
              </w:rPr>
              <w:t xml:space="preserve">tentative</w:t>
            </w:r>
            <w:r w:rsidDel="00000000" w:rsidR="00000000" w:rsidRPr="00000000">
              <w:rPr>
                <w:b w:val="1"/>
                <w:bCs w:val="1"/>
                <w:rtl w:val="0"/>
              </w:rPr>
              <w:t xml:space="preserve">)</w:t>
            </w:r>
            <w:r w:rsidDel="00000000" w:rsidR="00000000" w:rsidRPr="00000000">
              <w:rPr>
                <w:rtl w:val="0"/>
              </w:rPr>
            </w:r>
          </w:p>
        </w:tc>
        <w:tc>
          <w:tcPr>
            <w:shd w:fill="d5e8f0" w:val="clear"/>
          </w:tcPr>
          <w:p w:rsidR="00000000" w:rsidDel="00000000" w:rsidP="00000000" w:rsidRDefault="00000000" w:rsidRPr="00000000" w14:paraId="00000055">
            <w:pPr>
              <w:rPr/>
            </w:pPr>
            <w:r w:rsidDel="00000000" w:rsidR="00000000" w:rsidRPr="00000000">
              <w:rPr>
                <w:rtl w:val="0"/>
              </w:rPr>
              <w:t xml:space="preserve">4-6 weeks for initial deployment</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color w:val="2e5c8a"/>
        </w:rPr>
      </w:pPr>
      <w:r w:rsidDel="00000000" w:rsidR="00000000" w:rsidRPr="00000000">
        <w:rPr>
          <w:color w:val="000000"/>
          <w:rtl w:val="0"/>
        </w:rPr>
        <w:t xml:space="preserve">2.2 Technical Architecture</w:t>
      </w:r>
      <w:r w:rsidDel="00000000" w:rsidR="00000000" w:rsidRPr="00000000">
        <w:rPr>
          <w:color w:val="2e5c8a"/>
          <w:rtl w:val="0"/>
        </w:rPr>
        <w:br w:type="textWrapping"/>
      </w:r>
    </w:p>
    <w:p w:rsidR="00000000" w:rsidDel="00000000" w:rsidP="00000000" w:rsidRDefault="00000000" w:rsidRPr="00000000" w14:paraId="00000058">
      <w:pPr>
        <w:rPr/>
      </w:pPr>
      <w:r w:rsidDel="00000000" w:rsidR="00000000" w:rsidRPr="00000000">
        <w:rPr/>
        <w:drawing>
          <wp:inline distB="114300" distT="114300" distL="114300" distR="114300">
            <wp:extent cx="5695950" cy="337810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95950" cy="337810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b w:val="1"/>
          <w:bCs w:val="1"/>
          <w:i w:val="1"/>
          <w:iCs w:val="1"/>
          <w:sz w:val="22"/>
          <w:szCs w:val="22"/>
          <w:rtl w:val="0"/>
        </w:rPr>
        <w:t xml:space="preserve">Figure 2: POC System Architecture</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pStyle w:val="Heading2"/>
        <w:rPr>
          <w:color w:val="2e5c8a"/>
        </w:rPr>
      </w:pPr>
      <w:r w:rsidDel="00000000" w:rsidR="00000000" w:rsidRPr="00000000">
        <w:rPr>
          <w:rtl w:val="0"/>
        </w:rPr>
      </w:r>
    </w:p>
    <w:p w:rsidR="00000000" w:rsidDel="00000000" w:rsidP="00000000" w:rsidRDefault="00000000" w:rsidRPr="00000000" w14:paraId="0000005C">
      <w:pPr>
        <w:pStyle w:val="Heading2"/>
        <w:rPr>
          <w:color w:val="000000"/>
        </w:rPr>
      </w:pPr>
      <w:r w:rsidDel="00000000" w:rsidR="00000000" w:rsidRPr="00000000">
        <w:rPr>
          <w:color w:val="000000"/>
          <w:rtl w:val="0"/>
        </w:rPr>
        <w:t xml:space="preserve">2.3 Query Processing Workflow (indicative)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b w:val="1"/>
          <w:bCs w:val="1"/>
          <w:i w:val="1"/>
          <w:iCs w:val="1"/>
          <w:sz w:val="22"/>
          <w:szCs w:val="22"/>
          <w:rtl w:val="0"/>
        </w:rPr>
        <w:t xml:space="preserve">Figure 3: Query Processing Flow</w:t>
      </w:r>
      <w:r w:rsidDel="00000000" w:rsidR="00000000" w:rsidRPr="00000000">
        <w:rPr>
          <w:rtl w:val="0"/>
        </w:rPr>
      </w:r>
    </w:p>
    <w:tbl>
      <w:tblPr>
        <w:tblStyle w:val="Table7"/>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5F">
            <w:pPr>
              <w:jc w:val="center"/>
              <w:rPr/>
            </w:pPr>
            <w:r w:rsidDel="00000000" w:rsidR="00000000" w:rsidRPr="00000000">
              <w:rPr>
                <w:b w:val="1"/>
                <w:bCs w:val="1"/>
                <w:color w:val="000000"/>
                <w:sz w:val="22"/>
                <w:szCs w:val="22"/>
                <w:rtl w:val="0"/>
              </w:rPr>
              <w:t xml:space="preserve">Step 1: Query Input</w:t>
            </w:r>
            <w:r w:rsidDel="00000000" w:rsidR="00000000" w:rsidRPr="00000000">
              <w:rPr>
                <w:color w:val="000000"/>
                <w:sz w:val="20"/>
                <w:szCs w:val="20"/>
                <w:rtl w:val="0"/>
              </w:rPr>
              <w:br w:type="textWrapping"/>
              <w:t xml:space="preserve">Subject Officer submits natural language query</w:t>
              <w:br w:type="textWrapping"/>
              <w:t xml:space="preserve">Example: "What is the 5.5x rule for cost norms?"</w:t>
            </w:r>
            <w:r w:rsidDel="00000000" w:rsidR="00000000" w:rsidRPr="00000000">
              <w:rPr>
                <w:rtl w:val="0"/>
              </w:rPr>
            </w:r>
          </w:p>
        </w:tc>
      </w:tr>
    </w:tbl>
    <w:p w:rsidR="00000000" w:rsidDel="00000000" w:rsidP="00000000" w:rsidRDefault="00000000" w:rsidRPr="00000000" w14:paraId="00000060">
      <w:pPr>
        <w:jc w:val="center"/>
        <w:rPr/>
      </w:pPr>
      <w:sdt>
        <w:sdtPr>
          <w:id w:val="2138530830"/>
          <w:tag w:val="goog_rdk_3"/>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8"/>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61">
            <w:pPr>
              <w:jc w:val="center"/>
              <w:rPr/>
            </w:pPr>
            <w:r w:rsidDel="00000000" w:rsidR="00000000" w:rsidRPr="00000000">
              <w:rPr>
                <w:b w:val="1"/>
                <w:bCs w:val="1"/>
                <w:color w:val="000000"/>
                <w:sz w:val="22"/>
                <w:szCs w:val="22"/>
                <w:rtl w:val="0"/>
              </w:rPr>
              <w:t xml:space="preserve">Step 2: Query Understanding</w:t>
            </w:r>
            <w:sdt>
              <w:sdtPr>
                <w:id w:val="-1677544934"/>
                <w:tag w:val="goog_rdk_4"/>
              </w:sdtPr>
              <w:sdtContent>
                <w:r w:rsidDel="00000000" w:rsidR="00000000" w:rsidRPr="00000000">
                  <w:rPr>
                    <w:rFonts w:ascii="Arial Unicode MS" w:cs="Arial Unicode MS" w:eastAsia="Arial Unicode MS" w:hAnsi="Arial Unicode MS"/>
                    <w:color w:val="000000"/>
                    <w:sz w:val="20"/>
                    <w:szCs w:val="20"/>
                    <w:rtl w:val="0"/>
                  </w:rPr>
                  <w:br w:type="textWrapping"/>
                  <w:t xml:space="preserve">Intent classification → Extract key entities → Generate embedding vector</w:t>
                </w:r>
              </w:sdtContent>
            </w:sdt>
            <w:r w:rsidDel="00000000" w:rsidR="00000000" w:rsidRPr="00000000">
              <w:rPr>
                <w:rtl w:val="0"/>
              </w:rPr>
            </w:r>
          </w:p>
        </w:tc>
      </w:tr>
    </w:tbl>
    <w:p w:rsidR="00000000" w:rsidDel="00000000" w:rsidP="00000000" w:rsidRDefault="00000000" w:rsidRPr="00000000" w14:paraId="00000062">
      <w:pPr>
        <w:jc w:val="center"/>
        <w:rPr/>
      </w:pPr>
      <w:sdt>
        <w:sdtPr>
          <w:id w:val="384398987"/>
          <w:tag w:val="goog_rdk_5"/>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9"/>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699" w:val="clear"/>
          </w:tcPr>
          <w:p w:rsidR="00000000" w:rsidDel="00000000" w:rsidP="00000000" w:rsidRDefault="00000000" w:rsidRPr="00000000" w14:paraId="00000063">
            <w:pPr>
              <w:jc w:val="center"/>
              <w:rPr/>
            </w:pPr>
            <w:r w:rsidDel="00000000" w:rsidR="00000000" w:rsidRPr="00000000">
              <w:rPr>
                <w:b w:val="1"/>
                <w:bCs w:val="1"/>
                <w:color w:val="000000"/>
                <w:sz w:val="22"/>
                <w:szCs w:val="22"/>
                <w:rtl w:val="0"/>
              </w:rPr>
              <w:t xml:space="preserve">Step 3: Context Retrieval</w:t>
            </w:r>
            <w:sdt>
              <w:sdtPr>
                <w:id w:val="1222934648"/>
                <w:tag w:val="goog_rdk_6"/>
              </w:sdtPr>
              <w:sdtContent>
                <w:r w:rsidDel="00000000" w:rsidR="00000000" w:rsidRPr="00000000">
                  <w:rPr>
                    <w:rFonts w:ascii="Arial Unicode MS" w:cs="Arial Unicode MS" w:eastAsia="Arial Unicode MS" w:hAnsi="Arial Unicode MS"/>
                    <w:color w:val="000000"/>
                    <w:sz w:val="20"/>
                    <w:szCs w:val="20"/>
                    <w:rtl w:val="0"/>
                  </w:rPr>
                  <w:br w:type="textWrapping"/>
                  <w:t xml:space="preserve">Semantic search in vector DB → Retrieve top-K relevant document chunks</w:t>
                </w:r>
              </w:sdtContent>
            </w:sdt>
            <w:r w:rsidDel="00000000" w:rsidR="00000000" w:rsidRPr="00000000">
              <w:rPr>
                <w:rtl w:val="0"/>
              </w:rPr>
            </w:r>
          </w:p>
        </w:tc>
      </w:tr>
    </w:tbl>
    <w:p w:rsidR="00000000" w:rsidDel="00000000" w:rsidP="00000000" w:rsidRDefault="00000000" w:rsidRPr="00000000" w14:paraId="00000064">
      <w:pPr>
        <w:jc w:val="center"/>
        <w:rPr/>
      </w:pPr>
      <w:sdt>
        <w:sdtPr>
          <w:id w:val="838280750"/>
          <w:tag w:val="goog_rdk_7"/>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10"/>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b084" w:val="clear"/>
          </w:tcPr>
          <w:p w:rsidR="00000000" w:rsidDel="00000000" w:rsidP="00000000" w:rsidRDefault="00000000" w:rsidRPr="00000000" w14:paraId="00000065">
            <w:pPr>
              <w:jc w:val="center"/>
              <w:rPr/>
            </w:pPr>
            <w:r w:rsidDel="00000000" w:rsidR="00000000" w:rsidRPr="00000000">
              <w:rPr>
                <w:b w:val="1"/>
                <w:bCs w:val="1"/>
                <w:color w:val="000000"/>
                <w:sz w:val="22"/>
                <w:szCs w:val="22"/>
                <w:rtl w:val="0"/>
              </w:rPr>
              <w:t xml:space="preserve">Step 4: Response Generation</w:t>
            </w:r>
            <w:r w:rsidDel="00000000" w:rsidR="00000000" w:rsidRPr="00000000">
              <w:rPr>
                <w:color w:val="000000"/>
                <w:sz w:val="20"/>
                <w:szCs w:val="20"/>
                <w:rtl w:val="0"/>
              </w:rPr>
              <w:br w:type="textWrapping"/>
              <w:t xml:space="preserve">AWS Bedrock (Claude) generates contextual response with source citations</w:t>
            </w:r>
            <w:r w:rsidDel="00000000" w:rsidR="00000000" w:rsidRPr="00000000">
              <w:rPr>
                <w:rtl w:val="0"/>
              </w:rPr>
            </w:r>
          </w:p>
        </w:tc>
      </w:tr>
    </w:tbl>
    <w:p w:rsidR="00000000" w:rsidDel="00000000" w:rsidP="00000000" w:rsidRDefault="00000000" w:rsidRPr="00000000" w14:paraId="00000066">
      <w:pPr>
        <w:jc w:val="center"/>
        <w:rPr/>
      </w:pPr>
      <w:sdt>
        <w:sdtPr>
          <w:id w:val="-1952204484"/>
          <w:tag w:val="goog_rdk_8"/>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11"/>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67">
            <w:pPr>
              <w:jc w:val="center"/>
              <w:rPr/>
            </w:pPr>
            <w:r w:rsidDel="00000000" w:rsidR="00000000" w:rsidRPr="00000000">
              <w:rPr>
                <w:b w:val="1"/>
                <w:bCs w:val="1"/>
                <w:color w:val="ffffff"/>
                <w:sz w:val="22"/>
                <w:szCs w:val="22"/>
                <w:rtl w:val="0"/>
              </w:rPr>
              <w:t xml:space="preserve">Step 5: Response Delivery</w:t>
            </w:r>
            <w:sdt>
              <w:sdtPr>
                <w:id w:val="-982841526"/>
                <w:tag w:val="goog_rdk_9"/>
              </w:sdtPr>
              <w:sdtContent>
                <w:r w:rsidDel="00000000" w:rsidR="00000000" w:rsidRPr="00000000">
                  <w:rPr>
                    <w:rFonts w:ascii="Arial Unicode MS" w:cs="Arial Unicode MS" w:eastAsia="Arial Unicode MS" w:hAnsi="Arial Unicode MS"/>
                    <w:color w:val="ffffff"/>
                    <w:sz w:val="20"/>
                    <w:szCs w:val="20"/>
                    <w:rtl w:val="0"/>
                  </w:rPr>
                  <w:br w:type="textWrapping"/>
                  <w:t xml:space="preserve">Formatted answer with references → Display to Subject Officer</w:t>
                </w:r>
              </w:sdtContent>
            </w:sdt>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color w:val="000000"/>
        </w:rPr>
      </w:pPr>
      <w:r w:rsidDel="00000000" w:rsidR="00000000" w:rsidRPr="00000000">
        <w:rPr>
          <w:color w:val="000000"/>
          <w:rtl w:val="0"/>
        </w:rPr>
        <w:t xml:space="preserve">2.4 Technical Components (Indicative)</w:t>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6A">
            <w:pPr>
              <w:rPr/>
            </w:pPr>
            <w:r w:rsidDel="00000000" w:rsidR="00000000" w:rsidRPr="00000000">
              <w:rPr>
                <w:b w:val="1"/>
                <w:bCs w:val="1"/>
                <w:color w:val="ffffff"/>
                <w:rtl w:val="0"/>
              </w:rPr>
              <w:t xml:space="preserve">Component</w:t>
            </w:r>
            <w:r w:rsidDel="00000000" w:rsidR="00000000" w:rsidRPr="00000000">
              <w:rPr>
                <w:rtl w:val="0"/>
              </w:rPr>
            </w:r>
          </w:p>
        </w:tc>
        <w:tc>
          <w:tcPr>
            <w:shd w:fill="4472c4" w:val="clear"/>
          </w:tcPr>
          <w:p w:rsidR="00000000" w:rsidDel="00000000" w:rsidP="00000000" w:rsidRDefault="00000000" w:rsidRPr="00000000" w14:paraId="0000006B">
            <w:pPr>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6C">
            <w:pPr>
              <w:rPr/>
            </w:pPr>
            <w:r w:rsidDel="00000000" w:rsidR="00000000" w:rsidRPr="00000000">
              <w:rPr>
                <w:b w:val="1"/>
                <w:bCs w:val="1"/>
                <w:rtl w:val="0"/>
              </w:rPr>
              <w:t xml:space="preserve">Foundation Model</w:t>
            </w:r>
            <w:r w:rsidDel="00000000" w:rsidR="00000000" w:rsidRPr="00000000">
              <w:rPr>
                <w:rtl w:val="0"/>
              </w:rPr>
            </w:r>
          </w:p>
        </w:tc>
        <w:tc>
          <w:tcPr>
            <w:shd w:fill="d5e8f0" w:val="clear"/>
          </w:tcPr>
          <w:p w:rsidR="00000000" w:rsidDel="00000000" w:rsidP="00000000" w:rsidRDefault="00000000" w:rsidRPr="00000000" w14:paraId="0000006D">
            <w:pPr>
              <w:rPr/>
            </w:pPr>
            <w:r w:rsidDel="00000000" w:rsidR="00000000" w:rsidRPr="00000000">
              <w:rPr>
                <w:rtl w:val="0"/>
              </w:rPr>
              <w:t xml:space="preserve">Claude 3.5 Sonnet (comprehensive responses) or Claude 3.7 Haiku (quick queries) via AWS Bedrock</w:t>
            </w:r>
          </w:p>
        </w:tc>
      </w:tr>
      <w:tr>
        <w:trPr>
          <w:cantSplit w:val="0"/>
          <w:tblHeader w:val="0"/>
        </w:trPr>
        <w:tc>
          <w:tcPr>
            <w:shd w:fill="d5e8f0" w:val="clear"/>
          </w:tcPr>
          <w:p w:rsidR="00000000" w:rsidDel="00000000" w:rsidP="00000000" w:rsidRDefault="00000000" w:rsidRPr="00000000" w14:paraId="0000006E">
            <w:pPr>
              <w:rPr/>
            </w:pPr>
            <w:r w:rsidDel="00000000" w:rsidR="00000000" w:rsidRPr="00000000">
              <w:rPr>
                <w:b w:val="1"/>
                <w:bCs w:val="1"/>
                <w:rtl w:val="0"/>
              </w:rPr>
              <w:t xml:space="preserve">Embedding Model</w:t>
            </w:r>
            <w:r w:rsidDel="00000000" w:rsidR="00000000" w:rsidRPr="00000000">
              <w:rPr>
                <w:rtl w:val="0"/>
              </w:rPr>
            </w:r>
          </w:p>
        </w:tc>
        <w:tc>
          <w:tcPr>
            <w:shd w:fill="d5e8f0" w:val="clear"/>
          </w:tcPr>
          <w:p w:rsidR="00000000" w:rsidDel="00000000" w:rsidP="00000000" w:rsidRDefault="00000000" w:rsidRPr="00000000" w14:paraId="0000006F">
            <w:pPr>
              <w:rPr/>
            </w:pPr>
            <w:r w:rsidDel="00000000" w:rsidR="00000000" w:rsidRPr="00000000">
              <w:rPr>
                <w:rtl w:val="0"/>
              </w:rPr>
              <w:t xml:space="preserve">Amazon Titan Embeddings V2 (512-1024 dimensions for semantic search)</w:t>
            </w:r>
          </w:p>
        </w:tc>
      </w:tr>
      <w:tr>
        <w:trPr>
          <w:cantSplit w:val="0"/>
          <w:tblHeader w:val="0"/>
        </w:trPr>
        <w:tc>
          <w:tcPr>
            <w:shd w:fill="d5e8f0" w:val="clear"/>
          </w:tcPr>
          <w:p w:rsidR="00000000" w:rsidDel="00000000" w:rsidP="00000000" w:rsidRDefault="00000000" w:rsidRPr="00000000" w14:paraId="00000070">
            <w:pPr>
              <w:rPr/>
            </w:pPr>
            <w:r w:rsidDel="00000000" w:rsidR="00000000" w:rsidRPr="00000000">
              <w:rPr>
                <w:b w:val="1"/>
                <w:bCs w:val="1"/>
                <w:rtl w:val="0"/>
              </w:rPr>
              <w:t xml:space="preserve">Vector Store</w:t>
            </w:r>
            <w:r w:rsidDel="00000000" w:rsidR="00000000" w:rsidRPr="00000000">
              <w:rPr>
                <w:rtl w:val="0"/>
              </w:rPr>
            </w:r>
          </w:p>
        </w:tc>
        <w:tc>
          <w:tcPr>
            <w:shd w:fill="d5e8f0" w:val="clear"/>
          </w:tcPr>
          <w:p w:rsidR="00000000" w:rsidDel="00000000" w:rsidP="00000000" w:rsidRDefault="00000000" w:rsidRPr="00000000" w14:paraId="00000071">
            <w:pPr>
              <w:rPr/>
            </w:pPr>
            <w:r w:rsidDel="00000000" w:rsidR="00000000" w:rsidRPr="00000000">
              <w:rPr>
                <w:rtl w:val="0"/>
              </w:rPr>
              <w:t xml:space="preserve">Amazon OpenSearch Service with k-NN plugin or Pinecone (managed vector DB)</w:t>
            </w:r>
          </w:p>
        </w:tc>
      </w:tr>
      <w:tr>
        <w:trPr>
          <w:cantSplit w:val="0"/>
          <w:tblHeader w:val="0"/>
        </w:trPr>
        <w:tc>
          <w:tcPr>
            <w:shd w:fill="d5e8f0" w:val="clear"/>
          </w:tcPr>
          <w:p w:rsidR="00000000" w:rsidDel="00000000" w:rsidP="00000000" w:rsidRDefault="00000000" w:rsidRPr="00000000" w14:paraId="00000072">
            <w:pPr>
              <w:rPr/>
            </w:pPr>
            <w:r w:rsidDel="00000000" w:rsidR="00000000" w:rsidRPr="00000000">
              <w:rPr>
                <w:b w:val="1"/>
                <w:bCs w:val="1"/>
                <w:rtl w:val="0"/>
              </w:rPr>
              <w:t xml:space="preserve">Orchestration</w:t>
            </w:r>
            <w:r w:rsidDel="00000000" w:rsidR="00000000" w:rsidRPr="00000000">
              <w:rPr>
                <w:rtl w:val="0"/>
              </w:rPr>
            </w:r>
          </w:p>
        </w:tc>
        <w:tc>
          <w:tcPr>
            <w:shd w:fill="d5e8f0" w:val="clear"/>
          </w:tcPr>
          <w:p w:rsidR="00000000" w:rsidDel="00000000" w:rsidP="00000000" w:rsidRDefault="00000000" w:rsidRPr="00000000" w14:paraId="00000073">
            <w:pPr>
              <w:rPr/>
            </w:pPr>
            <w:r w:rsidDel="00000000" w:rsidR="00000000" w:rsidRPr="00000000">
              <w:rPr>
                <w:rtl w:val="0"/>
              </w:rPr>
              <w:t xml:space="preserve">AWS Lambda (serverless functions) + API Gateway for request routing</w:t>
            </w:r>
          </w:p>
        </w:tc>
      </w:tr>
      <w:tr>
        <w:trPr>
          <w:cantSplit w:val="0"/>
          <w:tblHeader w:val="0"/>
        </w:trPr>
        <w:tc>
          <w:tcPr>
            <w:shd w:fill="d5e8f0" w:val="clear"/>
          </w:tcPr>
          <w:p w:rsidR="00000000" w:rsidDel="00000000" w:rsidP="00000000" w:rsidRDefault="00000000" w:rsidRPr="00000000" w14:paraId="00000074">
            <w:pPr>
              <w:rPr/>
            </w:pPr>
            <w:r w:rsidDel="00000000" w:rsidR="00000000" w:rsidRPr="00000000">
              <w:rPr>
                <w:b w:val="1"/>
                <w:bCs w:val="1"/>
                <w:rtl w:val="0"/>
              </w:rPr>
              <w:t xml:space="preserve">Frontend</w:t>
            </w:r>
            <w:r w:rsidDel="00000000" w:rsidR="00000000" w:rsidRPr="00000000">
              <w:rPr>
                <w:rtl w:val="0"/>
              </w:rPr>
            </w:r>
          </w:p>
        </w:tc>
        <w:tc>
          <w:tcPr>
            <w:shd w:fill="d5e8f0" w:val="clear"/>
          </w:tcPr>
          <w:p w:rsidR="00000000" w:rsidDel="00000000" w:rsidP="00000000" w:rsidRDefault="00000000" w:rsidRPr="00000000" w14:paraId="00000075">
            <w:pPr>
              <w:rPr/>
            </w:pPr>
            <w:r w:rsidDel="00000000" w:rsidR="00000000" w:rsidRPr="00000000">
              <w:rPr>
                <w:rtl w:val="0"/>
              </w:rPr>
              <w:t xml:space="preserve">React.js web application hosted on AWS Amplify or S3+CloudFront</w:t>
            </w:r>
          </w:p>
        </w:tc>
      </w:tr>
      <w:tr>
        <w:trPr>
          <w:cantSplit w:val="0"/>
          <w:tblHeader w:val="0"/>
        </w:trPr>
        <w:tc>
          <w:tcPr>
            <w:shd w:fill="d5e8f0" w:val="clear"/>
          </w:tcPr>
          <w:p w:rsidR="00000000" w:rsidDel="00000000" w:rsidP="00000000" w:rsidRDefault="00000000" w:rsidRPr="00000000" w14:paraId="00000076">
            <w:pPr>
              <w:rPr/>
            </w:pPr>
            <w:r w:rsidDel="00000000" w:rsidR="00000000" w:rsidRPr="00000000">
              <w:rPr>
                <w:b w:val="1"/>
                <w:bCs w:val="1"/>
                <w:rtl w:val="0"/>
              </w:rPr>
              <w:t xml:space="preserve">Document Storage</w:t>
            </w:r>
            <w:r w:rsidDel="00000000" w:rsidR="00000000" w:rsidRPr="00000000">
              <w:rPr>
                <w:rtl w:val="0"/>
              </w:rPr>
            </w:r>
          </w:p>
        </w:tc>
        <w:tc>
          <w:tcPr>
            <w:shd w:fill="d5e8f0" w:val="clear"/>
          </w:tcPr>
          <w:p w:rsidR="00000000" w:rsidDel="00000000" w:rsidP="00000000" w:rsidRDefault="00000000" w:rsidRPr="00000000" w14:paraId="00000077">
            <w:pPr>
              <w:rPr/>
            </w:pPr>
            <w:r w:rsidDel="00000000" w:rsidR="00000000" w:rsidRPr="00000000">
              <w:rPr>
                <w:rtl w:val="0"/>
              </w:rPr>
              <w:t xml:space="preserve">Amazon S3 (public documents repository with versioning)</w:t>
            </w:r>
          </w:p>
        </w:tc>
      </w:tr>
    </w:tbl>
    <w:p w:rsidR="00000000" w:rsidDel="00000000" w:rsidP="00000000" w:rsidRDefault="00000000" w:rsidRPr="00000000" w14:paraId="00000078">
      <w:pPr>
        <w:pStyle w:val="Heading1"/>
        <w:rPr>
          <w:color w:val="000000"/>
        </w:rPr>
      </w:pPr>
      <w:r w:rsidDel="00000000" w:rsidR="00000000" w:rsidRPr="00000000">
        <w:rPr>
          <w:color w:val="000000"/>
          <w:rtl w:val="0"/>
        </w:rPr>
        <w:t xml:space="preserve">3. Solution 2: Full Production System - Automated DPR Appraisal Platform</w:t>
      </w:r>
    </w:p>
    <w:p w:rsidR="00000000" w:rsidDel="00000000" w:rsidP="00000000" w:rsidRDefault="00000000" w:rsidRPr="00000000" w14:paraId="00000079">
      <w:pPr>
        <w:pStyle w:val="Heading2"/>
        <w:rPr>
          <w:color w:val="000000"/>
        </w:rPr>
      </w:pPr>
      <w:r w:rsidDel="00000000" w:rsidR="00000000" w:rsidRPr="00000000">
        <w:rPr>
          <w:color w:val="000000"/>
          <w:rtl w:val="0"/>
        </w:rPr>
        <w:t xml:space="preserve">3.1 Overview</w:t>
      </w:r>
    </w:p>
    <w:p w:rsidR="00000000" w:rsidDel="00000000" w:rsidP="00000000" w:rsidRDefault="00000000" w:rsidRPr="00000000" w14:paraId="0000007A">
      <w:pPr>
        <w:rPr/>
      </w:pPr>
      <w:r w:rsidDel="00000000" w:rsidR="00000000" w:rsidRPr="00000000">
        <w:rPr>
          <w:rtl w:val="0"/>
        </w:rPr>
        <w:t xml:space="preserve">The production system represents a comprehensive multi-agent architecture designed to automate the complete DPR appraisal workflow. This system processes confidential project documents through specialized AI agents, each responsible for specific assessment dimensions, while maintaining strict data security through dedicated on-premise inferencing infrastructure.</w:t>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d5e8f0" w:val="clear"/>
          </w:tcPr>
          <w:p w:rsidR="00000000" w:rsidDel="00000000" w:rsidP="00000000" w:rsidRDefault="00000000" w:rsidRPr="00000000" w14:paraId="0000007B">
            <w:pPr>
              <w:rPr/>
            </w:pPr>
            <w:r w:rsidDel="00000000" w:rsidR="00000000" w:rsidRPr="00000000">
              <w:rPr>
                <w:b w:val="1"/>
                <w:bCs w:val="1"/>
                <w:rtl w:val="0"/>
              </w:rPr>
              <w:t xml:space="preserve">Characteristic</w:t>
            </w:r>
            <w:r w:rsidDel="00000000" w:rsidR="00000000" w:rsidRPr="00000000">
              <w:rPr>
                <w:rtl w:val="0"/>
              </w:rPr>
            </w:r>
          </w:p>
        </w:tc>
        <w:tc>
          <w:tcPr>
            <w:shd w:fill="d5e8f0" w:val="clear"/>
          </w:tcPr>
          <w:p w:rsidR="00000000" w:rsidDel="00000000" w:rsidP="00000000" w:rsidRDefault="00000000" w:rsidRPr="00000000" w14:paraId="0000007C">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7D">
            <w:pPr>
              <w:rPr/>
            </w:pPr>
            <w:r w:rsidDel="00000000" w:rsidR="00000000" w:rsidRPr="00000000">
              <w:rPr>
                <w:b w:val="1"/>
                <w:bCs w:val="1"/>
                <w:rtl w:val="0"/>
              </w:rPr>
              <w:t xml:space="preserve">Scope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Full DPR processing including confidential project documents and sensitive financial data</w:t>
            </w:r>
          </w:p>
        </w:tc>
      </w:tr>
      <w:tr>
        <w:trPr>
          <w:cantSplit w:val="0"/>
          <w:tblHeader w:val="0"/>
        </w:trPr>
        <w:tc>
          <w:tcPr>
            <w:shd w:fill="d5e8f0" w:val="clear"/>
          </w:tcPr>
          <w:p w:rsidR="00000000" w:rsidDel="00000000" w:rsidP="00000000" w:rsidRDefault="00000000" w:rsidRPr="00000000" w14:paraId="0000007F">
            <w:pPr>
              <w:rPr/>
            </w:pPr>
            <w:r w:rsidDel="00000000" w:rsidR="00000000" w:rsidRPr="00000000">
              <w:rPr>
                <w:b w:val="1"/>
                <w:bCs w:val="1"/>
                <w:rtl w:val="0"/>
              </w:rPr>
              <w:t xml:space="preserve">Infrastructure</w:t>
            </w:r>
            <w:r w:rsidDel="00000000" w:rsidR="00000000" w:rsidRPr="00000000">
              <w:rPr>
                <w:rtl w:val="0"/>
              </w:rPr>
            </w:r>
          </w:p>
        </w:tc>
        <w:tc>
          <w:tcPr>
            <w:shd w:fill="d5e8f0" w:val="clear"/>
          </w:tcPr>
          <w:p w:rsidR="00000000" w:rsidDel="00000000" w:rsidP="00000000" w:rsidRDefault="00000000" w:rsidRPr="00000000" w14:paraId="00000080">
            <w:pPr>
              <w:rPr/>
            </w:pPr>
            <w:r w:rsidDel="00000000" w:rsidR="00000000" w:rsidRPr="00000000">
              <w:rPr>
                <w:rtl w:val="0"/>
              </w:rPr>
              <w:t xml:space="preserve">On-premise GPU servers with local model inferencing - NO cloud-based AI services</w:t>
            </w:r>
          </w:p>
        </w:tc>
      </w:tr>
      <w:tr>
        <w:trPr>
          <w:cantSplit w:val="0"/>
          <w:tblHeader w:val="0"/>
        </w:trPr>
        <w:tc>
          <w:tcPr>
            <w:shd w:fill="d5e8f0" w:val="clear"/>
          </w:tcPr>
          <w:p w:rsidR="00000000" w:rsidDel="00000000" w:rsidP="00000000" w:rsidRDefault="00000000" w:rsidRPr="00000000" w14:paraId="00000081">
            <w:pPr>
              <w:rPr/>
            </w:pPr>
            <w:r w:rsidDel="00000000" w:rsidR="00000000" w:rsidRPr="00000000">
              <w:rPr>
                <w:b w:val="1"/>
                <w:bCs w:val="1"/>
                <w:rtl w:val="0"/>
              </w:rPr>
              <w:t xml:space="preserve">Security Model</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Complete data residency within DoE infrastructure, air-gapped processing for sensitive documents</w:t>
            </w:r>
          </w:p>
        </w:tc>
      </w:tr>
      <w:tr>
        <w:trPr>
          <w:cantSplit w:val="0"/>
          <w:tblHeader w:val="0"/>
        </w:trPr>
        <w:tc>
          <w:tcPr>
            <w:shd w:fill="d5e8f0" w:val="clear"/>
          </w:tcPr>
          <w:p w:rsidR="00000000" w:rsidDel="00000000" w:rsidP="00000000" w:rsidRDefault="00000000" w:rsidRPr="00000000" w14:paraId="00000083">
            <w:pPr>
              <w:rPr/>
            </w:pPr>
            <w:r w:rsidDel="00000000" w:rsidR="00000000" w:rsidRPr="00000000">
              <w:rPr>
                <w:b w:val="1"/>
                <w:bCs w:val="1"/>
                <w:rtl w:val="0"/>
              </w:rPr>
              <w:t xml:space="preserve">Processing Mode</w:t>
            </w:r>
            <w:r w:rsidDel="00000000" w:rsidR="00000000" w:rsidRPr="00000000">
              <w:rPr>
                <w:rtl w:val="0"/>
              </w:rPr>
            </w:r>
          </w:p>
        </w:tc>
        <w:tc>
          <w:tcPr>
            <w:shd w:fill="d5e8f0" w:val="clear"/>
          </w:tcPr>
          <w:p w:rsidR="00000000" w:rsidDel="00000000" w:rsidP="00000000" w:rsidRDefault="00000000" w:rsidRPr="00000000" w14:paraId="00000084">
            <w:pPr>
              <w:rPr/>
            </w:pPr>
            <w:r w:rsidDel="00000000" w:rsidR="00000000" w:rsidRPr="00000000">
              <w:rPr>
                <w:rtl w:val="0"/>
              </w:rPr>
              <w:t xml:space="preserve">Multi-agent orchestration with specialized assessment agents for each appraisal dimension</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color w:val="000000"/>
        </w:rPr>
      </w:pPr>
      <w:r w:rsidDel="00000000" w:rsidR="00000000" w:rsidRPr="00000000">
        <w:rPr>
          <w:color w:val="000000"/>
          <w:rtl w:val="0"/>
        </w:rPr>
        <w:t xml:space="preserve">3.2 System Architecture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605463" cy="36099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05463"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rPr>
          <w:color w:val="000000"/>
        </w:rPr>
      </w:pPr>
      <w:r w:rsidDel="00000000" w:rsidR="00000000" w:rsidRPr="00000000">
        <w:rPr>
          <w:color w:val="000000"/>
          <w:rtl w:val="0"/>
        </w:rPr>
        <w:t xml:space="preserve">3.3 Multi-Agent Processing Workflow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b w:val="1"/>
          <w:bCs w:val="1"/>
          <w:i w:val="1"/>
          <w:iCs w:val="1"/>
          <w:sz w:val="22"/>
          <w:szCs w:val="22"/>
          <w:rtl w:val="0"/>
        </w:rPr>
        <w:t xml:space="preserve">Figure 5: DPR Processing Workflow with Specialized Agents</w:t>
      </w:r>
      <w:r w:rsidDel="00000000" w:rsidR="00000000" w:rsidRPr="00000000">
        <w:rPr>
          <w:rtl w:val="0"/>
        </w:rPr>
      </w:r>
    </w:p>
    <w:tbl>
      <w:tblPr>
        <w:tblStyle w:val="Table14"/>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8C">
            <w:pPr>
              <w:jc w:val="center"/>
              <w:rPr/>
            </w:pPr>
            <w:r w:rsidDel="00000000" w:rsidR="00000000" w:rsidRPr="00000000">
              <w:rPr>
                <w:b w:val="1"/>
                <w:bCs w:val="1"/>
                <w:color w:val="000000"/>
                <w:sz w:val="22"/>
                <w:szCs w:val="22"/>
                <w:rtl w:val="0"/>
              </w:rPr>
              <w:t xml:space="preserve">Phase 1: Document Ingestion</w:t>
            </w:r>
            <w:sdt>
              <w:sdtPr>
                <w:id w:val="2040382472"/>
                <w:tag w:val="goog_rdk_10"/>
              </w:sdtPr>
              <w:sdtContent>
                <w:r w:rsidDel="00000000" w:rsidR="00000000" w:rsidRPr="00000000">
                  <w:rPr>
                    <w:rFonts w:ascii="Arial Unicode MS" w:cs="Arial Unicode MS" w:eastAsia="Arial Unicode MS" w:hAnsi="Arial Unicode MS"/>
                    <w:color w:val="000000"/>
                    <w:sz w:val="20"/>
                    <w:szCs w:val="20"/>
                    <w:rtl w:val="0"/>
                  </w:rPr>
                  <w:br w:type="textWrapping"/>
                  <w:t xml:space="preserve">DPR uploaded → Document parsing → Metadata extraction → Preliminary validation</w:t>
                </w:r>
              </w:sdtContent>
            </w:sdt>
            <w:r w:rsidDel="00000000" w:rsidR="00000000" w:rsidRPr="00000000">
              <w:rPr>
                <w:rtl w:val="0"/>
              </w:rPr>
            </w:r>
          </w:p>
        </w:tc>
      </w:tr>
    </w:tbl>
    <w:p w:rsidR="00000000" w:rsidDel="00000000" w:rsidP="00000000" w:rsidRDefault="00000000" w:rsidRPr="00000000" w14:paraId="0000008D">
      <w:pPr>
        <w:jc w:val="center"/>
        <w:rPr/>
      </w:pPr>
      <w:sdt>
        <w:sdtPr>
          <w:id w:val="2057445608"/>
          <w:tag w:val="goog_rdk_11"/>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15"/>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Pr>
          <w:p w:rsidR="00000000" w:rsidDel="00000000" w:rsidP="00000000" w:rsidRDefault="00000000" w:rsidRPr="00000000" w14:paraId="0000008E">
            <w:pPr>
              <w:jc w:val="center"/>
              <w:rPr/>
            </w:pPr>
            <w:r w:rsidDel="00000000" w:rsidR="00000000" w:rsidRPr="00000000">
              <w:rPr>
                <w:b w:val="1"/>
                <w:bCs w:val="1"/>
                <w:color w:val="ffffff"/>
                <w:sz w:val="22"/>
                <w:szCs w:val="22"/>
                <w:rtl w:val="0"/>
              </w:rPr>
              <w:t xml:space="preserve">Phase 2: Master Orchestrator Activation</w:t>
            </w:r>
            <w:sdt>
              <w:sdtPr>
                <w:id w:val="-1868072589"/>
                <w:tag w:val="goog_rdk_12"/>
              </w:sdtPr>
              <w:sdtContent>
                <w:r w:rsidDel="00000000" w:rsidR="00000000" w:rsidRPr="00000000">
                  <w:rPr>
                    <w:rFonts w:ascii="Arial Unicode MS" w:cs="Arial Unicode MS" w:eastAsia="Arial Unicode MS" w:hAnsi="Arial Unicode MS"/>
                    <w:color w:val="ffffff"/>
                    <w:sz w:val="20"/>
                    <w:szCs w:val="20"/>
                    <w:rtl w:val="0"/>
                  </w:rPr>
                  <w:br w:type="textWrapping"/>
                  <w:t xml:space="preserve">Task decomposition → Agent assignment → Parallel processing initiation</w:t>
                </w:r>
              </w:sdtContent>
            </w:sdt>
            <w:r w:rsidDel="00000000" w:rsidR="00000000" w:rsidRPr="00000000">
              <w:rPr>
                <w:rtl w:val="0"/>
              </w:rPr>
            </w:r>
          </w:p>
        </w:tc>
      </w:tr>
    </w:tbl>
    <w:p w:rsidR="00000000" w:rsidDel="00000000" w:rsidP="00000000" w:rsidRDefault="00000000" w:rsidRPr="00000000" w14:paraId="0000008F">
      <w:pPr>
        <w:jc w:val="center"/>
        <w:rPr/>
      </w:pPr>
      <w:sdt>
        <w:sdtPr>
          <w:id w:val="-887653252"/>
          <w:tag w:val="goog_rdk_13"/>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16"/>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699" w:val="clear"/>
          </w:tcPr>
          <w:p w:rsidR="00000000" w:rsidDel="00000000" w:rsidP="00000000" w:rsidRDefault="00000000" w:rsidRPr="00000000" w14:paraId="00000090">
            <w:pPr>
              <w:jc w:val="center"/>
              <w:rPr/>
            </w:pPr>
            <w:r w:rsidDel="00000000" w:rsidR="00000000" w:rsidRPr="00000000">
              <w:rPr>
                <w:b w:val="1"/>
                <w:bCs w:val="1"/>
                <w:color w:val="000000"/>
                <w:sz w:val="22"/>
                <w:szCs w:val="22"/>
                <w:rtl w:val="0"/>
              </w:rPr>
              <w:t xml:space="preserve">Phase 3: Parallel Agent Assessment (5 Dimensions)</w:t>
            </w:r>
            <w:r w:rsidDel="00000000" w:rsidR="00000000" w:rsidRPr="00000000">
              <w:rPr>
                <w:color w:val="000000"/>
                <w:sz w:val="20"/>
                <w:szCs w:val="20"/>
                <w:rtl w:val="0"/>
              </w:rPr>
              <w:br w:type="textWrapping"/>
              <w:t xml:space="preserve">Each agent performs specialized analysis using knowledge repository and on-premise LLMs</w:t>
            </w:r>
            <w:r w:rsidDel="00000000" w:rsidR="00000000" w:rsidRPr="00000000">
              <w:rPr>
                <w:rtl w:val="0"/>
              </w:rPr>
            </w:r>
          </w:p>
        </w:tc>
      </w:tr>
    </w:tbl>
    <w:p w:rsidR="00000000" w:rsidDel="00000000" w:rsidP="00000000" w:rsidRDefault="00000000" w:rsidRPr="00000000" w14:paraId="00000091">
      <w:pPr>
        <w:jc w:val="center"/>
        <w:rPr/>
      </w:pPr>
      <w:sdt>
        <w:sdtPr>
          <w:id w:val="2122713227"/>
          <w:tag w:val="goog_rdk_14"/>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17"/>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b084" w:val="clear"/>
          </w:tcPr>
          <w:p w:rsidR="00000000" w:rsidDel="00000000" w:rsidP="00000000" w:rsidRDefault="00000000" w:rsidRPr="00000000" w14:paraId="00000092">
            <w:pPr>
              <w:jc w:val="center"/>
              <w:rPr/>
            </w:pPr>
            <w:r w:rsidDel="00000000" w:rsidR="00000000" w:rsidRPr="00000000">
              <w:rPr>
                <w:b w:val="1"/>
                <w:bCs w:val="1"/>
                <w:color w:val="000000"/>
                <w:sz w:val="22"/>
                <w:szCs w:val="22"/>
                <w:rtl w:val="0"/>
              </w:rPr>
              <w:t xml:space="preserve">Phase 4: Result Synthesis</w:t>
            </w:r>
            <w:sdt>
              <w:sdtPr>
                <w:id w:val="-1652699083"/>
                <w:tag w:val="goog_rdk_15"/>
              </w:sdtPr>
              <w:sdtContent>
                <w:r w:rsidDel="00000000" w:rsidR="00000000" w:rsidRPr="00000000">
                  <w:rPr>
                    <w:rFonts w:ascii="Arial Unicode MS" w:cs="Arial Unicode MS" w:eastAsia="Arial Unicode MS" w:hAnsi="Arial Unicode MS"/>
                    <w:color w:val="000000"/>
                    <w:sz w:val="20"/>
                    <w:szCs w:val="20"/>
                    <w:rtl w:val="0"/>
                  </w:rPr>
                  <w:br w:type="textWrapping"/>
                  <w:t xml:space="preserve">Master orchestrator aggregates findings → Cross-validation → Comprehensive appraisal report</w:t>
                </w:r>
              </w:sdtContent>
            </w:sdt>
            <w:r w:rsidDel="00000000" w:rsidR="00000000" w:rsidRPr="00000000">
              <w:rPr>
                <w:rtl w:val="0"/>
              </w:rPr>
            </w:r>
          </w:p>
        </w:tc>
      </w:tr>
    </w:tbl>
    <w:p w:rsidR="00000000" w:rsidDel="00000000" w:rsidP="00000000" w:rsidRDefault="00000000" w:rsidRPr="00000000" w14:paraId="00000093">
      <w:pPr>
        <w:jc w:val="center"/>
        <w:rPr/>
      </w:pPr>
      <w:sdt>
        <w:sdtPr>
          <w:id w:val="-1870456994"/>
          <w:tag w:val="goog_rdk_16"/>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18"/>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94">
            <w:pPr>
              <w:jc w:val="center"/>
              <w:rPr/>
            </w:pPr>
            <w:r w:rsidDel="00000000" w:rsidR="00000000" w:rsidRPr="00000000">
              <w:rPr>
                <w:b w:val="1"/>
                <w:bCs w:val="1"/>
                <w:color w:val="ffffff"/>
                <w:sz w:val="22"/>
                <w:szCs w:val="22"/>
                <w:rtl w:val="0"/>
              </w:rPr>
              <w:t xml:space="preserve">Phase 5: Decision Support Output</w:t>
            </w:r>
            <w:sdt>
              <w:sdtPr>
                <w:id w:val="-1641328722"/>
                <w:tag w:val="goog_rdk_17"/>
              </w:sdtPr>
              <w:sdtContent>
                <w:r w:rsidDel="00000000" w:rsidR="00000000" w:rsidRPr="00000000">
                  <w:rPr>
                    <w:rFonts w:ascii="Arial Unicode MS" w:cs="Arial Unicode MS" w:eastAsia="Arial Unicode MS" w:hAnsi="Arial Unicode MS"/>
                    <w:color w:val="ffffff"/>
                    <w:sz w:val="20"/>
                    <w:szCs w:val="20"/>
                    <w:rtl w:val="0"/>
                  </w:rPr>
                  <w:br w:type="textWrapping"/>
                  <w:t xml:space="preserve">Structured appraisal note → Risk flagging → Recommendation matrix → SO review</w:t>
                </w:r>
              </w:sdtContent>
            </w:sdt>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color w:val="000000"/>
        </w:rPr>
      </w:pPr>
      <w:bookmarkStart w:colFirst="0" w:colLast="0" w:name="_heading=h.2sruwnowxcq" w:id="0"/>
      <w:bookmarkEnd w:id="0"/>
      <w:r w:rsidDel="00000000" w:rsidR="00000000" w:rsidRPr="00000000">
        <w:rPr>
          <w:color w:val="000000"/>
          <w:rtl w:val="0"/>
        </w:rPr>
        <w:t xml:space="preserve">3.4 Agent Specializations (Indicative)</w:t>
      </w:r>
    </w:p>
    <w:tbl>
      <w:tblPr>
        <w:tblStyle w:val="Table1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97">
            <w:pPr>
              <w:rPr/>
            </w:pPr>
            <w:r w:rsidDel="00000000" w:rsidR="00000000" w:rsidRPr="00000000">
              <w:rPr>
                <w:b w:val="1"/>
                <w:bCs w:val="1"/>
                <w:color w:val="ffffff"/>
                <w:rtl w:val="0"/>
              </w:rPr>
              <w:t xml:space="preserve">Agent</w:t>
            </w:r>
            <w:r w:rsidDel="00000000" w:rsidR="00000000" w:rsidRPr="00000000">
              <w:rPr>
                <w:rtl w:val="0"/>
              </w:rPr>
            </w:r>
          </w:p>
        </w:tc>
        <w:tc>
          <w:tcPr>
            <w:shd w:fill="4472c4" w:val="clear"/>
          </w:tcPr>
          <w:p w:rsidR="00000000" w:rsidDel="00000000" w:rsidP="00000000" w:rsidRDefault="00000000" w:rsidRPr="00000000" w14:paraId="00000098">
            <w:pPr>
              <w:rPr/>
            </w:pPr>
            <w:r w:rsidDel="00000000" w:rsidR="00000000" w:rsidRPr="00000000">
              <w:rPr>
                <w:b w:val="1"/>
                <w:bCs w:val="1"/>
                <w:color w:val="ffffff"/>
                <w:rtl w:val="0"/>
              </w:rPr>
              <w:t xml:space="preserve">Assessment Focus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99">
            <w:pPr>
              <w:rPr/>
            </w:pPr>
            <w:r w:rsidDel="00000000" w:rsidR="00000000" w:rsidRPr="00000000">
              <w:rPr>
                <w:b w:val="1"/>
                <w:bCs w:val="1"/>
                <w:rtl w:val="0"/>
              </w:rPr>
              <w:t xml:space="preserve">Need &amp; Relevance Agent</w:t>
            </w:r>
            <w:r w:rsidDel="00000000" w:rsidR="00000000" w:rsidRPr="00000000">
              <w:rPr>
                <w:rtl w:val="0"/>
              </w:rPr>
            </w:r>
          </w:p>
        </w:tc>
        <w:tc>
          <w:tcPr>
            <w:shd w:fill="d5e8f0" w:val="clear"/>
          </w:tcPr>
          <w:p w:rsidR="00000000" w:rsidDel="00000000" w:rsidP="00000000" w:rsidRDefault="00000000" w:rsidRPr="00000000" w14:paraId="0000009A">
            <w:pPr>
              <w:rPr/>
            </w:pPr>
            <w:r w:rsidDel="00000000" w:rsidR="00000000" w:rsidRPr="00000000">
              <w:rPr>
                <w:rtl w:val="0"/>
              </w:rPr>
              <w:t xml:space="preserve">Problem justification, duplication check, FC-cycle alignment, strategic fit</w:t>
            </w:r>
          </w:p>
        </w:tc>
      </w:tr>
      <w:tr>
        <w:trPr>
          <w:cantSplit w:val="0"/>
          <w:tblHeader w:val="0"/>
        </w:trPr>
        <w:tc>
          <w:tcPr>
            <w:shd w:fill="d5e8f0" w:val="clear"/>
          </w:tcPr>
          <w:p w:rsidR="00000000" w:rsidDel="00000000" w:rsidP="00000000" w:rsidRDefault="00000000" w:rsidRPr="00000000" w14:paraId="0000009B">
            <w:pPr>
              <w:rPr/>
            </w:pPr>
            <w:r w:rsidDel="00000000" w:rsidR="00000000" w:rsidRPr="00000000">
              <w:rPr>
                <w:b w:val="1"/>
                <w:bCs w:val="1"/>
                <w:rtl w:val="0"/>
              </w:rPr>
              <w:t xml:space="preserve">Outcome &amp; Performance Agent</w:t>
            </w:r>
            <w:r w:rsidDel="00000000" w:rsidR="00000000" w:rsidRPr="00000000">
              <w:rPr>
                <w:rtl w:val="0"/>
              </w:rPr>
            </w:r>
          </w:p>
        </w:tc>
        <w:tc>
          <w:tcPr>
            <w:shd w:fill="d5e8f0" w:val="clear"/>
          </w:tcPr>
          <w:p w:rsidR="00000000" w:rsidDel="00000000" w:rsidP="00000000" w:rsidRDefault="00000000" w:rsidRPr="00000000" w14:paraId="0000009C">
            <w:pPr>
              <w:rPr/>
            </w:pPr>
            <w:r w:rsidDel="00000000" w:rsidR="00000000" w:rsidRPr="00000000">
              <w:rPr>
                <w:rtl w:val="0"/>
              </w:rPr>
              <w:t xml:space="preserve">Output indicators, outcome measurement, past performance analysis, KPI validation</w:t>
            </w:r>
          </w:p>
        </w:tc>
      </w:tr>
      <w:tr>
        <w:trPr>
          <w:cantSplit w:val="0"/>
          <w:tblHeader w:val="0"/>
        </w:trPr>
        <w:tc>
          <w:tcPr>
            <w:shd w:fill="d5e8f0" w:val="clear"/>
          </w:tcPr>
          <w:p w:rsidR="00000000" w:rsidDel="00000000" w:rsidP="00000000" w:rsidRDefault="00000000" w:rsidRPr="00000000" w14:paraId="0000009D">
            <w:pPr>
              <w:rPr/>
            </w:pPr>
            <w:r w:rsidDel="00000000" w:rsidR="00000000" w:rsidRPr="00000000">
              <w:rPr>
                <w:b w:val="1"/>
                <w:bCs w:val="1"/>
                <w:rtl w:val="0"/>
              </w:rPr>
              <w:t xml:space="preserve">Cost &amp; Fiscal Agent</w:t>
            </w:r>
            <w:r w:rsidDel="00000000" w:rsidR="00000000" w:rsidRPr="00000000">
              <w:rPr>
                <w:rtl w:val="0"/>
              </w:rPr>
            </w:r>
          </w:p>
        </w:tc>
        <w:tc>
          <w:tcPr>
            <w:shd w:fill="d5e8f0" w:val="clear"/>
          </w:tcPr>
          <w:p w:rsidR="00000000" w:rsidDel="00000000" w:rsidP="00000000" w:rsidRDefault="00000000" w:rsidRPr="00000000" w14:paraId="0000009E">
            <w:pPr>
              <w:rPr/>
            </w:pPr>
            <w:r w:rsidDel="00000000" w:rsidR="00000000" w:rsidRPr="00000000">
              <w:rPr>
                <w:rtl w:val="0"/>
              </w:rPr>
              <w:t xml:space="preserve">Cost norm compliance, affordability check, FC ceiling validation, 5.5x rule assessment</w:t>
            </w:r>
          </w:p>
        </w:tc>
      </w:tr>
      <w:tr>
        <w:trPr>
          <w:cantSplit w:val="0"/>
          <w:tblHeader w:val="0"/>
        </w:trPr>
        <w:tc>
          <w:tcPr>
            <w:shd w:fill="d5e8f0" w:val="clear"/>
          </w:tcPr>
          <w:p w:rsidR="00000000" w:rsidDel="00000000" w:rsidP="00000000" w:rsidRDefault="00000000" w:rsidRPr="00000000" w14:paraId="0000009F">
            <w:pPr>
              <w:rPr/>
            </w:pPr>
            <w:r w:rsidDel="00000000" w:rsidR="00000000" w:rsidRPr="00000000">
              <w:rPr>
                <w:b w:val="1"/>
                <w:bCs w:val="1"/>
                <w:rtl w:val="0"/>
              </w:rPr>
              <w:t xml:space="preserve">Implementation &amp; Risk Agent</w:t>
            </w:r>
            <w:r w:rsidDel="00000000" w:rsidR="00000000" w:rsidRPr="00000000">
              <w:rPr>
                <w:rtl w:val="0"/>
              </w:rPr>
            </w:r>
          </w:p>
        </w:tc>
        <w:tc>
          <w:tcPr>
            <w:shd w:fill="d5e8f0" w:val="clear"/>
          </w:tcPr>
          <w:p w:rsidR="00000000" w:rsidDel="00000000" w:rsidP="00000000" w:rsidRDefault="00000000" w:rsidRPr="00000000" w14:paraId="000000A0">
            <w:pPr>
              <w:rPr/>
            </w:pPr>
            <w:r w:rsidDel="00000000" w:rsidR="00000000" w:rsidRPr="00000000">
              <w:rPr>
                <w:rtl w:val="0"/>
              </w:rPr>
              <w:t xml:space="preserve">Delivery mechanism feasibility, DBT/PFMS integration, capacity assessment, risk mitigation</w:t>
            </w:r>
          </w:p>
        </w:tc>
      </w:tr>
      <w:tr>
        <w:trPr>
          <w:cantSplit w:val="0"/>
          <w:tblHeader w:val="0"/>
        </w:trPr>
        <w:tc>
          <w:tcPr>
            <w:shd w:fill="d5e8f0" w:val="clear"/>
          </w:tcPr>
          <w:p w:rsidR="00000000" w:rsidDel="00000000" w:rsidP="00000000" w:rsidRDefault="00000000" w:rsidRPr="00000000" w14:paraId="000000A1">
            <w:pPr>
              <w:rPr/>
            </w:pPr>
            <w:r w:rsidDel="00000000" w:rsidR="00000000" w:rsidRPr="00000000">
              <w:rPr>
                <w:b w:val="1"/>
                <w:bCs w:val="1"/>
                <w:rtl w:val="0"/>
              </w:rPr>
              <w:t xml:space="preserve">Inter-Ministerial Agent</w:t>
            </w:r>
            <w:r w:rsidDel="00000000" w:rsidR="00000000" w:rsidRPr="00000000">
              <w:rPr>
                <w:rtl w:val="0"/>
              </w:rPr>
            </w:r>
          </w:p>
        </w:tc>
        <w:tc>
          <w:tcPr>
            <w:shd w:fill="d5e8f0" w:val="clear"/>
          </w:tcPr>
          <w:p w:rsidR="00000000" w:rsidDel="00000000" w:rsidP="00000000" w:rsidRDefault="00000000" w:rsidRPr="00000000" w14:paraId="000000A2">
            <w:pPr>
              <w:rPr/>
            </w:pPr>
            <w:r w:rsidDel="00000000" w:rsidR="00000000" w:rsidRPr="00000000">
              <w:rPr>
                <w:rtl w:val="0"/>
              </w:rPr>
              <w:t xml:space="preserve">Overlap detection, NITI Aayog coordination, inter-ministerial funding analysis, alignment check</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color w:val="000000"/>
        </w:rPr>
      </w:pPr>
      <w:r w:rsidDel="00000000" w:rsidR="00000000" w:rsidRPr="00000000">
        <w:rPr>
          <w:color w:val="000000"/>
          <w:rtl w:val="0"/>
        </w:rPr>
        <w:t xml:space="preserve">3.5 Infrastructure Requirements (Indicative)</w:t>
      </w:r>
    </w:p>
    <w:p w:rsidR="00000000" w:rsidDel="00000000" w:rsidP="00000000" w:rsidRDefault="00000000" w:rsidRPr="00000000" w14:paraId="000000A5">
      <w:pPr>
        <w:pStyle w:val="Heading3"/>
        <w:rPr>
          <w:color w:val="000000"/>
        </w:rPr>
      </w:pPr>
      <w:r w:rsidDel="00000000" w:rsidR="00000000" w:rsidRPr="00000000">
        <w:rPr>
          <w:color w:val="000000"/>
          <w:rtl w:val="0"/>
        </w:rPr>
        <w:t xml:space="preserve">Hardware Specifications (Indicative)</w:t>
      </w:r>
    </w:p>
    <w:tbl>
      <w:tblPr>
        <w:tblStyle w:val="Table2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ed7d31" w:val="clear"/>
          </w:tcPr>
          <w:p w:rsidR="00000000" w:rsidDel="00000000" w:rsidP="00000000" w:rsidRDefault="00000000" w:rsidRPr="00000000" w14:paraId="000000A6">
            <w:pPr>
              <w:rPr/>
            </w:pPr>
            <w:r w:rsidDel="00000000" w:rsidR="00000000" w:rsidRPr="00000000">
              <w:rPr>
                <w:b w:val="1"/>
                <w:bCs w:val="1"/>
                <w:color w:val="ffffff"/>
                <w:rtl w:val="0"/>
              </w:rPr>
              <w:t xml:space="preserve">Component</w:t>
            </w:r>
            <w:r w:rsidDel="00000000" w:rsidR="00000000" w:rsidRPr="00000000">
              <w:rPr>
                <w:rtl w:val="0"/>
              </w:rPr>
            </w:r>
          </w:p>
        </w:tc>
        <w:tc>
          <w:tcPr>
            <w:shd w:fill="ed7d31" w:val="clear"/>
          </w:tcPr>
          <w:p w:rsidR="00000000" w:rsidDel="00000000" w:rsidP="00000000" w:rsidRDefault="00000000" w:rsidRPr="00000000" w14:paraId="000000A7">
            <w:pPr>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A8">
            <w:pPr>
              <w:rPr/>
            </w:pPr>
            <w:r w:rsidDel="00000000" w:rsidR="00000000" w:rsidRPr="00000000">
              <w:rPr>
                <w:b w:val="1"/>
                <w:bCs w:val="1"/>
                <w:rtl w:val="0"/>
              </w:rPr>
              <w:t xml:space="preserve">GPU Servers</w:t>
            </w:r>
            <w:r w:rsidDel="00000000" w:rsidR="00000000" w:rsidRPr="00000000">
              <w:rPr>
                <w:rtl w:val="0"/>
              </w:rPr>
            </w:r>
          </w:p>
        </w:tc>
        <w:tc>
          <w:tcPr>
            <w:shd w:fill="d5e8f0" w:val="clear"/>
          </w:tcPr>
          <w:p w:rsidR="00000000" w:rsidDel="00000000" w:rsidP="00000000" w:rsidRDefault="00000000" w:rsidRPr="00000000" w14:paraId="000000A9">
            <w:pPr>
              <w:rPr/>
            </w:pPr>
            <w:r w:rsidDel="00000000" w:rsidR="00000000" w:rsidRPr="00000000">
              <w:rPr>
                <w:rtl w:val="0"/>
              </w:rPr>
              <w:t xml:space="preserve">4x NVIDIA A100 (80GB) or 2x H100 (80GB) for primary inference cluster</w:t>
            </w:r>
          </w:p>
        </w:tc>
      </w:tr>
      <w:tr>
        <w:trPr>
          <w:cantSplit w:val="0"/>
          <w:tblHeader w:val="0"/>
        </w:trPr>
        <w:tc>
          <w:tcPr>
            <w:shd w:fill="d5e8f0" w:val="clear"/>
          </w:tcPr>
          <w:p w:rsidR="00000000" w:rsidDel="00000000" w:rsidP="00000000" w:rsidRDefault="00000000" w:rsidRPr="00000000" w14:paraId="000000AA">
            <w:pPr>
              <w:rPr/>
            </w:pPr>
            <w:r w:rsidDel="00000000" w:rsidR="00000000" w:rsidRPr="00000000">
              <w:rPr>
                <w:b w:val="1"/>
                <w:bCs w:val="1"/>
                <w:rtl w:val="0"/>
              </w:rPr>
              <w:t xml:space="preserve">Storage</w:t>
            </w:r>
            <w:r w:rsidDel="00000000" w:rsidR="00000000" w:rsidRPr="00000000">
              <w:rPr>
                <w:rtl w:val="0"/>
              </w:rPr>
            </w:r>
          </w:p>
        </w:tc>
        <w:tc>
          <w:tcPr>
            <w:shd w:fill="d5e8f0" w:val="clear"/>
          </w:tcPr>
          <w:p w:rsidR="00000000" w:rsidDel="00000000" w:rsidP="00000000" w:rsidRDefault="00000000" w:rsidRPr="00000000" w14:paraId="000000AB">
            <w:pPr>
              <w:rPr/>
            </w:pPr>
            <w:r w:rsidDel="00000000" w:rsidR="00000000" w:rsidRPr="00000000">
              <w:rPr>
                <w:rtl w:val="0"/>
              </w:rPr>
              <w:t xml:space="preserve">50TB+ SSD storage for models, vector DB, and document repository</w:t>
            </w:r>
          </w:p>
        </w:tc>
      </w:tr>
      <w:tr>
        <w:trPr>
          <w:cantSplit w:val="0"/>
          <w:tblHeader w:val="0"/>
        </w:trPr>
        <w:tc>
          <w:tcPr>
            <w:shd w:fill="d5e8f0" w:val="clear"/>
          </w:tcPr>
          <w:p w:rsidR="00000000" w:rsidDel="00000000" w:rsidP="00000000" w:rsidRDefault="00000000" w:rsidRPr="00000000" w14:paraId="000000AC">
            <w:pPr>
              <w:rPr/>
            </w:pPr>
            <w:r w:rsidDel="00000000" w:rsidR="00000000" w:rsidRPr="00000000">
              <w:rPr>
                <w:b w:val="1"/>
                <w:bCs w:val="1"/>
                <w:rtl w:val="0"/>
              </w:rPr>
              <w:t xml:space="preserve">Network</w:t>
            </w:r>
            <w:r w:rsidDel="00000000" w:rsidR="00000000" w:rsidRPr="00000000">
              <w:rPr>
                <w:rtl w:val="0"/>
              </w:rPr>
            </w:r>
          </w:p>
        </w:tc>
        <w:tc>
          <w:tcPr>
            <w:shd w:fill="d5e8f0" w:val="clear"/>
          </w:tcPr>
          <w:p w:rsidR="00000000" w:rsidDel="00000000" w:rsidP="00000000" w:rsidRDefault="00000000" w:rsidRPr="00000000" w14:paraId="000000AD">
            <w:pPr>
              <w:rPr/>
            </w:pPr>
            <w:r w:rsidDel="00000000" w:rsidR="00000000" w:rsidRPr="00000000">
              <w:rPr>
                <w:rtl w:val="0"/>
              </w:rPr>
              <w:t xml:space="preserve">10GbE internal network, isolated VLAN for AI processing, firewall-protected</w:t>
            </w:r>
          </w:p>
        </w:tc>
      </w:tr>
      <w:tr>
        <w:trPr>
          <w:cantSplit w:val="0"/>
          <w:tblHeader w:val="0"/>
        </w:trPr>
        <w:tc>
          <w:tcPr>
            <w:shd w:fill="d5e8f0" w:val="clear"/>
          </w:tcPr>
          <w:p w:rsidR="00000000" w:rsidDel="00000000" w:rsidP="00000000" w:rsidRDefault="00000000" w:rsidRPr="00000000" w14:paraId="000000AE">
            <w:pPr>
              <w:rPr/>
            </w:pPr>
            <w:r w:rsidDel="00000000" w:rsidR="00000000" w:rsidRPr="00000000">
              <w:rPr>
                <w:b w:val="1"/>
                <w:bCs w:val="1"/>
                <w:rtl w:val="0"/>
              </w:rPr>
              <w:t xml:space="preserve">Redundancy</w:t>
            </w:r>
            <w:r w:rsidDel="00000000" w:rsidR="00000000" w:rsidRPr="00000000">
              <w:rPr>
                <w:rtl w:val="0"/>
              </w:rPr>
            </w:r>
          </w:p>
        </w:tc>
        <w:tc>
          <w:tcPr>
            <w:shd w:fill="d5e8f0" w:val="clear"/>
          </w:tcPr>
          <w:p w:rsidR="00000000" w:rsidDel="00000000" w:rsidP="00000000" w:rsidRDefault="00000000" w:rsidRPr="00000000" w14:paraId="000000AF">
            <w:pPr>
              <w:rPr/>
            </w:pPr>
            <w:r w:rsidDel="00000000" w:rsidR="00000000" w:rsidRPr="00000000">
              <w:rPr>
                <w:rtl w:val="0"/>
              </w:rPr>
              <w:t xml:space="preserve">Backup GPU cluster for failover, RAID storage configuration</w:t>
            </w:r>
          </w:p>
        </w:tc>
      </w:tr>
    </w:tbl>
    <w:p w:rsidR="00000000" w:rsidDel="00000000" w:rsidP="00000000" w:rsidRDefault="00000000" w:rsidRPr="00000000" w14:paraId="000000B0">
      <w:pPr>
        <w:pStyle w:val="Heading3"/>
        <w:rPr>
          <w:color w:val="000000"/>
        </w:rPr>
      </w:pPr>
      <w:r w:rsidDel="00000000" w:rsidR="00000000" w:rsidRPr="00000000">
        <w:rPr>
          <w:color w:val="000000"/>
          <w:rtl w:val="0"/>
        </w:rPr>
        <w:t xml:space="preserve">Software Stack (Indicative)</w:t>
      </w:r>
    </w:p>
    <w:tbl>
      <w:tblPr>
        <w:tblStyle w:val="Table2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B1">
            <w:pPr>
              <w:rPr/>
            </w:pPr>
            <w:r w:rsidDel="00000000" w:rsidR="00000000" w:rsidRPr="00000000">
              <w:rPr>
                <w:b w:val="1"/>
                <w:bCs w:val="1"/>
                <w:color w:val="ffffff"/>
                <w:rtl w:val="0"/>
              </w:rPr>
              <w:t xml:space="preserve">Layer</w:t>
            </w:r>
            <w:r w:rsidDel="00000000" w:rsidR="00000000" w:rsidRPr="00000000">
              <w:rPr>
                <w:rtl w:val="0"/>
              </w:rPr>
            </w:r>
          </w:p>
        </w:tc>
        <w:tc>
          <w:tcPr>
            <w:shd w:fill="4472c4" w:val="clear"/>
          </w:tcPr>
          <w:p w:rsidR="00000000" w:rsidDel="00000000" w:rsidP="00000000" w:rsidRDefault="00000000" w:rsidRPr="00000000" w14:paraId="000000B2">
            <w:pPr>
              <w:rPr/>
            </w:pPr>
            <w:r w:rsidDel="00000000" w:rsidR="00000000" w:rsidRPr="00000000">
              <w:rPr>
                <w:b w:val="1"/>
                <w:bCs w:val="1"/>
                <w:color w:val="ffffff"/>
                <w:rtl w:val="0"/>
              </w:rPr>
              <w:t xml:space="preserve">Technology</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B3">
            <w:pPr>
              <w:rPr/>
            </w:pPr>
            <w:r w:rsidDel="00000000" w:rsidR="00000000" w:rsidRPr="00000000">
              <w:rPr>
                <w:b w:val="1"/>
                <w:bCs w:val="1"/>
                <w:rtl w:val="0"/>
              </w:rPr>
              <w:t xml:space="preserve">LLM Models</w:t>
            </w:r>
            <w:r w:rsidDel="00000000" w:rsidR="00000000" w:rsidRPr="00000000">
              <w:rPr>
                <w:rtl w:val="0"/>
              </w:rPr>
            </w:r>
          </w:p>
        </w:tc>
        <w:tc>
          <w:tcPr>
            <w:shd w:fill="d5e8f0" w:val="clear"/>
          </w:tcPr>
          <w:p w:rsidR="00000000" w:rsidDel="00000000" w:rsidP="00000000" w:rsidRDefault="00000000" w:rsidRPr="00000000" w14:paraId="000000B4">
            <w:pPr>
              <w:rPr/>
            </w:pPr>
            <w:r w:rsidDel="00000000" w:rsidR="00000000" w:rsidRPr="00000000">
              <w:rPr>
                <w:rtl w:val="0"/>
              </w:rPr>
              <w:t xml:space="preserve">Llama 3.1 405B (comprehensive analysis), Mistral Large 2 (quick assessments), GPT-J/Falcon (embedding)</w:t>
            </w:r>
          </w:p>
        </w:tc>
      </w:tr>
      <w:tr>
        <w:trPr>
          <w:cantSplit w:val="0"/>
          <w:tblHeader w:val="0"/>
        </w:trPr>
        <w:tc>
          <w:tcPr>
            <w:shd w:fill="d5e8f0" w:val="clear"/>
          </w:tcPr>
          <w:p w:rsidR="00000000" w:rsidDel="00000000" w:rsidP="00000000" w:rsidRDefault="00000000" w:rsidRPr="00000000" w14:paraId="000000B5">
            <w:pPr>
              <w:rPr/>
            </w:pPr>
            <w:r w:rsidDel="00000000" w:rsidR="00000000" w:rsidRPr="00000000">
              <w:rPr>
                <w:b w:val="1"/>
                <w:bCs w:val="1"/>
                <w:rtl w:val="0"/>
              </w:rPr>
              <w:t xml:space="preserve">Inference Engine</w:t>
            </w:r>
            <w:r w:rsidDel="00000000" w:rsidR="00000000" w:rsidRPr="00000000">
              <w:rPr>
                <w:rtl w:val="0"/>
              </w:rPr>
            </w:r>
          </w:p>
        </w:tc>
        <w:tc>
          <w:tcPr>
            <w:shd w:fill="d5e8f0" w:val="clear"/>
          </w:tcPr>
          <w:p w:rsidR="00000000" w:rsidDel="00000000" w:rsidP="00000000" w:rsidRDefault="00000000" w:rsidRPr="00000000" w14:paraId="000000B6">
            <w:pPr>
              <w:rPr/>
            </w:pPr>
            <w:r w:rsidDel="00000000" w:rsidR="00000000" w:rsidRPr="00000000">
              <w:rPr>
                <w:rtl w:val="0"/>
              </w:rPr>
              <w:t xml:space="preserve">vLLM or TensorRT-LLM for optimized inference, batch processing</w:t>
            </w:r>
          </w:p>
        </w:tc>
      </w:tr>
      <w:tr>
        <w:trPr>
          <w:cantSplit w:val="0"/>
          <w:tblHeader w:val="0"/>
        </w:trPr>
        <w:tc>
          <w:tcPr>
            <w:shd w:fill="d5e8f0" w:val="clear"/>
          </w:tcPr>
          <w:p w:rsidR="00000000" w:rsidDel="00000000" w:rsidP="00000000" w:rsidRDefault="00000000" w:rsidRPr="00000000" w14:paraId="000000B7">
            <w:pPr>
              <w:rPr/>
            </w:pPr>
            <w:r w:rsidDel="00000000" w:rsidR="00000000" w:rsidRPr="00000000">
              <w:rPr>
                <w:b w:val="1"/>
                <w:bCs w:val="1"/>
                <w:rtl w:val="0"/>
              </w:rPr>
              <w:t xml:space="preserve">Vector Database</w:t>
            </w:r>
            <w:r w:rsidDel="00000000" w:rsidR="00000000" w:rsidRPr="00000000">
              <w:rPr>
                <w:rtl w:val="0"/>
              </w:rPr>
            </w:r>
          </w:p>
        </w:tc>
        <w:tc>
          <w:tcPr>
            <w:shd w:fill="d5e8f0" w:val="clear"/>
          </w:tcPr>
          <w:p w:rsidR="00000000" w:rsidDel="00000000" w:rsidP="00000000" w:rsidRDefault="00000000" w:rsidRPr="00000000" w14:paraId="000000B8">
            <w:pPr>
              <w:rPr/>
            </w:pPr>
            <w:r w:rsidDel="00000000" w:rsidR="00000000" w:rsidRPr="00000000">
              <w:rPr>
                <w:rtl w:val="0"/>
              </w:rPr>
              <w:t xml:space="preserve">Qdrant / Milvus / Weaviate (self-hosted, on-premise deployment)</w:t>
            </w:r>
          </w:p>
        </w:tc>
      </w:tr>
      <w:tr>
        <w:trPr>
          <w:cantSplit w:val="0"/>
          <w:tblHeader w:val="0"/>
        </w:trPr>
        <w:tc>
          <w:tcPr>
            <w:shd w:fill="d5e8f0" w:val="clear"/>
          </w:tcPr>
          <w:p w:rsidR="00000000" w:rsidDel="00000000" w:rsidP="00000000" w:rsidRDefault="00000000" w:rsidRPr="00000000" w14:paraId="000000B9">
            <w:pPr>
              <w:rPr/>
            </w:pPr>
            <w:r w:rsidDel="00000000" w:rsidR="00000000" w:rsidRPr="00000000">
              <w:rPr>
                <w:b w:val="1"/>
                <w:bCs w:val="1"/>
                <w:rtl w:val="0"/>
              </w:rPr>
              <w:t xml:space="preserve">Orchestration</w:t>
            </w:r>
            <w:r w:rsidDel="00000000" w:rsidR="00000000" w:rsidRPr="00000000">
              <w:rPr>
                <w:rtl w:val="0"/>
              </w:rPr>
            </w:r>
          </w:p>
        </w:tc>
        <w:tc>
          <w:tcPr>
            <w:shd w:fill="d5e8f0" w:val="clear"/>
          </w:tcPr>
          <w:p w:rsidR="00000000" w:rsidDel="00000000" w:rsidP="00000000" w:rsidRDefault="00000000" w:rsidRPr="00000000" w14:paraId="000000BA">
            <w:pPr>
              <w:rPr/>
            </w:pPr>
            <w:r w:rsidDel="00000000" w:rsidR="00000000" w:rsidRPr="00000000">
              <w:rPr>
                <w:rtl w:val="0"/>
              </w:rPr>
              <w:t xml:space="preserve">LangGraph / CrewAI for multi-agent coordination, Kubernetes for container orchestration</w:t>
            </w:r>
          </w:p>
        </w:tc>
      </w:tr>
      <w:tr>
        <w:trPr>
          <w:cantSplit w:val="0"/>
          <w:tblHeader w:val="0"/>
        </w:trPr>
        <w:tc>
          <w:tcPr>
            <w:shd w:fill="d5e8f0" w:val="clear"/>
          </w:tcPr>
          <w:p w:rsidR="00000000" w:rsidDel="00000000" w:rsidP="00000000" w:rsidRDefault="00000000" w:rsidRPr="00000000" w14:paraId="000000BB">
            <w:pPr>
              <w:rPr/>
            </w:pPr>
            <w:r w:rsidDel="00000000" w:rsidR="00000000" w:rsidRPr="00000000">
              <w:rPr>
                <w:b w:val="1"/>
                <w:bCs w:val="1"/>
                <w:rtl w:val="0"/>
              </w:rPr>
              <w:t xml:space="preserve">Document Processing</w:t>
            </w:r>
            <w:r w:rsidDel="00000000" w:rsidR="00000000" w:rsidRPr="00000000">
              <w:rPr>
                <w:rtl w:val="0"/>
              </w:rPr>
            </w:r>
          </w:p>
        </w:tc>
        <w:tc>
          <w:tcPr>
            <w:shd w:fill="d5e8f0" w:val="clear"/>
          </w:tcPr>
          <w:p w:rsidR="00000000" w:rsidDel="00000000" w:rsidP="00000000" w:rsidRDefault="00000000" w:rsidRPr="00000000" w14:paraId="000000BC">
            <w:pPr>
              <w:rPr/>
            </w:pPr>
            <w:r w:rsidDel="00000000" w:rsidR="00000000" w:rsidRPr="00000000">
              <w:rPr>
                <w:rtl w:val="0"/>
              </w:rPr>
              <w:t xml:space="preserve">Apache Tika (text extraction), PyMuPDF (PDF processing), custom parsers for DPR formats</w:t>
            </w:r>
          </w:p>
        </w:tc>
      </w:tr>
      <w:tr>
        <w:trPr>
          <w:cantSplit w:val="0"/>
          <w:trHeight w:val="533.935546875" w:hRule="atLeast"/>
          <w:tblHeader w:val="0"/>
        </w:trPr>
        <w:tc>
          <w:tcPr>
            <w:shd w:fill="d5e8f0" w:val="clear"/>
          </w:tcPr>
          <w:p w:rsidR="00000000" w:rsidDel="00000000" w:rsidP="00000000" w:rsidRDefault="00000000" w:rsidRPr="00000000" w14:paraId="000000BD">
            <w:pPr>
              <w:rPr/>
            </w:pPr>
            <w:r w:rsidDel="00000000" w:rsidR="00000000" w:rsidRPr="00000000">
              <w:rPr>
                <w:b w:val="1"/>
                <w:bCs w:val="1"/>
                <w:rtl w:val="0"/>
              </w:rPr>
              <w:t xml:space="preserve">Security</w:t>
            </w:r>
            <w:r w:rsidDel="00000000" w:rsidR="00000000" w:rsidRPr="00000000">
              <w:rPr>
                <w:rtl w:val="0"/>
              </w:rPr>
            </w:r>
          </w:p>
        </w:tc>
        <w:tc>
          <w:tcPr>
            <w:shd w:fill="d5e8f0" w:val="clear"/>
          </w:tcPr>
          <w:p w:rsidR="00000000" w:rsidDel="00000000" w:rsidP="00000000" w:rsidRDefault="00000000" w:rsidRPr="00000000" w14:paraId="000000BE">
            <w:pPr>
              <w:rPr/>
            </w:pPr>
            <w:r w:rsidDel="00000000" w:rsidR="00000000" w:rsidRPr="00000000">
              <w:rPr>
                <w:rtl w:val="0"/>
              </w:rPr>
              <w:t xml:space="preserve">End-to-end encryption, role-based access control (RBAC), audit logging, data anonymization</w:t>
            </w:r>
          </w:p>
        </w:tc>
      </w:tr>
    </w:tbl>
    <w:p w:rsidR="00000000" w:rsidDel="00000000" w:rsidP="00000000" w:rsidRDefault="00000000" w:rsidRPr="00000000" w14:paraId="000000BF">
      <w:pPr>
        <w:pStyle w:val="Heading1"/>
        <w:rPr>
          <w:color w:val="000000"/>
        </w:rPr>
      </w:pPr>
      <w:r w:rsidDel="00000000" w:rsidR="00000000" w:rsidRPr="00000000">
        <w:rPr>
          <w:color w:val="000000"/>
          <w:rtl w:val="0"/>
        </w:rPr>
        <w:t xml:space="preserve">4. Conclusion</w:t>
      </w:r>
    </w:p>
    <w:p w:rsidR="00000000" w:rsidDel="00000000" w:rsidP="00000000" w:rsidRDefault="00000000" w:rsidRPr="00000000" w14:paraId="000000C0">
      <w:pPr>
        <w:rPr/>
      </w:pPr>
      <w:r w:rsidDel="00000000" w:rsidR="00000000" w:rsidRPr="00000000">
        <w:rPr>
          <w:rtl w:val="0"/>
        </w:rPr>
        <w:t xml:space="preserve">The proposed two-phase automation approach provides the Department of Expenditure with a pragmatic pathway to enhance appraisal efficiency while maintaining appropriate security controls.</w:t>
      </w:r>
    </w:p>
    <w:p w:rsidR="00000000" w:rsidDel="00000000" w:rsidP="00000000" w:rsidRDefault="00000000" w:rsidRPr="00000000" w14:paraId="000000C1">
      <w:pPr>
        <w:pStyle w:val="Heading2"/>
        <w:rPr>
          <w:color w:val="000000"/>
        </w:rPr>
      </w:pPr>
      <w:r w:rsidDel="00000000" w:rsidR="00000000" w:rsidRPr="00000000">
        <w:rPr>
          <w:color w:val="000000"/>
          <w:rtl w:val="0"/>
        </w:rPr>
        <w:t xml:space="preserve">4.1 Key Benefits</w:t>
      </w:r>
    </w:p>
    <w:tbl>
      <w:tblPr>
        <w:tblStyle w:val="Table22"/>
        <w:tblW w:w="8640.0" w:type="dxa"/>
        <w:jc w:val="center"/>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1252.3876953125" w:hRule="atLeast"/>
          <w:tblHeader w:val="0"/>
        </w:trPr>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C2">
            <w:pPr>
              <w:jc w:val="center"/>
              <w:rPr>
                <w:sz w:val="20"/>
                <w:szCs w:val="20"/>
              </w:rPr>
            </w:pPr>
            <w:r w:rsidDel="00000000" w:rsidR="00000000" w:rsidRPr="00000000">
              <w:rPr>
                <w:b w:val="1"/>
                <w:bCs w:val="1"/>
                <w:color w:val="ffffff"/>
                <w:sz w:val="18"/>
                <w:szCs w:val="18"/>
                <w:rtl w:val="0"/>
              </w:rPr>
              <w:t xml:space="preserve">Efficiency</w:t>
              <w:br w:type="textWrapping"/>
              <w:t xml:space="preserve">60-70% reduction in query resolution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C3">
            <w:pPr>
              <w:jc w:val="center"/>
              <w:rPr>
                <w:sz w:val="20"/>
                <w:szCs w:val="20"/>
              </w:rPr>
            </w:pPr>
            <w:r w:rsidDel="00000000" w:rsidR="00000000" w:rsidRPr="00000000">
              <w:rPr>
                <w:b w:val="1"/>
                <w:bCs w:val="1"/>
                <w:color w:val="ffffff"/>
                <w:sz w:val="18"/>
                <w:szCs w:val="18"/>
                <w:rtl w:val="0"/>
              </w:rPr>
              <w:t xml:space="preserve">Consistency</w:t>
              <w:br w:type="textWrapping"/>
              <w:t xml:space="preserve">Standardized assessment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C4">
            <w:pPr>
              <w:jc w:val="center"/>
              <w:rPr>
                <w:sz w:val="20"/>
                <w:szCs w:val="20"/>
              </w:rPr>
            </w:pPr>
            <w:r w:rsidDel="00000000" w:rsidR="00000000" w:rsidRPr="00000000">
              <w:rPr>
                <w:b w:val="1"/>
                <w:bCs w:val="1"/>
                <w:color w:val="ffffff"/>
                <w:sz w:val="18"/>
                <w:szCs w:val="18"/>
                <w:rtl w:val="0"/>
              </w:rPr>
              <w:t xml:space="preserve">Security</w:t>
              <w:br w:type="textWrapping"/>
              <w:t xml:space="preserve">Complete data residency and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C5">
            <w:pPr>
              <w:jc w:val="center"/>
              <w:rPr>
                <w:sz w:val="20"/>
                <w:szCs w:val="20"/>
              </w:rPr>
            </w:pPr>
            <w:r w:rsidDel="00000000" w:rsidR="00000000" w:rsidRPr="00000000">
              <w:rPr>
                <w:b w:val="1"/>
                <w:bCs w:val="1"/>
                <w:color w:val="ffffff"/>
                <w:sz w:val="18"/>
                <w:szCs w:val="18"/>
                <w:rtl w:val="0"/>
              </w:rPr>
              <w:t xml:space="preserve">Scalability</w:t>
              <w:br w:type="textWrapping"/>
              <w:t xml:space="preserve">Handles growing appraisal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C6">
            <w:pPr>
              <w:jc w:val="center"/>
              <w:rPr>
                <w:sz w:val="20"/>
                <w:szCs w:val="20"/>
              </w:rPr>
            </w:pPr>
            <w:r w:rsidDel="00000000" w:rsidR="00000000" w:rsidRPr="00000000">
              <w:rPr>
                <w:b w:val="1"/>
                <w:bCs w:val="1"/>
                <w:color w:val="ffffff"/>
                <w:sz w:val="18"/>
                <w:szCs w:val="18"/>
                <w:rtl w:val="0"/>
              </w:rPr>
              <w:t xml:space="preserve">Knowledge</w:t>
              <w:br w:type="textWrapping"/>
              <w:t xml:space="preserve">Institutional memory preservation</w:t>
            </w:r>
            <w:r w:rsidDel="00000000" w:rsidR="00000000" w:rsidRPr="00000000">
              <w:rPr>
                <w:rtl w:val="0"/>
              </w:rPr>
            </w:r>
          </w:p>
        </w:tc>
      </w:tr>
    </w:tbl>
    <w:p w:rsidR="00000000" w:rsidDel="00000000" w:rsidP="00000000" w:rsidRDefault="00000000" w:rsidRPr="00000000" w14:paraId="000000C7">
      <w:pPr>
        <w:rPr>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umlLt+TSZaTSv5h3fU0WaU4Z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zINaC4yc3J1d25vd3hjcTgAciExTVpWM3gwdHZSam9BZmJvUXRRNVZpc0IwMTRPbFM1U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