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olor w:val="4F46E5"/>
          <w:sz w:val="56"/>
          <w:szCs w:val="56"/>
        </w:rPr>
        <w:t xml:space="preserve">REDIRX</w:t>
      </w:r>
    </w:p>
    <w:p>
      <w:pPr>
        <w:spacing w:after="80"/>
        <w:jc w:val="center"/>
      </w:pPr>
      <w:r>
        <w:rPr>
          <w:rFonts w:ascii="Arial" w:cs="Arial" w:eastAsia="Arial" w:hAnsi="Arial"/>
          <w:color w:val="1A1A2E"/>
          <w:sz w:val="40"/>
          <w:szCs w:val="40"/>
        </w:rPr>
        <w:t xml:space="preserve">Pricing Strategy &amp; Model</w:t>
      </w:r>
    </w:p>
    <w:p>
      <w:pPr>
        <w:pBdr>
          <w:bottom w:val="single" w:color="4F46E5" w:sz="6" w:space="1"/>
        </w:pBdr>
        <w:spacing w:after="200"/>
        <w:jc w:val="center"/>
      </w:pPr>
    </w:p>
    <w:p>
      <w:pPr>
        <w:spacing w:after="40"/>
        <w:jc w:val="center"/>
      </w:pPr>
      <w:r>
        <w:rPr>
          <w:rFonts w:ascii="Arial" w:cs="Arial" w:eastAsia="Arial" w:hAnsi="Arial"/>
          <w:color w:val="4B5563"/>
          <w:sz w:val="22"/>
          <w:szCs w:val="22"/>
        </w:rPr>
        <w:t xml:space="preserve">Version 1.0  |  March 2026</w:t>
      </w:r>
    </w:p>
    <w:p>
      <w:pPr>
        <w:spacing w:after="400"/>
        <w:jc w:val="center"/>
      </w:pPr>
      <w:r>
        <w:rPr>
          <w:rFonts w:ascii="Arial" w:cs="Arial" w:eastAsia="Arial" w:hAnsi="Arial"/>
          <w:i/>
          <w:iCs/>
          <w:color w:val="4B5563"/>
          <w:sz w:val="20"/>
          <w:szCs w:val="20"/>
        </w:rPr>
        <w:t xml:space="preserve">Prepared for internal strategy review</w:t>
      </w:r>
    </w:p>
    <w:p>
      <w:pPr>
        <w:spacing w:after="80"/>
      </w:pPr>
    </w:p>
    <w:p>
      <w:pPr>
        <w:spacing w:after="80"/>
      </w:pP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2"/>
              <w:left w:val="single" w:color="4F46E5" w:sz="2"/>
              <w:bottom w:val="single" w:color="4F46E5" w:sz="2"/>
              <w:right w:val="single" w:color="4F46E5" w:sz="2"/>
            </w:tcBorders>
            <w:shd w:fill="EEF2FF" w:val="clear"/>
            <w:tcMar>
              <w:top w:type="dxa" w:w="200"/>
              <w:left w:type="dxa" w:w="300"/>
              <w:bottom w:type="dxa" w:w="200"/>
              <w:right w:type="dxa" w:w="300"/>
            </w:tcMar>
          </w:tcPr>
          <w:p>
            <w:pPr>
              <w:spacing w:after="120"/>
            </w:pPr>
            <w:r>
              <w:rPr>
                <w:rFonts w:ascii="Arial" w:cs="Arial" w:eastAsia="Arial" w:hAnsi="Arial"/>
                <w:b/>
                <w:bCs/>
                <w:color w:val="4F46E5"/>
                <w:sz w:val="24"/>
                <w:szCs w:val="24"/>
              </w:rPr>
              <w:t xml:space="preserve">Executive Summary</w:t>
            </w:r>
          </w:p>
          <w:p>
            <w:pPr>
              <w:spacing w:after="0"/>
            </w:pPr>
            <w:r>
              <w:rPr>
                <w:rFonts w:ascii="Arial" w:cs="Arial" w:eastAsia="Arial" w:hAnsi="Arial"/>
                <w:color w:val="111827"/>
                <w:sz w:val="20"/>
                <w:szCs w:val="20"/>
              </w:rPr>
              <w:t xml:space="preserve">This document defines the pricing model for RedirX, a SaaS platform that automates 301 redirect generation during website migrations. The strategy replaces the current credit-based subscription model with a hybrid approach: free Quick Match as the acquisition funnel, graduated pay-per-project Deep Match pricing for one-time buyers (the same model used by AWS, Stripe, and Twilio), and a single monthly agency plan for teams with recurring volume. The pricing page is designed as a binary choice — project slider on the left, agency plan on the right — eliminating decision fatigue. Pricing is anchored in pages (not abstract credits), scales linearly with usage, and is designed to maximize conversion at checkout.</w:t>
            </w:r>
          </w:p>
        </w:tc>
      </w:tr>
    </w:tbl>
    <w:p>
      <w:r>
        <w:br w:type="page"/>
      </w:r>
    </w:p>
    <w:p>
      <w:pPr>
        <w:pStyle w:val="Heading1"/>
        <w:spacing w:after="200" w:before="360"/>
      </w:pPr>
      <w:r>
        <w:rPr>
          <w:rFonts w:ascii="Arial" w:cs="Arial" w:eastAsia="Arial" w:hAnsi="Arial"/>
          <w:b/>
          <w:bCs/>
          <w:color w:val="1A1A2E"/>
          <w:sz w:val="32"/>
          <w:szCs w:val="32"/>
        </w:rPr>
        <w:t xml:space="preserve">1. Strategic Foundations</w:t>
      </w:r>
    </w:p>
    <w:p>
      <w:pPr>
        <w:pStyle w:val="Heading2"/>
        <w:spacing w:after="160" w:before="280"/>
      </w:pPr>
      <w:r>
        <w:rPr>
          <w:rFonts w:ascii="Arial" w:cs="Arial" w:eastAsia="Arial" w:hAnsi="Arial"/>
          <w:b/>
          <w:bCs/>
          <w:color w:val="4F46E5"/>
          <w:sz w:val="26"/>
          <w:szCs w:val="26"/>
        </w:rPr>
        <w:t xml:space="preserve">1.1 Core Pricing Principles</w:t>
      </w:r>
    </w:p>
    <w:p>
      <w:pPr>
        <w:pStyle w:val="ListParagraph"/>
        <w:numPr>
          <w:ilvl w:val="0"/>
          <w:numId w:val="2"/>
        </w:numPr>
        <w:spacing w:after="80"/>
      </w:pPr>
      <w:r>
        <w:rPr>
          <w:rFonts w:ascii="Arial" w:cs="Arial" w:eastAsia="Arial" w:hAnsi="Arial"/>
          <w:b/>
          <w:bCs/>
          <w:color w:val="111827"/>
          <w:sz w:val="21"/>
          <w:szCs w:val="21"/>
        </w:rPr>
        <w:t xml:space="preserve">Align price to the job, not the tool. </w:t>
      </w:r>
      <w:r>
        <w:rPr>
          <w:rFonts w:ascii="Arial" w:cs="Arial" w:eastAsia="Arial" w:hAnsi="Arial"/>
          <w:color w:val="111827"/>
          <w:sz w:val="21"/>
          <w:szCs w:val="21"/>
        </w:rPr>
        <w:t xml:space="preserve">Customers are paying to protect SEO equity during a migration, not to access a dashboard. Price should reflect the value of preventing traffic loss, not the cost of compute.</w:t>
      </w:r>
    </w:p>
    <w:p>
      <w:pPr>
        <w:pStyle w:val="ListParagraph"/>
        <w:numPr>
          <w:ilvl w:val="0"/>
          <w:numId w:val="2"/>
        </w:numPr>
        <w:spacing w:after="80"/>
      </w:pPr>
      <w:r>
        <w:rPr>
          <w:rFonts w:ascii="Arial" w:cs="Arial" w:eastAsia="Arial" w:hAnsi="Arial"/>
          <w:b/>
          <w:bCs/>
          <w:color w:val="111827"/>
          <w:sz w:val="21"/>
          <w:szCs w:val="21"/>
        </w:rPr>
        <w:t xml:space="preserve">Speak in pages, not credits. </w:t>
      </w:r>
      <w:r>
        <w:rPr>
          <w:rFonts w:ascii="Arial" w:cs="Arial" w:eastAsia="Arial" w:hAnsi="Arial"/>
          <w:color w:val="111827"/>
          <w:sz w:val="21"/>
          <w:szCs w:val="21"/>
        </w:rPr>
        <w:t xml:space="preserve">Every site owner knows how many pages they have. Nobody intuitively understands what 250,000 credits means. Removing abstraction reduces purchase hesitation.</w:t>
      </w:r>
    </w:p>
    <w:p>
      <w:pPr>
        <w:pStyle w:val="ListParagraph"/>
        <w:numPr>
          <w:ilvl w:val="0"/>
          <w:numId w:val="2"/>
        </w:numPr>
        <w:spacing w:after="80"/>
      </w:pPr>
      <w:r>
        <w:rPr>
          <w:rFonts w:ascii="Arial" w:cs="Arial" w:eastAsia="Arial" w:hAnsi="Arial"/>
          <w:b/>
          <w:bCs/>
          <w:color w:val="111827"/>
          <w:sz w:val="21"/>
          <w:szCs w:val="21"/>
        </w:rPr>
        <w:t xml:space="preserve">Match billing to usage pattern. </w:t>
      </w:r>
      <w:r>
        <w:rPr>
          <w:rFonts w:ascii="Arial" w:cs="Arial" w:eastAsia="Arial" w:hAnsi="Arial"/>
          <w:color w:val="111827"/>
          <w:sz w:val="21"/>
          <w:szCs w:val="21"/>
        </w:rPr>
        <w:t xml:space="preserve">Migrations are episodic (once every 1–3 years for most businesses). A monthly subscription creates friction for the majority of buyers. Project-based pricing matches reality.</w:t>
      </w:r>
    </w:p>
    <w:p>
      <w:pPr>
        <w:pStyle w:val="ListParagraph"/>
        <w:numPr>
          <w:ilvl w:val="0"/>
          <w:numId w:val="2"/>
        </w:numPr>
        <w:spacing w:after="80"/>
      </w:pPr>
      <w:r>
        <w:rPr>
          <w:rFonts w:ascii="Arial" w:cs="Arial" w:eastAsia="Arial" w:hAnsi="Arial"/>
          <w:b/>
          <w:bCs/>
          <w:color w:val="111827"/>
          <w:sz w:val="21"/>
          <w:szCs w:val="21"/>
        </w:rPr>
        <w:t xml:space="preserve">Keep the funnel frictionless. </w:t>
      </w:r>
      <w:r>
        <w:rPr>
          <w:rFonts w:ascii="Arial" w:cs="Arial" w:eastAsia="Arial" w:hAnsi="Arial"/>
          <w:color w:val="111827"/>
          <w:sz w:val="21"/>
          <w:szCs w:val="21"/>
        </w:rPr>
        <w:t xml:space="preserve">Quick Match stays free forever. It’s the top of funnel. Users experience the product, see their results, and then get shown exactly where Deep Match would improve outcomes.</w:t>
      </w:r>
    </w:p>
    <w:p>
      <w:pPr>
        <w:pStyle w:val="Heading2"/>
        <w:spacing w:after="160" w:before="280"/>
      </w:pPr>
      <w:r>
        <w:rPr>
          <w:rFonts w:ascii="Arial" w:cs="Arial" w:eastAsia="Arial" w:hAnsi="Arial"/>
          <w:b/>
          <w:bCs/>
          <w:color w:val="4F46E5"/>
          <w:sz w:val="26"/>
          <w:szCs w:val="26"/>
        </w:rPr>
        <w:t xml:space="preserve">1.2 Competitive Positioning</w:t>
      </w:r>
    </w:p>
    <w:p>
      <w:pPr>
        <w:spacing w:after="160"/>
      </w:pPr>
      <w:r>
        <w:rPr>
          <w:rFonts w:ascii="Arial" w:cs="Arial" w:eastAsia="Arial" w:hAnsi="Arial"/>
          <w:color w:val="111827"/>
          <w:sz w:val="21"/>
          <w:szCs w:val="21"/>
        </w:rPr>
        <w:t xml:space="preserve">RedirX’s primary differentiator is Deep Match — AI-powered semantic matching that reads the actual content of every page and pairs URLs by meaning, not just pattern. Competitors like Rapid301 offer pattern-based matching only. This means:</w:t>
      </w:r>
    </w:p>
    <w:p>
      <w:pPr>
        <w:pStyle w:val="ListParagraph"/>
        <w:numPr>
          <w:ilvl w:val="0"/>
          <w:numId w:val="2"/>
        </w:numPr>
        <w:spacing w:after="80"/>
      </w:pPr>
      <w:r>
        <w:rPr>
          <w:rFonts w:ascii="Arial" w:cs="Arial" w:eastAsia="Arial" w:hAnsi="Arial"/>
          <w:b/>
          <w:bCs/>
          <w:color w:val="111827"/>
          <w:sz w:val="21"/>
          <w:szCs w:val="21"/>
        </w:rPr>
        <w:t xml:space="preserve">Quick Match is table stakes. </w:t>
      </w:r>
      <w:r>
        <w:rPr>
          <w:rFonts w:ascii="Arial" w:cs="Arial" w:eastAsia="Arial" w:hAnsi="Arial"/>
          <w:color w:val="111827"/>
          <w:sz w:val="21"/>
          <w:szCs w:val="21"/>
        </w:rPr>
        <w:t xml:space="preserve">It’s comparable to what competitors charge for. Giving it away free undercuts their entire revenue model while building RedirX’s user base.</w:t>
      </w:r>
    </w:p>
    <w:p>
      <w:pPr>
        <w:pStyle w:val="ListParagraph"/>
        <w:numPr>
          <w:ilvl w:val="0"/>
          <w:numId w:val="2"/>
        </w:numPr>
        <w:spacing w:after="80"/>
      </w:pPr>
      <w:r>
        <w:rPr>
          <w:rFonts w:ascii="Arial" w:cs="Arial" w:eastAsia="Arial" w:hAnsi="Arial"/>
          <w:b/>
          <w:bCs/>
          <w:color w:val="111827"/>
          <w:sz w:val="21"/>
          <w:szCs w:val="21"/>
        </w:rPr>
        <w:t xml:space="preserve">Deep Match is the moat. </w:t>
      </w:r>
      <w:r>
        <w:rPr>
          <w:rFonts w:ascii="Arial" w:cs="Arial" w:eastAsia="Arial" w:hAnsi="Arial"/>
          <w:color w:val="111827"/>
          <w:sz w:val="21"/>
          <w:szCs w:val="21"/>
        </w:rPr>
        <w:t xml:space="preserve">No competitor offers semantic-level matching. This justifies a premium and makes RedirX the clear choice for complex migrations where pattern matching fails.</w:t>
      </w:r>
    </w:p>
    <w:p>
      <w:pPr>
        <w:pStyle w:val="Heading2"/>
        <w:spacing w:after="160" w:before="280"/>
      </w:pPr>
      <w:r>
        <w:rPr>
          <w:rFonts w:ascii="Arial" w:cs="Arial" w:eastAsia="Arial" w:hAnsi="Arial"/>
          <w:b/>
          <w:bCs/>
          <w:color w:val="4F46E5"/>
          <w:sz w:val="26"/>
          <w:szCs w:val="26"/>
        </w:rPr>
        <w:t xml:space="preserve">1.3 Value Anchoring</w:t>
      </w:r>
    </w:p>
    <w:p>
      <w:pPr>
        <w:spacing w:after="160"/>
      </w:pPr>
      <w:r>
        <w:rPr>
          <w:rFonts w:ascii="Arial" w:cs="Arial" w:eastAsia="Arial" w:hAnsi="Arial"/>
          <w:color w:val="111827"/>
          <w:sz w:val="21"/>
          <w:szCs w:val="21"/>
        </w:rPr>
        <w:t xml:space="preserve">Professional migration services from SEO agencies cost $5,000–$50,000+. Even basic redirect mapping as a standalone service runs $1,500–$3,000. RedirX at $49–$499 per project is a fraction of that cost. The pricing should feel like an obvious bargain compared to the alternative (manual work or hiring an agency), not expensive compared to other SaaS tools.</w:t>
      </w:r>
    </w:p>
    <w:p>
      <w:r>
        <w:br w:type="page"/>
      </w:r>
    </w:p>
    <w:p>
      <w:pPr>
        <w:pStyle w:val="Heading1"/>
        <w:spacing w:after="200" w:before="360"/>
      </w:pPr>
      <w:r>
        <w:rPr>
          <w:rFonts w:ascii="Arial" w:cs="Arial" w:eastAsia="Arial" w:hAnsi="Arial"/>
          <w:b/>
          <w:bCs/>
          <w:color w:val="1A1A2E"/>
          <w:sz w:val="32"/>
          <w:szCs w:val="32"/>
        </w:rPr>
        <w:t xml:space="preserve">2. The Conversion Funnel</w:t>
      </w:r>
    </w:p>
    <w:p>
      <w:pPr>
        <w:pStyle w:val="Heading2"/>
        <w:spacing w:after="160" w:before="280"/>
      </w:pPr>
      <w:r>
        <w:rPr>
          <w:rFonts w:ascii="Arial" w:cs="Arial" w:eastAsia="Arial" w:hAnsi="Arial"/>
          <w:b/>
          <w:bCs/>
          <w:color w:val="4F46E5"/>
          <w:sz w:val="26"/>
          <w:szCs w:val="26"/>
        </w:rPr>
        <w:t xml:space="preserve">2.1 How It Works</w:t>
      </w:r>
    </w:p>
    <w:p>
      <w:pPr>
        <w:pStyle w:val="ListParagraph"/>
        <w:numPr>
          <w:ilvl w:val="0"/>
          <w:numId w:val="3"/>
        </w:numPr>
        <w:spacing w:after="80"/>
      </w:pPr>
      <w:r>
        <w:rPr>
          <w:rFonts w:ascii="Arial" w:cs="Arial" w:eastAsia="Arial" w:hAnsi="Arial"/>
          <w:b/>
          <w:bCs/>
          <w:color w:val="111827"/>
          <w:sz w:val="21"/>
          <w:szCs w:val="21"/>
        </w:rPr>
        <w:t xml:space="preserve">User uploads old + new sitemaps </w:t>
      </w:r>
      <w:r>
        <w:rPr>
          <w:rFonts w:ascii="Arial" w:cs="Arial" w:eastAsia="Arial" w:hAnsi="Arial"/>
          <w:color w:val="111827"/>
          <w:sz w:val="21"/>
          <w:szCs w:val="21"/>
        </w:rPr>
        <w:t xml:space="preserve">— no account required to start.</w:t>
      </w:r>
    </w:p>
    <w:p>
      <w:pPr>
        <w:pStyle w:val="ListParagraph"/>
        <w:numPr>
          <w:ilvl w:val="0"/>
          <w:numId w:val="3"/>
        </w:numPr>
        <w:spacing w:after="80"/>
      </w:pPr>
      <w:r>
        <w:rPr>
          <w:rFonts w:ascii="Arial" w:cs="Arial" w:eastAsia="Arial" w:hAnsi="Arial"/>
          <w:b/>
          <w:bCs/>
          <w:color w:val="111827"/>
          <w:sz w:val="21"/>
          <w:szCs w:val="21"/>
        </w:rPr>
        <w:t xml:space="preserve">Quick Match runs free </w:t>
      </w:r>
      <w:r>
        <w:rPr>
          <w:rFonts w:ascii="Arial" w:cs="Arial" w:eastAsia="Arial" w:hAnsi="Arial"/>
          <w:color w:val="111827"/>
          <w:sz w:val="21"/>
          <w:szCs w:val="21"/>
        </w:rPr>
        <w:t xml:space="preserve">— delivers instant pattern-based redirect map with confidence scores.</w:t>
      </w:r>
    </w:p>
    <w:p>
      <w:pPr>
        <w:pStyle w:val="ListParagraph"/>
        <w:numPr>
          <w:ilvl w:val="0"/>
          <w:numId w:val="3"/>
        </w:numPr>
        <w:spacing w:after="80"/>
      </w:pPr>
      <w:r>
        <w:rPr>
          <w:rFonts w:ascii="Arial" w:cs="Arial" w:eastAsia="Arial" w:hAnsi="Arial"/>
          <w:b/>
          <w:bCs/>
          <w:color w:val="111827"/>
          <w:sz w:val="21"/>
          <w:szCs w:val="21"/>
        </w:rPr>
        <w:t xml:space="preserve">Deep Match runs silently in background </w:t>
      </w:r>
      <w:r>
        <w:rPr>
          <w:rFonts w:ascii="Arial" w:cs="Arial" w:eastAsia="Arial" w:hAnsi="Arial"/>
          <w:color w:val="111827"/>
          <w:sz w:val="21"/>
          <w:szCs w:val="21"/>
        </w:rPr>
        <w:t xml:space="preserve">(above a configurable page-count threshold, e.g., 50+ pages).</w:t>
      </w:r>
    </w:p>
    <w:p>
      <w:pPr>
        <w:pStyle w:val="ListParagraph"/>
        <w:numPr>
          <w:ilvl w:val="0"/>
          <w:numId w:val="3"/>
        </w:numPr>
        <w:spacing w:after="80"/>
      </w:pPr>
      <w:r>
        <w:rPr>
          <w:rFonts w:ascii="Arial" w:cs="Arial" w:eastAsia="Arial" w:hAnsi="Arial"/>
          <w:b/>
          <w:bCs/>
          <w:color w:val="111827"/>
          <w:sz w:val="21"/>
          <w:szCs w:val="21"/>
        </w:rPr>
        <w:t xml:space="preserve">Results screen shows improvement indicators </w:t>
      </w:r>
      <w:r>
        <w:rPr>
          <w:rFonts w:ascii="Arial" w:cs="Arial" w:eastAsia="Arial" w:hAnsi="Arial"/>
          <w:color w:val="111827"/>
          <w:sz w:val="21"/>
          <w:szCs w:val="21"/>
        </w:rPr>
        <w:t xml:space="preserve">— e.g., “Deep Match found 47 better matches for Low Confidence URLs.” Specific improvements are teased but the full results are behind the paywall.</w:t>
      </w:r>
    </w:p>
    <w:p>
      <w:pPr>
        <w:pStyle w:val="ListParagraph"/>
        <w:numPr>
          <w:ilvl w:val="0"/>
          <w:numId w:val="3"/>
        </w:numPr>
        <w:spacing w:after="80"/>
      </w:pPr>
      <w:r>
        <w:rPr>
          <w:rFonts w:ascii="Arial" w:cs="Arial" w:eastAsia="Arial" w:hAnsi="Arial"/>
          <w:b/>
          <w:bCs/>
          <w:color w:val="111827"/>
          <w:sz w:val="21"/>
          <w:szCs w:val="21"/>
        </w:rPr>
        <w:t xml:space="preserve">User pays the one-time project fee </w:t>
      </w:r>
      <w:r>
        <w:rPr>
          <w:rFonts w:ascii="Arial" w:cs="Arial" w:eastAsia="Arial" w:hAnsi="Arial"/>
          <w:color w:val="111827"/>
          <w:sz w:val="21"/>
          <w:szCs w:val="21"/>
        </w:rPr>
        <w:t xml:space="preserve">— unlocks full Deep Match results and export.</w:t>
      </w:r>
    </w:p>
    <w:p>
      <w:pPr>
        <w:pStyle w:val="ListParagraph"/>
        <w:numPr>
          <w:ilvl w:val="0"/>
          <w:numId w:val="3"/>
        </w:numPr>
        <w:spacing w:after="160"/>
      </w:pPr>
      <w:r>
        <w:rPr>
          <w:rFonts w:ascii="Arial" w:cs="Arial" w:eastAsia="Arial" w:hAnsi="Arial"/>
          <w:b/>
          <w:bCs/>
          <w:color w:val="111827"/>
          <w:sz w:val="21"/>
          <w:szCs w:val="21"/>
        </w:rPr>
        <w:t xml:space="preserve">Export in any format </w:t>
      </w:r>
      <w:r>
        <w:rPr>
          <w:rFonts w:ascii="Arial" w:cs="Arial" w:eastAsia="Arial" w:hAnsi="Arial"/>
          <w:color w:val="111827"/>
          <w:sz w:val="21"/>
          <w:szCs w:val="21"/>
        </w:rPr>
        <w:t xml:space="preserve">— Apache, Nginx, Vercel, Cloudflare, CSV, JSON, etc.</w:t>
      </w:r>
    </w:p>
    <w:p>
      <w:pPr>
        <w:pStyle w:val="Heading2"/>
        <w:spacing w:after="160" w:before="280"/>
      </w:pPr>
      <w:r>
        <w:rPr>
          <w:rFonts w:ascii="Arial" w:cs="Arial" w:eastAsia="Arial" w:hAnsi="Arial"/>
          <w:b/>
          <w:bCs/>
          <w:color w:val="4F46E5"/>
          <w:sz w:val="26"/>
          <w:szCs w:val="26"/>
        </w:rPr>
        <w:t xml:space="preserve">2.2 Why This Converts</w:t>
      </w:r>
    </w:p>
    <w:p>
      <w:pPr>
        <w:spacing w:after="160"/>
      </w:pPr>
      <w:r>
        <w:rPr>
          <w:rFonts w:ascii="Arial" w:cs="Arial" w:eastAsia="Arial" w:hAnsi="Arial"/>
          <w:color w:val="111827"/>
          <w:sz w:val="21"/>
          <w:szCs w:val="21"/>
        </w:rPr>
        <w:t xml:space="preserve">This is the “No Win, No Fee” model that Rapid301 uses, but elevated with a critical addition: the user doesn’t just see that Deep Match exists — they see exactly how much better their results would be. The value is concrete before they pay. The paywall isn’t blocking access to a feature; it’s gating access to results the user has already seen proof of.</w:t>
      </w:r>
    </w:p>
    <w:p>
      <w:r>
        <w:br w:type="page"/>
      </w:r>
    </w:p>
    <w:p>
      <w:pPr>
        <w:pStyle w:val="Heading1"/>
        <w:spacing w:after="200" w:before="360"/>
      </w:pPr>
      <w:r>
        <w:rPr>
          <w:rFonts w:ascii="Arial" w:cs="Arial" w:eastAsia="Arial" w:hAnsi="Arial"/>
          <w:b/>
          <w:bCs/>
          <w:color w:val="1A1A2E"/>
          <w:sz w:val="32"/>
          <w:szCs w:val="32"/>
        </w:rPr>
        <w:t xml:space="preserve">3. Pricing Structure</w:t>
      </w:r>
    </w:p>
    <w:p>
      <w:pPr>
        <w:pStyle w:val="Heading2"/>
        <w:spacing w:after="160" w:before="280"/>
      </w:pPr>
      <w:r>
        <w:rPr>
          <w:rFonts w:ascii="Arial" w:cs="Arial" w:eastAsia="Arial" w:hAnsi="Arial"/>
          <w:b/>
          <w:bCs/>
          <w:color w:val="4F46E5"/>
          <w:sz w:val="26"/>
          <w:szCs w:val="26"/>
        </w:rPr>
        <w:t xml:space="preserve">3.1 Quick Match (Always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2"/>
              <w:left w:val="single" w:color="059669" w:sz="2"/>
              <w:bottom w:val="single" w:color="059669" w:sz="2"/>
              <w:right w:val="single" w:color="059669" w:sz="2"/>
            </w:tcBorders>
            <w:shd w:fill="ECFDF5" w:val="clear"/>
            <w:tcMar>
              <w:top w:type="dxa" w:w="160"/>
              <w:left w:type="dxa" w:w="300"/>
              <w:bottom w:type="dxa" w:w="160"/>
              <w:right w:type="dxa" w:w="300"/>
            </w:tcMar>
          </w:tcPr>
          <w:p>
            <w:pPr>
              <w:spacing w:after="100"/>
            </w:pPr>
            <w:r>
              <w:rPr>
                <w:rFonts w:ascii="Arial" w:cs="Arial" w:eastAsia="Arial" w:hAnsi="Arial"/>
                <w:b/>
                <w:bCs/>
                <w:color w:val="059669"/>
                <w:sz w:val="22"/>
                <w:szCs w:val="22"/>
              </w:rPr>
              <w:t xml:space="preserve">FREE — No limits. </w:t>
            </w:r>
            <w:r>
              <w:rPr>
                <w:rFonts w:ascii="Arial" w:cs="Arial" w:eastAsia="Arial" w:hAnsi="Arial"/>
                <w:color w:val="111827"/>
                <w:sz w:val="20"/>
                <w:szCs w:val="20"/>
              </w:rPr>
              <w:t xml:space="preserve">Pattern-based URL matching for any site size. Includes confidence scoring, bulk approval workflow, and multi-format export. No account required to start. This is the acquisition engine.</w:t>
            </w:r>
          </w:p>
        </w:tc>
      </w:tr>
    </w:tbl>
    <w:p>
      <w:pPr>
        <w:spacing w:after="80"/>
      </w:pPr>
    </w:p>
    <w:p>
      <w:pPr>
        <w:pStyle w:val="Heading2"/>
        <w:spacing w:after="160" w:before="280"/>
      </w:pPr>
      <w:r>
        <w:rPr>
          <w:rFonts w:ascii="Arial" w:cs="Arial" w:eastAsia="Arial" w:hAnsi="Arial"/>
          <w:b/>
          <w:bCs/>
          <w:color w:val="4F46E5"/>
          <w:sz w:val="26"/>
          <w:szCs w:val="26"/>
        </w:rPr>
        <w:t xml:space="preserve">3.2 Deep Match — Pay-Per-Project (Graduated Pricing)</w:t>
      </w:r>
    </w:p>
    <w:p>
      <w:pPr>
        <w:spacing w:after="160"/>
      </w:pPr>
      <w:r>
        <w:rPr>
          <w:rFonts w:ascii="Arial" w:cs="Arial" w:eastAsia="Arial" w:hAnsi="Arial"/>
          <w:color w:val="111827"/>
          <w:sz w:val="21"/>
          <w:szCs w:val="21"/>
        </w:rPr>
        <w:t xml:space="preserve">One-time payment per migration. No subscription. Pay only when you export. Priced in pages (the larger of old site or new site page count). Uses graduated pricing — the same model used by AWS, Stripe, and Twilio — where each page is billed at the rate of the band it falls into. The result is a smooth, fair price that scales linearly with usage. No cliff edges, no overpaying.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Page Range</w:t>
            </w:r>
          </w:p>
        </w:tc>
        <w:tc>
          <w:tcPr>
            <w:tcW w:type="dxa" w:w="312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Rate Per Page</w:t>
            </w:r>
          </w:p>
        </w:tc>
        <w:tc>
          <w:tcPr>
            <w:tcW w:type="dxa" w:w="312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Cumulative Cost at Top of Band</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First 500 pages</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$0.10 / page</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color w:val="4B5563"/>
                <w:sz w:val="20"/>
                <w:szCs w:val="20"/>
              </w:rPr>
              <w:t xml:space="preserve">$50</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Pages 501 – 2,000</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$0.05 / page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B5563"/>
                <w:sz w:val="20"/>
                <w:szCs w:val="20"/>
              </w:rPr>
              <w:t xml:space="preserve">$125</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Pages 2,001 – 5,000</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$0.035 / page</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color w:val="4B5563"/>
                <w:sz w:val="20"/>
                <w:szCs w:val="20"/>
              </w:rPr>
              <w:t xml:space="preserve">$230</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Pages 5,001 – 15,000</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$0.02 / page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B5563"/>
                <w:sz w:val="20"/>
                <w:szCs w:val="20"/>
              </w:rPr>
              <w:t xml:space="preserve">$430</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Pages 15,001 – 50,000</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$0.009 / page</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color w:val="4B5563"/>
                <w:sz w:val="20"/>
                <w:szCs w:val="20"/>
              </w:rPr>
              <w:t xml:space="preserve">$745</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Pages 50,001 – 100,000</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$0.007 / page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B5563"/>
                <w:sz w:val="20"/>
                <w:szCs w:val="20"/>
              </w:rPr>
              <w:t xml:space="preserve">$1,095</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Pages 100,001+</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Contact us</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color w:val="4B5563"/>
                <w:sz w:val="20"/>
                <w:szCs w:val="20"/>
              </w:rPr>
              <w:t xml:space="preserve">—</w:t>
            </w:r>
          </w:p>
        </w:tc>
      </w:tr>
    </w:tbl>
    <w:p>
      <w:pPr>
        <w:spacing w:after="80"/>
      </w:pPr>
    </w:p>
    <w:p>
      <w:pPr>
        <w:pStyle w:val="Heading2"/>
        <w:spacing w:after="160" w:before="280"/>
      </w:pPr>
      <w:r>
        <w:rPr>
          <w:rFonts w:ascii="Arial" w:cs="Arial" w:eastAsia="Arial" w:hAnsi="Arial"/>
          <w:b/>
          <w:bCs/>
          <w:color w:val="4F46E5"/>
          <w:sz w:val="26"/>
          <w:szCs w:val="26"/>
        </w:rPr>
        <w:t xml:space="preserve">3.2.1 Example Calculations</w:t>
      </w:r>
    </w:p>
    <w:p>
      <w:pPr>
        <w:spacing w:after="160"/>
      </w:pPr>
      <w:r>
        <w:rPr>
          <w:rFonts w:ascii="Arial" w:cs="Arial" w:eastAsia="Arial" w:hAnsi="Arial"/>
          <w:color w:val="111827"/>
          <w:sz w:val="21"/>
          <w:szCs w:val="21"/>
        </w:rPr>
        <w:t xml:space="preserve">The slider on the pricing page calculates this automatically, but here are examples so the math is transparent: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1500"/>
        <w:gridCol w:w="1500"/>
      </w:tblGrid>
      <w:tr>
        <w:tc>
          <w:tcPr>
            <w:tcW w:type="dxa" w:w="1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Site Size</w:t>
            </w:r>
          </w:p>
        </w:tc>
        <w:tc>
          <w:tcPr>
            <w:tcW w:type="dxa" w:w="4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Calculation</w:t>
            </w:r>
          </w:p>
        </w:tc>
        <w:tc>
          <w:tcPr>
            <w:tcW w:type="dxa" w:w="1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w:t>
            </w:r>
          </w:p>
        </w:tc>
        <w:tc>
          <w:tcPr>
            <w:tcW w:type="dxa" w:w="1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 Rate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center"/>
            </w:pPr>
            <w:r>
              <w:rPr>
                <w:rFonts w:ascii="Arial" w:cs="Arial" w:eastAsia="Arial" w:hAnsi="Arial"/>
                <w:b/>
                <w:bCs/>
                <w:color w:val="111827"/>
                <w:sz w:val="20"/>
                <w:szCs w:val="20"/>
              </w:rPr>
              <w:t xml:space="preserve">500 pages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500 × $0.10</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$50</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color w:val="4B5563"/>
                <w:sz w:val="20"/>
                <w:szCs w:val="20"/>
              </w:rPr>
              <w:t xml:space="preserve">$0.100</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11827"/>
                <w:sz w:val="20"/>
                <w:szCs w:val="20"/>
              </w:rPr>
              <w:t xml:space="preserve">2,000 pages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(500 × $0.10) + (1,500 × $0.05)</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$125</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B5563"/>
                <w:sz w:val="20"/>
                <w:szCs w:val="20"/>
              </w:rPr>
              <w:t xml:space="preserve">$0.063</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center"/>
            </w:pPr>
            <w:r>
              <w:rPr>
                <w:rFonts w:ascii="Arial" w:cs="Arial" w:eastAsia="Arial" w:hAnsi="Arial"/>
                <w:b/>
                <w:bCs/>
                <w:color w:val="111827"/>
                <w:sz w:val="20"/>
                <w:szCs w:val="20"/>
              </w:rPr>
              <w:t xml:space="preserve">5,000 pages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$125 + (3,000 × $0.035)</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$230</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color w:val="4B5563"/>
                <w:sz w:val="20"/>
                <w:szCs w:val="20"/>
              </w:rPr>
              <w:t xml:space="preserve">$0.046</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11827"/>
                <w:sz w:val="20"/>
                <w:szCs w:val="20"/>
              </w:rPr>
              <w:t xml:space="preserve">10,000 pages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$230 + (5,000 × $0.02)</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$330</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B5563"/>
                <w:sz w:val="20"/>
                <w:szCs w:val="20"/>
              </w:rPr>
              <w:t xml:space="preserve">$0.033</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center"/>
            </w:pPr>
            <w:r>
              <w:rPr>
                <w:rFonts w:ascii="Arial" w:cs="Arial" w:eastAsia="Arial" w:hAnsi="Arial"/>
                <w:b/>
                <w:bCs/>
                <w:color w:val="111827"/>
                <w:sz w:val="20"/>
                <w:szCs w:val="20"/>
              </w:rPr>
              <w:t xml:space="preserve">15,000 pages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$230 + (10,000 × $0.02)</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$430</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color w:val="4B5563"/>
                <w:sz w:val="20"/>
                <w:szCs w:val="20"/>
              </w:rPr>
              <w:t xml:space="preserve">$0.029</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11827"/>
                <w:sz w:val="20"/>
                <w:szCs w:val="20"/>
              </w:rPr>
              <w:t xml:space="preserve">25,000 pages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$430 + (10,000 × $0.009)</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$520</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B5563"/>
                <w:sz w:val="20"/>
                <w:szCs w:val="20"/>
              </w:rPr>
              <w:t xml:space="preserve">$0.021</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center"/>
            </w:pPr>
            <w:r>
              <w:rPr>
                <w:rFonts w:ascii="Arial" w:cs="Arial" w:eastAsia="Arial" w:hAnsi="Arial"/>
                <w:b/>
                <w:bCs/>
                <w:color w:val="111827"/>
                <w:sz w:val="20"/>
                <w:szCs w:val="20"/>
              </w:rPr>
              <w:t xml:space="preserve">50,000 pages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$430 + (35,000 × $0.009)</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$745</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color w:val="4B5563"/>
                <w:sz w:val="20"/>
                <w:szCs w:val="20"/>
              </w:rPr>
              <w:t xml:space="preserve">$0.015</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11827"/>
                <w:sz w:val="20"/>
                <w:szCs w:val="20"/>
              </w:rPr>
              <w:t xml:space="preserve">100,000 pages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$745 + (50,000 × $0.007)</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F46E5"/>
                <w:sz w:val="20"/>
                <w:szCs w:val="20"/>
              </w:rPr>
              <w:t xml:space="preserve">$1,095</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B5563"/>
                <w:sz w:val="20"/>
                <w:szCs w:val="20"/>
              </w:rPr>
              <w:t xml:space="preserve">$0.011</w:t>
            </w:r>
          </w:p>
        </w:tc>
      </w:tr>
    </w:tbl>
    <w:p>
      <w:pPr>
        <w:spacing w:after="80"/>
      </w:pPr>
    </w:p>
    <w:p>
      <w:pPr>
        <w:spacing w:after="160"/>
      </w:pPr>
      <w:r>
        <w:rPr>
          <w:rFonts w:ascii="Arial" w:cs="Arial" w:eastAsia="Arial" w:hAnsi="Arial"/>
          <w:color w:val="111827"/>
          <w:sz w:val="21"/>
          <w:szCs w:val="21"/>
        </w:rPr>
        <w:t xml:space="preserve">Page count is determined by the larger of the two sitemaps (old site or new site). The effective per-page rate decreases smoothly as volume increases — a 50,000-page migration costs $0.015/page while a 500-page migration costs $0.10/page. This rewards larger projects without punishing customers who land just above an arbitrary threshold.</w:t>
      </w:r>
    </w:p>
    <w:p>
      <w:pPr>
        <w:pStyle w:val="Heading2"/>
        <w:spacing w:after="160" w:before="280"/>
      </w:pPr>
      <w:r>
        <w:rPr>
          <w:rFonts w:ascii="Arial" w:cs="Arial" w:eastAsia="Arial" w:hAnsi="Arial"/>
          <w:b/>
          <w:bCs/>
          <w:color w:val="4F46E5"/>
          <w:sz w:val="26"/>
          <w:szCs w:val="26"/>
        </w:rPr>
        <w:t xml:space="preserve">3.2.2 Why Graduated Pricing</w:t>
      </w:r>
    </w:p>
    <w:p>
      <w:pPr>
        <w:spacing w:after="160"/>
      </w:pPr>
      <w:r>
        <w:rPr>
          <w:rFonts w:ascii="Arial" w:cs="Arial" w:eastAsia="Arial" w:hAnsi="Arial"/>
          <w:color w:val="111827"/>
          <w:sz w:val="21"/>
          <w:szCs w:val="21"/>
        </w:rPr>
        <w:t xml:space="preserve">This is the same model used by AWS S3 for storage, Stripe for payment processing, and Twilio for messaging. It’s the industry standard for usage-based SaaS because it eliminates two problems that flat-band pricing creates:</w:t>
      </w:r>
    </w:p>
    <w:p>
      <w:pPr>
        <w:pStyle w:val="ListParagraph"/>
        <w:numPr>
          <w:ilvl w:val="0"/>
          <w:numId w:val="2"/>
        </w:numPr>
        <w:spacing w:after="80"/>
      </w:pPr>
      <w:r>
        <w:rPr>
          <w:rFonts w:ascii="Arial" w:cs="Arial" w:eastAsia="Arial" w:hAnsi="Arial"/>
          <w:b/>
          <w:bCs/>
          <w:color w:val="111827"/>
          <w:sz w:val="21"/>
          <w:szCs w:val="21"/>
        </w:rPr>
        <w:t xml:space="preserve">No cliff edges. </w:t>
      </w:r>
      <w:r>
        <w:rPr>
          <w:rFonts w:ascii="Arial" w:cs="Arial" w:eastAsia="Arial" w:hAnsi="Arial"/>
          <w:color w:val="111827"/>
          <w:sz w:val="21"/>
          <w:szCs w:val="21"/>
        </w:rPr>
        <w:t xml:space="preserve">With flat bands, migrating 5,001 pages might cost $120 more than 5,000 pages. With graduated pricing, that extra page costs $0.02. The slider moves smoothly and the price scales proportionally.</w:t>
      </w:r>
    </w:p>
    <w:p>
      <w:pPr>
        <w:pStyle w:val="ListParagraph"/>
        <w:numPr>
          <w:ilvl w:val="0"/>
          <w:numId w:val="2"/>
        </w:numPr>
        <w:spacing w:after="80"/>
      </w:pPr>
      <w:r>
        <w:rPr>
          <w:rFonts w:ascii="Arial" w:cs="Arial" w:eastAsia="Arial" w:hAnsi="Arial"/>
          <w:b/>
          <w:bCs/>
          <w:color w:val="111827"/>
          <w:sz w:val="21"/>
          <w:szCs w:val="21"/>
        </w:rPr>
        <w:t xml:space="preserve">No fairness gap. </w:t>
      </w:r>
      <w:r>
        <w:rPr>
          <w:rFonts w:ascii="Arial" w:cs="Arial" w:eastAsia="Arial" w:hAnsi="Arial"/>
          <w:color w:val="111827"/>
          <w:sz w:val="21"/>
          <w:szCs w:val="21"/>
        </w:rPr>
        <w:t xml:space="preserve">In a flat band, someone with 5,001 pages and someone with 14,999 pages pay the same amount. With graduated pricing, every customer pays proportionally to their actual usage. Technical users — RedirX’s core audience — will do the math, and this model passes the smell test.</w:t>
      </w:r>
    </w:p>
    <w:p>
      <w:r>
        <w:br w:type="page"/>
      </w:r>
    </w:p>
    <w:p>
      <w:pPr>
        <w:pStyle w:val="Heading2"/>
        <w:spacing w:after="160" w:before="280"/>
      </w:pPr>
      <w:r>
        <w:rPr>
          <w:rFonts w:ascii="Arial" w:cs="Arial" w:eastAsia="Arial" w:hAnsi="Arial"/>
          <w:b/>
          <w:bCs/>
          <w:color w:val="4F46E5"/>
          <w:sz w:val="26"/>
          <w:szCs w:val="26"/>
        </w:rPr>
        <w:t xml:space="preserve">3.3 Agency Plan — Monthly Subscription</w:t>
      </w:r>
    </w:p>
    <w:p>
      <w:pPr>
        <w:spacing w:after="160"/>
      </w:pPr>
      <w:r>
        <w:rPr>
          <w:rFonts w:ascii="Arial" w:cs="Arial" w:eastAsia="Arial" w:hAnsi="Arial"/>
          <w:color w:val="111827"/>
          <w:sz w:val="21"/>
          <w:szCs w:val="21"/>
        </w:rPr>
        <w:t xml:space="preserve">A single, generous plan designed for development agencies and SEO consultancies running multiple client migrations per month. One plan, no decision fatigue. This is the only recurring billing option.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46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Agency Plan</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Monthly Price</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color w:val="111827"/>
                <w:sz w:val="20"/>
                <w:szCs w:val="20"/>
              </w:rPr>
              <w:t xml:space="preserve">$349 / mo</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Annual Price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827"/>
                <w:sz w:val="20"/>
                <w:szCs w:val="20"/>
              </w:rPr>
              <w:t xml:space="preserve">$299 / mo (save 14%)</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Deep Match Pages</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color w:val="111827"/>
                <w:sz w:val="20"/>
                <w:szCs w:val="20"/>
              </w:rPr>
              <w:t xml:space="preserve">50,000 / mo</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Active Projects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827"/>
                <w:sz w:val="20"/>
                <w:szCs w:val="20"/>
              </w:rPr>
              <w:t xml:space="preserve">10</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Quick Match</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color w:val="111827"/>
                <w:sz w:val="20"/>
                <w:szCs w:val="20"/>
              </w:rPr>
              <w:t xml:space="preserve">Unlimited</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Team Members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827"/>
                <w:sz w:val="20"/>
                <w:szCs w:val="20"/>
              </w:rPr>
              <w:t xml:space="preserve">5</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Priority Support</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color w:val="111827"/>
                <w:sz w:val="20"/>
                <w:szCs w:val="20"/>
              </w:rPr>
              <w:t xml:space="preserv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Overage Rate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827"/>
                <w:sz w:val="20"/>
                <w:szCs w:val="20"/>
              </w:rPr>
              <w:t xml:space="preserve">$0.015 / page</w:t>
            </w:r>
          </w:p>
        </w:tc>
      </w:tr>
      <w:tr>
        <w:tc>
          <w:tcPr>
            <w:tcW w:type="dxa" w:w="9360"/>
            <w:gridSpan w:val="2"/>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pPr>
              <w:jc w:val="center"/>
            </w:pPr>
            <w:r>
              <w:rPr>
                <w:rFonts w:ascii="Arial" w:cs="Arial" w:eastAsia="Arial" w:hAnsi="Arial"/>
                <w:b/>
                <w:bCs/>
                <w:color w:val="4F46E5"/>
                <w:sz w:val="20"/>
                <w:szCs w:val="20"/>
              </w:rPr>
              <w:t xml:space="preserve">Need more volume, seats, or a custom SLA?  </w:t>
            </w:r>
            <w:r>
              <w:rPr>
                <w:rFonts w:ascii="Arial" w:cs="Arial" w:eastAsia="Arial" w:hAnsi="Arial"/>
                <w:color w:val="111827"/>
                <w:sz w:val="20"/>
                <w:szCs w:val="20"/>
              </w:rPr>
              <w:t xml:space="preserve">Let’s talk. Contact us for custom Enterprise pricing.</w:t>
            </w:r>
          </w:p>
        </w:tc>
      </w:tr>
    </w:tbl>
    <w:p>
      <w:pPr>
        <w:spacing w:after="80"/>
      </w:pPr>
    </w:p>
    <w:p>
      <w:pPr>
        <w:pStyle w:val="Heading2"/>
        <w:spacing w:after="160" w:before="280"/>
      </w:pPr>
      <w:r>
        <w:rPr>
          <w:rFonts w:ascii="Arial" w:cs="Arial" w:eastAsia="Arial" w:hAnsi="Arial"/>
          <w:b/>
          <w:bCs/>
          <w:color w:val="4F46E5"/>
          <w:sz w:val="26"/>
          <w:szCs w:val="26"/>
        </w:rPr>
        <w:t xml:space="preserve">3.4 Why One Agency Tier</w:t>
      </w:r>
    </w:p>
    <w:p>
      <w:pPr>
        <w:spacing w:after="160"/>
      </w:pPr>
      <w:r>
        <w:rPr>
          <w:rFonts w:ascii="Arial" w:cs="Arial" w:eastAsia="Arial" w:hAnsi="Arial"/>
          <w:color w:val="111827"/>
          <w:sz w:val="21"/>
          <w:szCs w:val="21"/>
        </w:rPr>
        <w:t xml:space="preserve">The pay-per-project slider already handles volume segmentation for one-time buyers. Adding multiple agency tiers would introduce a second layer of decision-making after the visitor has already self-identified as an agency customer. A single plan keeps the pricing page binary: “Am I doing one migration, or do I do this regularly?” Two paths, no ambiguity.</w:t>
      </w:r>
    </w:p>
    <w:p>
      <w:pPr>
        <w:spacing w:after="160"/>
      </w:pPr>
      <w:r>
        <w:rPr>
          <w:rFonts w:ascii="Arial" w:cs="Arial" w:eastAsia="Arial" w:hAnsi="Arial"/>
          <w:color w:val="111827"/>
          <w:sz w:val="21"/>
          <w:szCs w:val="21"/>
        </w:rPr>
        <w:t xml:space="preserve">Freelancers and small shops running 2–3 migrations a month don’t need a subscription — the project slider serves them perfectly. The agency plan is for teams with steady, recurring volume. Agencies that outgrow 50,000 pages/month are high-value customers worth a sales conversation, not a self-serve checkbox.</w:t>
      </w:r>
    </w:p>
    <w:p>
      <w:pPr>
        <w:spacing w:after="160"/>
      </w:pPr>
      <w:r>
        <w:rPr>
          <w:rFonts w:ascii="Arial" w:cs="Arial" w:eastAsia="Arial" w:hAnsi="Arial"/>
          <w:color w:val="111827"/>
          <w:sz w:val="21"/>
          <w:szCs w:val="21"/>
        </w:rPr>
        <w:t xml:space="preserve">The overage rate ($0.015/page) ensures agencies are never hard-blocked mid-project. If they exceed their monthly allocation, extra pages are billed transparently — still cheaper than buying one-off projects, which incentivizes staying on the plan.</w:t>
      </w:r>
    </w:p>
    <w:p>
      <w:r>
        <w:br w:type="page"/>
      </w:r>
    </w:p>
    <w:p>
      <w:pPr>
        <w:pStyle w:val="Heading1"/>
        <w:spacing w:after="200" w:before="360"/>
      </w:pPr>
      <w:r>
        <w:rPr>
          <w:rFonts w:ascii="Arial" w:cs="Arial" w:eastAsia="Arial" w:hAnsi="Arial"/>
          <w:b/>
          <w:bCs/>
          <w:color w:val="1A1A2E"/>
          <w:sz w:val="32"/>
          <w:szCs w:val="32"/>
        </w:rPr>
        <w:t xml:space="preserve">4. Why This Model Works</w:t>
      </w:r>
    </w:p>
    <w:p>
      <w:pPr>
        <w:pStyle w:val="Heading2"/>
        <w:spacing w:after="160" w:before="280"/>
      </w:pPr>
      <w:r>
        <w:rPr>
          <w:rFonts w:ascii="Arial" w:cs="Arial" w:eastAsia="Arial" w:hAnsi="Arial"/>
          <w:b/>
          <w:bCs/>
          <w:color w:val="4F46E5"/>
          <w:sz w:val="26"/>
          <w:szCs w:val="26"/>
        </w:rPr>
        <w:t xml:space="preserve">4.1 For One-Time Buyers</w:t>
      </w:r>
    </w:p>
    <w:p>
      <w:pPr>
        <w:pStyle w:val="ListParagraph"/>
        <w:numPr>
          <w:ilvl w:val="0"/>
          <w:numId w:val="2"/>
        </w:numPr>
        <w:spacing w:after="80"/>
      </w:pPr>
      <w:r>
        <w:rPr>
          <w:rFonts w:ascii="Arial" w:cs="Arial" w:eastAsia="Arial" w:hAnsi="Arial"/>
          <w:b/>
          <w:bCs/>
          <w:color w:val="111827"/>
          <w:sz w:val="21"/>
          <w:szCs w:val="21"/>
        </w:rPr>
        <w:t xml:space="preserve">No subscription anxiety. </w:t>
      </w:r>
      <w:r>
        <w:rPr>
          <w:rFonts w:ascii="Arial" w:cs="Arial" w:eastAsia="Arial" w:hAnsi="Arial"/>
          <w:color w:val="111827"/>
          <w:sz w:val="21"/>
          <w:szCs w:val="21"/>
        </w:rPr>
        <w:t xml:space="preserve">They pay once, get their redirects, and never think about billing again.</w:t>
      </w:r>
    </w:p>
    <w:p>
      <w:pPr>
        <w:pStyle w:val="ListParagraph"/>
        <w:numPr>
          <w:ilvl w:val="0"/>
          <w:numId w:val="2"/>
        </w:numPr>
        <w:spacing w:after="80"/>
      </w:pPr>
      <w:r>
        <w:rPr>
          <w:rFonts w:ascii="Arial" w:cs="Arial" w:eastAsia="Arial" w:hAnsi="Arial"/>
          <w:b/>
          <w:bCs/>
          <w:color w:val="111827"/>
          <w:sz w:val="21"/>
          <w:szCs w:val="21"/>
        </w:rPr>
        <w:t xml:space="preserve">Price is concrete. </w:t>
      </w:r>
      <w:r>
        <w:rPr>
          <w:rFonts w:ascii="Arial" w:cs="Arial" w:eastAsia="Arial" w:hAnsi="Arial"/>
          <w:color w:val="111827"/>
          <w:sz w:val="21"/>
          <w:szCs w:val="21"/>
        </w:rPr>
        <w:t xml:space="preserve">The slider shows the exact cost in real time as they adjust their page count. No tier math, no guessing — just a number that moves smoothly with their site size.</w:t>
      </w:r>
    </w:p>
    <w:p>
      <w:pPr>
        <w:pStyle w:val="ListParagraph"/>
        <w:numPr>
          <w:ilvl w:val="0"/>
          <w:numId w:val="2"/>
        </w:numPr>
        <w:spacing w:after="80"/>
      </w:pPr>
      <w:r>
        <w:rPr>
          <w:rFonts w:ascii="Arial" w:cs="Arial" w:eastAsia="Arial" w:hAnsi="Arial"/>
          <w:b/>
          <w:bCs/>
          <w:color w:val="111827"/>
          <w:sz w:val="21"/>
          <w:szCs w:val="21"/>
        </w:rPr>
        <w:t xml:space="preserve">Value is proven before payment. </w:t>
      </w:r>
      <w:r>
        <w:rPr>
          <w:rFonts w:ascii="Arial" w:cs="Arial" w:eastAsia="Arial" w:hAnsi="Arial"/>
          <w:color w:val="111827"/>
          <w:sz w:val="21"/>
          <w:szCs w:val="21"/>
        </w:rPr>
        <w:t xml:space="preserve">They’ve already seen Quick Match results and the Deep Match improvement preview. The purchase feels like upgrading results, not buying a mystery box.</w:t>
      </w:r>
    </w:p>
    <w:p>
      <w:pPr>
        <w:pStyle w:val="Heading2"/>
        <w:spacing w:after="160" w:before="280"/>
      </w:pPr>
      <w:r>
        <w:rPr>
          <w:rFonts w:ascii="Arial" w:cs="Arial" w:eastAsia="Arial" w:hAnsi="Arial"/>
          <w:b/>
          <w:bCs/>
          <w:color w:val="4F46E5"/>
          <w:sz w:val="26"/>
          <w:szCs w:val="26"/>
        </w:rPr>
        <w:t xml:space="preserve">4.2 For Agencies</w:t>
      </w:r>
    </w:p>
    <w:p>
      <w:pPr>
        <w:pStyle w:val="ListParagraph"/>
        <w:numPr>
          <w:ilvl w:val="0"/>
          <w:numId w:val="2"/>
        </w:numPr>
        <w:spacing w:after="80"/>
      </w:pPr>
      <w:r>
        <w:rPr>
          <w:rFonts w:ascii="Arial" w:cs="Arial" w:eastAsia="Arial" w:hAnsi="Arial"/>
          <w:b/>
          <w:bCs/>
          <w:color w:val="111827"/>
          <w:sz w:val="21"/>
          <w:szCs w:val="21"/>
        </w:rPr>
        <w:t xml:space="preserve">Predictable monthly cost. </w:t>
      </w:r>
      <w:r>
        <w:rPr>
          <w:rFonts w:ascii="Arial" w:cs="Arial" w:eastAsia="Arial" w:hAnsi="Arial"/>
          <w:color w:val="111827"/>
          <w:sz w:val="21"/>
          <w:szCs w:val="21"/>
        </w:rPr>
        <w:t xml:space="preserve">$349/mo is a fixed line item they can build into every client proposal. No surprises.</w:t>
      </w:r>
    </w:p>
    <w:p>
      <w:pPr>
        <w:pStyle w:val="ListParagraph"/>
        <w:numPr>
          <w:ilvl w:val="0"/>
          <w:numId w:val="2"/>
        </w:numPr>
        <w:spacing w:after="80"/>
      </w:pPr>
      <w:r>
        <w:rPr>
          <w:rFonts w:ascii="Arial" w:cs="Arial" w:eastAsia="Arial" w:hAnsi="Arial"/>
          <w:b/>
          <w:bCs/>
          <w:color w:val="111827"/>
          <w:sz w:val="21"/>
          <w:szCs w:val="21"/>
        </w:rPr>
        <w:t xml:space="preserve">Generous cap with soft overages. </w:t>
      </w:r>
      <w:r>
        <w:rPr>
          <w:rFonts w:ascii="Arial" w:cs="Arial" w:eastAsia="Arial" w:hAnsi="Arial"/>
          <w:color w:val="111827"/>
          <w:sz w:val="21"/>
          <w:szCs w:val="21"/>
        </w:rPr>
        <w:t xml:space="preserve">50,000 pages/month covers the vast majority of agency workloads. If they go over, the $0.015/page overage is transparent and still a great deal.</w:t>
      </w:r>
    </w:p>
    <w:p>
      <w:pPr>
        <w:pStyle w:val="ListParagraph"/>
        <w:numPr>
          <w:ilvl w:val="0"/>
          <w:numId w:val="2"/>
        </w:numPr>
        <w:spacing w:after="80"/>
      </w:pPr>
      <w:r>
        <w:rPr>
          <w:rFonts w:ascii="Arial" w:cs="Arial" w:eastAsia="Arial" w:hAnsi="Arial"/>
          <w:b/>
          <w:bCs/>
          <w:color w:val="111827"/>
          <w:sz w:val="21"/>
          <w:szCs w:val="21"/>
        </w:rPr>
        <w:t xml:space="preserve">No decision fatigue. </w:t>
      </w:r>
      <w:r>
        <w:rPr>
          <w:rFonts w:ascii="Arial" w:cs="Arial" w:eastAsia="Arial" w:hAnsi="Arial"/>
          <w:color w:val="111827"/>
          <w:sz w:val="21"/>
          <w:szCs w:val="21"/>
        </w:rPr>
        <w:t xml:space="preserve">One plan. No comparing tiers, no second-guessing. Agencies that outgrow it get a personal sales conversation — which yields better deals for both sides than a self-serve upgrade.</w:t>
      </w:r>
    </w:p>
    <w:p>
      <w:pPr>
        <w:pStyle w:val="Heading2"/>
        <w:spacing w:after="160" w:before="280"/>
      </w:pPr>
      <w:r>
        <w:rPr>
          <w:rFonts w:ascii="Arial" w:cs="Arial" w:eastAsia="Arial" w:hAnsi="Arial"/>
          <w:b/>
          <w:bCs/>
          <w:color w:val="4F46E5"/>
          <w:sz w:val="26"/>
          <w:szCs w:val="26"/>
        </w:rPr>
        <w:t xml:space="preserve">4.3 For RedirX</w:t>
      </w:r>
    </w:p>
    <w:p>
      <w:pPr>
        <w:pStyle w:val="ListParagraph"/>
        <w:numPr>
          <w:ilvl w:val="0"/>
          <w:numId w:val="2"/>
        </w:numPr>
        <w:spacing w:after="80"/>
      </w:pPr>
      <w:r>
        <w:rPr>
          <w:rFonts w:ascii="Arial" w:cs="Arial" w:eastAsia="Arial" w:hAnsi="Arial"/>
          <w:b/>
          <w:bCs/>
          <w:color w:val="111827"/>
          <w:sz w:val="21"/>
          <w:szCs w:val="21"/>
        </w:rPr>
        <w:t xml:space="preserve">Dual revenue streams. </w:t>
      </w:r>
      <w:r>
        <w:rPr>
          <w:rFonts w:ascii="Arial" w:cs="Arial" w:eastAsia="Arial" w:hAnsi="Arial"/>
          <w:color w:val="111827"/>
          <w:sz w:val="21"/>
          <w:szCs w:val="21"/>
        </w:rPr>
        <w:t xml:space="preserve">One-time project revenue from the long tail + recurring subscription revenue from agencies. Neither depends on the other.</w:t>
      </w:r>
    </w:p>
    <w:p>
      <w:pPr>
        <w:pStyle w:val="ListParagraph"/>
        <w:numPr>
          <w:ilvl w:val="0"/>
          <w:numId w:val="2"/>
        </w:numPr>
        <w:spacing w:after="80"/>
      </w:pPr>
      <w:r>
        <w:rPr>
          <w:rFonts w:ascii="Arial" w:cs="Arial" w:eastAsia="Arial" w:hAnsi="Arial"/>
          <w:b/>
          <w:bCs/>
          <w:color w:val="111827"/>
          <w:sz w:val="21"/>
          <w:szCs w:val="21"/>
        </w:rPr>
        <w:t xml:space="preserve">Enterprise upsell funnel. </w:t>
      </w:r>
      <w:r>
        <w:rPr>
          <w:rFonts w:ascii="Arial" w:cs="Arial" w:eastAsia="Arial" w:hAnsi="Arial"/>
          <w:color w:val="111827"/>
          <w:sz w:val="21"/>
          <w:szCs w:val="21"/>
        </w:rPr>
        <w:t xml:space="preserve">The “Need more?” contact path on the agency plan creates natural sales conversations with high-value customers.</w:t>
      </w:r>
    </w:p>
    <w:p>
      <w:pPr>
        <w:pStyle w:val="ListParagraph"/>
        <w:numPr>
          <w:ilvl w:val="0"/>
          <w:numId w:val="2"/>
        </w:numPr>
        <w:spacing w:after="80"/>
      </w:pPr>
      <w:r>
        <w:rPr>
          <w:rFonts w:ascii="Arial" w:cs="Arial" w:eastAsia="Arial" w:hAnsi="Arial"/>
          <w:b/>
          <w:bCs/>
          <w:color w:val="111827"/>
          <w:sz w:val="21"/>
          <w:szCs w:val="21"/>
        </w:rPr>
        <w:t xml:space="preserve">Competitive moat. </w:t>
      </w:r>
      <w:r>
        <w:rPr>
          <w:rFonts w:ascii="Arial" w:cs="Arial" w:eastAsia="Arial" w:hAnsi="Arial"/>
          <w:color w:val="111827"/>
          <w:sz w:val="21"/>
          <w:szCs w:val="21"/>
        </w:rPr>
        <w:t xml:space="preserve">Free Quick Match undercuts competitors’ entire paid offering. Deep Match is technically differentiated and cannot be replicated with simple pattern matching.</w:t>
      </w:r>
    </w:p>
    <w:p>
      <w:r>
        <w:br w:type="page"/>
      </w:r>
    </w:p>
    <w:p>
      <w:pPr>
        <w:pStyle w:val="Heading1"/>
        <w:spacing w:after="200" w:before="360"/>
      </w:pPr>
      <w:r>
        <w:rPr>
          <w:rFonts w:ascii="Arial" w:cs="Arial" w:eastAsia="Arial" w:hAnsi="Arial"/>
          <w:b/>
          <w:bCs/>
          <w:color w:val="1A1A2E"/>
          <w:sz w:val="32"/>
          <w:szCs w:val="32"/>
        </w:rPr>
        <w:t xml:space="preserve">5. Pricing Psychology at Work</w:t>
      </w:r>
    </w:p>
    <w:p>
      <w:pPr>
        <w:pStyle w:val="Heading2"/>
        <w:spacing w:after="160" w:before="280"/>
      </w:pPr>
      <w:r>
        <w:rPr>
          <w:rFonts w:ascii="Arial" w:cs="Arial" w:eastAsia="Arial" w:hAnsi="Arial"/>
          <w:b/>
          <w:bCs/>
          <w:color w:val="4F46E5"/>
          <w:sz w:val="26"/>
          <w:szCs w:val="26"/>
        </w:rPr>
        <w:t xml:space="preserve">5.1 Anchoring</w:t>
      </w:r>
    </w:p>
    <w:p>
      <w:pPr>
        <w:spacing w:after="160"/>
      </w:pPr>
      <w:r>
        <w:rPr>
          <w:rFonts w:ascii="Arial" w:cs="Arial" w:eastAsia="Arial" w:hAnsi="Arial"/>
          <w:color w:val="111827"/>
          <w:sz w:val="21"/>
          <w:szCs w:val="21"/>
        </w:rPr>
        <w:t xml:space="preserve">The graduated rate table serves as an anchor. The first band ($0.10/page) sets the ceiling price in the customer’s mind. As they slide to higher page counts, the effective rate drops visibly — from $0.10 down to $0.011 at 100,000 pages. The declining rate feels like a reward for volume, encouraging customers to consolidate migrations through RedirX rather than splitting them across tools.</w:t>
      </w:r>
    </w:p>
    <w:p>
      <w:pPr>
        <w:pStyle w:val="Heading2"/>
        <w:spacing w:after="160" w:before="280"/>
      </w:pPr>
      <w:r>
        <w:rPr>
          <w:rFonts w:ascii="Arial" w:cs="Arial" w:eastAsia="Arial" w:hAnsi="Arial"/>
          <w:b/>
          <w:bCs/>
          <w:color w:val="4F46E5"/>
          <w:sz w:val="26"/>
          <w:szCs w:val="26"/>
        </w:rPr>
        <w:t xml:space="preserve">5.2 Loss Aversion</w:t>
      </w:r>
    </w:p>
    <w:p>
      <w:pPr>
        <w:spacing w:after="160"/>
      </w:pPr>
      <w:r>
        <w:rPr>
          <w:rFonts w:ascii="Arial" w:cs="Arial" w:eastAsia="Arial" w:hAnsi="Arial"/>
          <w:color w:val="111827"/>
          <w:sz w:val="21"/>
          <w:szCs w:val="21"/>
        </w:rPr>
        <w:t xml:space="preserve">The Deep Match preview is a form of loss aversion. The user has already seen that 47 of their URLs have better matches available. Not paying means leaving those improvements on the table. The “cost” of not upgrading is concrete and visible.</w:t>
      </w:r>
    </w:p>
    <w:p>
      <w:pPr>
        <w:pStyle w:val="Heading2"/>
        <w:spacing w:after="160" w:before="280"/>
      </w:pPr>
      <w:r>
        <w:rPr>
          <w:rFonts w:ascii="Arial" w:cs="Arial" w:eastAsia="Arial" w:hAnsi="Arial"/>
          <w:b/>
          <w:bCs/>
          <w:color w:val="4F46E5"/>
          <w:sz w:val="26"/>
          <w:szCs w:val="26"/>
        </w:rPr>
        <w:t xml:space="preserve">5.3 Price-to-Value Framing</w:t>
      </w:r>
    </w:p>
    <w:p>
      <w:pPr>
        <w:spacing w:after="160"/>
      </w:pPr>
      <w:r>
        <w:rPr>
          <w:rFonts w:ascii="Arial" w:cs="Arial" w:eastAsia="Arial" w:hAnsi="Arial"/>
          <w:color w:val="111827"/>
          <w:sz w:val="21"/>
          <w:szCs w:val="21"/>
        </w:rPr>
        <w:t xml:space="preserve">At $230 for a 5,000-page migration, RedirX costs roughly what an SEO consultant charges for a single hour. The alternative — manual redirect mapping — would take days. The implicit comparison is always: “Is this worth less than the manual labor it replaces?” The answer is always yes.</w:t>
      </w:r>
    </w:p>
    <w:p>
      <w:pPr>
        <w:pStyle w:val="Heading2"/>
        <w:spacing w:after="160" w:before="280"/>
      </w:pPr>
      <w:r>
        <w:rPr>
          <w:rFonts w:ascii="Arial" w:cs="Arial" w:eastAsia="Arial" w:hAnsi="Arial"/>
          <w:b/>
          <w:bCs/>
          <w:color w:val="4F46E5"/>
          <w:sz w:val="26"/>
          <w:szCs w:val="26"/>
        </w:rPr>
        <w:t xml:space="preserve">5.4 The Binary Choice</w:t>
      </w:r>
    </w:p>
    <w:p>
      <w:pPr>
        <w:spacing w:after="160"/>
      </w:pPr>
      <w:r>
        <w:rPr>
          <w:rFonts w:ascii="Arial" w:cs="Arial" w:eastAsia="Arial" w:hAnsi="Arial"/>
          <w:color w:val="111827"/>
          <w:sz w:val="21"/>
          <w:szCs w:val="21"/>
        </w:rPr>
        <w:t xml:space="preserve">The pricing page presents exactly two paths: a slider for one-time projects and a single agency plan for recurring use. This is intentional. When visitors land on a pricing page with seven options, they compare. When they see two paths, they self-select. The cognitive load drops dramatically, and the time-to-decision shrinks. The agency plan at $349/mo doesn’t need to be compared against other agency tiers — it only needs to be compared against the cost of buying projects individually, which it clearly beats for anyone doing 3+ migrations a month.</w:t>
      </w:r>
    </w:p>
    <w:p>
      <w:r>
        <w:br w:type="page"/>
      </w:r>
    </w:p>
    <w:p>
      <w:pPr>
        <w:pStyle w:val="Heading1"/>
        <w:spacing w:after="200" w:before="360"/>
      </w:pPr>
      <w:r>
        <w:rPr>
          <w:rFonts w:ascii="Arial" w:cs="Arial" w:eastAsia="Arial" w:hAnsi="Arial"/>
          <w:b/>
          <w:bCs/>
          <w:color w:val="1A1A2E"/>
          <w:sz w:val="32"/>
          <w:szCs w:val="32"/>
        </w:rPr>
        <w:t xml:space="preserve">6. Implementation Checklist</w:t>
      </w:r>
    </w:p>
    <w:p>
      <w:pPr>
        <w:pStyle w:val="ListParagraph"/>
        <w:numPr>
          <w:ilvl w:val="0"/>
          <w:numId w:val="4"/>
        </w:numPr>
        <w:spacing w:after="100"/>
      </w:pPr>
      <w:r>
        <w:rPr>
          <w:rFonts w:ascii="Arial" w:cs="Arial" w:eastAsia="Arial" w:hAnsi="Arial"/>
          <w:b/>
          <w:bCs/>
          <w:sz w:val="21"/>
          <w:szCs w:val="21"/>
        </w:rPr>
        <w:t xml:space="preserve">Implement background Deep Match processing </w:t>
      </w:r>
      <w:r>
        <w:rPr>
          <w:rFonts w:ascii="Arial" w:cs="Arial" w:eastAsia="Arial" w:hAnsi="Arial"/>
          <w:sz w:val="21"/>
          <w:szCs w:val="21"/>
        </w:rPr>
        <w:t xml:space="preserve">— configure the page-count threshold above which Deep Match runs automatically in the background on Quick Match jobs.</w:t>
      </w:r>
    </w:p>
    <w:p>
      <w:pPr>
        <w:pStyle w:val="ListParagraph"/>
        <w:numPr>
          <w:ilvl w:val="0"/>
          <w:numId w:val="4"/>
        </w:numPr>
        <w:spacing w:after="100"/>
      </w:pPr>
      <w:r>
        <w:rPr>
          <w:rFonts w:ascii="Arial" w:cs="Arial" w:eastAsia="Arial" w:hAnsi="Arial"/>
          <w:b/>
          <w:bCs/>
          <w:sz w:val="21"/>
          <w:szCs w:val="21"/>
        </w:rPr>
        <w:t xml:space="preserve">Build the improvement preview UI </w:t>
      </w:r>
      <w:r>
        <w:rPr>
          <w:rFonts w:ascii="Arial" w:cs="Arial" w:eastAsia="Arial" w:hAnsi="Arial"/>
          <w:sz w:val="21"/>
          <w:szCs w:val="21"/>
        </w:rPr>
        <w:t xml:space="preserve">— show users where Deep Match found better results (count, confidence deltas) without revealing the actual mapped URLs.</w:t>
      </w:r>
    </w:p>
    <w:p>
      <w:pPr>
        <w:pStyle w:val="ListParagraph"/>
        <w:numPr>
          <w:ilvl w:val="0"/>
          <w:numId w:val="4"/>
        </w:numPr>
        <w:spacing w:after="100"/>
      </w:pPr>
      <w:r>
        <w:rPr>
          <w:rFonts w:ascii="Arial" w:cs="Arial" w:eastAsia="Arial" w:hAnsi="Arial"/>
          <w:b/>
          <w:bCs/>
          <w:sz w:val="21"/>
          <w:szCs w:val="21"/>
        </w:rPr>
        <w:t xml:space="preserve">Integrate Stripe for one-time and subscription billing </w:t>
      </w:r>
      <w:r>
        <w:rPr>
          <w:rFonts w:ascii="Arial" w:cs="Arial" w:eastAsia="Arial" w:hAnsi="Arial"/>
          <w:sz w:val="21"/>
          <w:szCs w:val="21"/>
        </w:rPr>
        <w:t xml:space="preserve">— support both pay-per-project checkout and recurring agency plans with overage metering.</w:t>
      </w:r>
    </w:p>
    <w:p>
      <w:pPr>
        <w:pStyle w:val="ListParagraph"/>
        <w:numPr>
          <w:ilvl w:val="0"/>
          <w:numId w:val="4"/>
        </w:numPr>
        <w:spacing w:after="100"/>
      </w:pPr>
      <w:r>
        <w:rPr>
          <w:rFonts w:ascii="Arial" w:cs="Arial" w:eastAsia="Arial" w:hAnsi="Arial"/>
          <w:b/>
          <w:bCs/>
          <w:sz w:val="21"/>
          <w:szCs w:val="21"/>
        </w:rPr>
        <w:t xml:space="preserve">Update pricing page </w:t>
      </w:r>
      <w:r>
        <w:rPr>
          <w:rFonts w:ascii="Arial" w:cs="Arial" w:eastAsia="Arial" w:hAnsi="Arial"/>
          <w:sz w:val="21"/>
          <w:szCs w:val="21"/>
        </w:rPr>
        <w:t xml:space="preserve">— implement the two-panel layout: pay-per-project slider on the left, single agency plan on the right, with a clear visual divider between them.</w:t>
      </w:r>
    </w:p>
    <w:p>
      <w:pPr>
        <w:pStyle w:val="ListParagraph"/>
        <w:numPr>
          <w:ilvl w:val="0"/>
          <w:numId w:val="4"/>
        </w:numPr>
        <w:spacing w:after="100"/>
      </w:pPr>
      <w:r>
        <w:rPr>
          <w:rFonts w:ascii="Arial" w:cs="Arial" w:eastAsia="Arial" w:hAnsi="Arial"/>
          <w:b/>
          <w:bCs/>
          <w:sz w:val="21"/>
          <w:szCs w:val="21"/>
        </w:rPr>
        <w:t xml:space="preserve">Implement graduated pricing calculator </w:t>
      </w:r>
      <w:r>
        <w:rPr>
          <w:rFonts w:ascii="Arial" w:cs="Arial" w:eastAsia="Arial" w:hAnsi="Arial"/>
          <w:sz w:val="21"/>
          <w:szCs w:val="21"/>
        </w:rPr>
        <w:t xml:space="preserve">— build the slider that calculates the graduated total in real time based on uploaded sitemap page counts.</w:t>
      </w:r>
    </w:p>
    <w:p>
      <w:pPr>
        <w:pStyle w:val="ListParagraph"/>
        <w:numPr>
          <w:ilvl w:val="0"/>
          <w:numId w:val="4"/>
        </w:numPr>
        <w:spacing w:after="100"/>
      </w:pPr>
      <w:r>
        <w:rPr>
          <w:rFonts w:ascii="Arial" w:cs="Arial" w:eastAsia="Arial" w:hAnsi="Arial"/>
          <w:b/>
          <w:bCs/>
          <w:sz w:val="21"/>
          <w:szCs w:val="21"/>
        </w:rPr>
        <w:t xml:space="preserve">A/B test rate bands </w:t>
      </w:r>
      <w:r>
        <w:rPr>
          <w:rFonts w:ascii="Arial" w:cs="Arial" w:eastAsia="Arial" w:hAnsi="Arial"/>
          <w:sz w:val="21"/>
          <w:szCs w:val="21"/>
        </w:rPr>
        <w:t xml:space="preserve">— run pricing experiments on the per-page rates (especially the first two bands) to find the conversion-maximizing price curve. Start with the rates in this document as baseline.</w:t>
      </w:r>
    </w:p>
    <w:p>
      <w:pPr>
        <w:pStyle w:val="ListParagraph"/>
        <w:numPr>
          <w:ilvl w:val="0"/>
          <w:numId w:val="4"/>
        </w:numPr>
        <w:spacing w:after="100"/>
      </w:pPr>
      <w:r>
        <w:rPr>
          <w:rFonts w:ascii="Arial" w:cs="Arial" w:eastAsia="Arial" w:hAnsi="Arial"/>
          <w:b/>
          <w:bCs/>
          <w:sz w:val="21"/>
          <w:szCs w:val="21"/>
        </w:rPr>
        <w:t xml:space="preserve">Sunset the current credit system </w:t>
      </w:r>
      <w:r>
        <w:rPr>
          <w:rFonts w:ascii="Arial" w:cs="Arial" w:eastAsia="Arial" w:hAnsi="Arial"/>
          <w:sz w:val="21"/>
          <w:szCs w:val="21"/>
        </w:rPr>
        <w:t xml:space="preserve">— migrate existing customers to equivalent project-based pricing or the agency plan. Honor any remaining Founder Plan credits.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single" w:color="D97706" w:sz="2"/>
              <w:bottom w:val="single" w:color="D97706" w:sz="2"/>
              <w:right w:val="single" w:color="D97706" w:sz="2"/>
            </w:tcBorders>
            <w:shd w:fill="FFFBEB" w:val="clear"/>
            <w:tcMar>
              <w:top w:type="dxa" w:w="200"/>
              <w:left w:type="dxa" w:w="300"/>
              <w:bottom w:type="dxa" w:w="200"/>
              <w:right w:type="dxa" w:w="300"/>
            </w:tcMar>
          </w:tcPr>
          <w:p>
            <w:pPr>
              <w:spacing w:after="100"/>
            </w:pPr>
            <w:r>
              <w:rPr>
                <w:rFonts w:ascii="Arial" w:cs="Arial" w:eastAsia="Arial" w:hAnsi="Arial"/>
                <w:b/>
                <w:bCs/>
                <w:color w:val="D97706"/>
                <w:sz w:val="22"/>
                <w:szCs w:val="22"/>
              </w:rPr>
              <w:t xml:space="preserve">Key Reminder</w:t>
            </w:r>
          </w:p>
          <w:p>
            <w:r>
              <w:rPr>
                <w:rFonts w:ascii="Arial" w:cs="Arial" w:eastAsia="Arial" w:hAnsi="Arial"/>
                <w:color w:val="111827"/>
                <w:sz w:val="20"/>
                <w:szCs w:val="20"/>
              </w:rPr>
              <w:t xml:space="preserve">These prices are a starting point, not a final answer. The numbers in this document are informed by competitive analysis, value-based positioning, and pricing psychology — but real-world conversion data will refine them. Plan to review pricing quarterly for the first year, then annually once patterns stabilize.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3"/>
        <w:sz w:val="16"/>
        <w:szCs w:val="16"/>
      </w:rPr>
      <w:t xml:space="preserve">RedirX Pricing Strategy  |  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B5563"/>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2026-03-06T01:25:01.410Z</dcterms:created>
  <dcterms:modified xsi:type="dcterms:W3CDTF">2026-03-06T01:25:01.411Z</dcterms:modified>
</cp:coreProperties>
</file>

<file path=docProps/custom.xml><?xml version="1.0" encoding="utf-8"?>
<Properties xmlns="http://schemas.openxmlformats.org/officeDocument/2006/custom-properties" xmlns:vt="http://schemas.openxmlformats.org/officeDocument/2006/docPropsVTypes"/>
</file>