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1270173091"/>
        <w:docPartObj>
          <w:docPartGallery w:val="Table of Contents"/>
          <w:docPartUnique/>
        </w:docPartObj>
      </w:sdtPr>
      <w:sdtContent>
        <w:p w:rsidR="003313BC" w:rsidRPr="00D269B4" w:rsidRDefault="003313BC" w:rsidP="00374C18">
          <w:pPr>
            <w:pStyle w:val="af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74C18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3313BC" w:rsidRPr="00D269B4" w:rsidRDefault="00893C4C" w:rsidP="003313B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269B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313BC" w:rsidRPr="00D269B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69B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0715253" w:history="1">
            <w:r w:rsidR="003313BC" w:rsidRPr="00D269B4">
              <w:rPr>
                <w:rStyle w:val="af4"/>
                <w:rFonts w:ascii="Times New Roman" w:hAnsi="Times New Roman" w:cs="Times New Roman"/>
                <w:sz w:val="24"/>
                <w:szCs w:val="24"/>
                <w:lang w:val="en-US"/>
              </w:rPr>
              <w:t>1. Contrastive Proposal Encoding</w:t>
            </w:r>
            <w:r w:rsidR="003313BC"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313BC"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_Toc160715253 \h </w:instrText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313BC"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313BC" w:rsidRPr="00D269B4" w:rsidRDefault="00893C4C" w:rsidP="003313B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160715254" w:history="1">
            <w:r w:rsidR="003313BC" w:rsidRPr="00D269B4">
              <w:rPr>
                <w:rStyle w:val="af4"/>
                <w:rFonts w:ascii="Times New Roman" w:hAnsi="Times New Roman" w:cs="Times New Roman"/>
                <w:sz w:val="24"/>
                <w:szCs w:val="24"/>
                <w:lang w:val="en-US"/>
              </w:rPr>
              <w:t>1.1 Empirical Risk Minimization.</w:t>
            </w:r>
            <w:r w:rsidR="003313BC"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3313BC"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_Toc160715254 \h </w:instrText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3313BC"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Pr="00D269B4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3313BC" w:rsidRPr="00D269B4" w:rsidRDefault="00893C4C" w:rsidP="003313BC">
          <w:pPr>
            <w:rPr>
              <w:rFonts w:ascii="Times New Roman" w:hAnsi="Times New Roman" w:cs="Times New Roman"/>
              <w:sz w:val="24"/>
              <w:szCs w:val="24"/>
            </w:rPr>
          </w:pPr>
          <w:r w:rsidRPr="00D269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313BC" w:rsidRPr="00D269B4" w:rsidRDefault="003313BC" w:rsidP="003313BC">
      <w:pPr>
        <w:pStyle w:val="1"/>
        <w:keepNext w:val="0"/>
        <w:keepLines w:val="0"/>
        <w:pageBreakBefore/>
        <w:tabs>
          <w:tab w:val="left" w:pos="993"/>
        </w:tabs>
        <w:suppressAutoHyphens/>
        <w:spacing w:before="0" w:after="360" w:line="360" w:lineRule="auto"/>
        <w:ind w:left="709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Toc160715253"/>
      <w:r w:rsidRPr="00D269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1. Contrastive Proposal Encoding</w:t>
      </w:r>
      <w:bookmarkEnd w:id="0"/>
      <w:r w:rsidRPr="00D269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(CPE) Loss Inspired by supervised contrastive objectives in classification and identification, our CP E loss is defined as follows with considerations tailored for detection. Concretely, for a mini-batch of N RoI box features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{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=1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,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contrastive head encoded RoI feature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-th region proposal,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denotes its Intersectionover-Union (IOU) score with matched ground truth bounding box,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denotes the label of the ground truth,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E71BE2" w:rsidRPr="00BF3639" w:rsidTr="0011622E">
        <w:tc>
          <w:tcPr>
            <w:tcW w:w="8539" w:type="dxa"/>
            <w:vAlign w:val="center"/>
          </w:tcPr>
          <w:p w:rsidR="00E71BE2" w:rsidRPr="000857E6" w:rsidRDefault="00893C4C" w:rsidP="000857E6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·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:rsidR="00E71BE2" w:rsidRPr="00BF3639" w:rsidRDefault="00E71BE2" w:rsidP="00E71BE2">
            <w:pPr>
              <w:pStyle w:val="af5"/>
            </w:pPr>
            <w:bookmarkStart w:id="1" w:name="_Ref98172175"/>
            <w:r>
              <w:t>(</w:t>
            </w:r>
            <w:r w:rsidR="00893C4C">
              <w:fldChar w:fldCharType="begin"/>
            </w:r>
            <w:r>
              <w:instrText xml:space="preserve"> SEQ Формула \* ARABIC </w:instrText>
            </w:r>
            <w:r w:rsidR="00893C4C">
              <w:fldChar w:fldCharType="separate"/>
            </w:r>
            <w:r>
              <w:rPr>
                <w:noProof/>
              </w:rPr>
              <w:t>1</w:t>
            </w:r>
            <w:r w:rsidR="00893C4C">
              <w:fldChar w:fldCharType="end"/>
            </w:r>
            <w:r>
              <w:t>)</w:t>
            </w:r>
            <w:bookmarkEnd w:id="1"/>
          </w:p>
        </w:tc>
      </w:tr>
      <w:tr w:rsidR="00E71BE2" w:rsidRPr="00BF3639" w:rsidTr="00E71BE2">
        <w:tc>
          <w:tcPr>
            <w:tcW w:w="8539" w:type="dxa"/>
            <w:vAlign w:val="center"/>
          </w:tcPr>
          <w:p w:rsidR="00E71BE2" w:rsidRPr="00D269B4" w:rsidRDefault="00893C4C" w:rsidP="00E71BE2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- 1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}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≠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·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·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:rsidR="00E71BE2" w:rsidRPr="00E71BE2" w:rsidRDefault="00E71BE2" w:rsidP="00E71BE2">
            <w:pPr>
              <w:pStyle w:val="af5"/>
              <w:rPr>
                <w:oMath/>
                <w:rFonts w:ascii="Cambria Math" w:hAnsi="Cambria Math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71BE2" w:rsidRPr="00BF3639" w:rsidRDefault="00E71BE2" w:rsidP="00E71BE2">
            <w:pPr>
              <w:pStyle w:val="af5"/>
            </w:pPr>
            <w:bookmarkStart w:id="2" w:name="_Ref161313863"/>
            <w:r>
              <w:t>(</w:t>
            </w:r>
            <w:r w:rsidR="00893C4C">
              <w:fldChar w:fldCharType="begin"/>
            </w:r>
            <w:r>
              <w:instrText xml:space="preserve"> SEQ Формула \* ARABIC </w:instrText>
            </w:r>
            <w:r w:rsidR="00893C4C">
              <w:fldChar w:fldCharType="separate"/>
            </w:r>
            <w:r>
              <w:rPr>
                <w:noProof/>
              </w:rPr>
              <w:t>2</w:t>
            </w:r>
            <w:r w:rsidR="00893C4C">
              <w:fldChar w:fldCharType="end"/>
            </w:r>
            <w:r>
              <w:t>)</w:t>
            </w:r>
            <w:bookmarkEnd w:id="2"/>
          </w:p>
        </w:tc>
      </w:tr>
    </w:tbl>
    <w:p w:rsidR="003313BC" w:rsidRPr="00D269B4" w:rsidRDefault="00893C4C" w:rsidP="003313BC">
      <w:pPr>
        <w:pStyle w:val="af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3313BC" w:rsidRPr="00D269B4">
        <w:rPr>
          <w:lang w:val="en-US"/>
        </w:rPr>
        <w:t xml:space="preserve"> is the number of proposals with the same label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313BC" w:rsidRPr="00D269B4">
        <w:rPr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τ</m:t>
        </m:r>
      </m:oMath>
      <w:r w:rsidR="003313BC" w:rsidRPr="00D269B4">
        <w:rPr>
          <w:lang w:val="en-US"/>
        </w:rPr>
        <w:t xml:space="preserve"> is the hyper-parameter temperature as in InfoNCE.</w:t>
      </w:r>
    </w:p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We use unfrozen RPN and ROI with two modifications, </w:t>
      </w:r>
      <w:r w:rsidR="00893C4C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71BE2">
        <w:rPr>
          <w:rFonts w:ascii="Times New Roman" w:hAnsi="Times New Roman" w:cs="Times New Roman"/>
          <w:sz w:val="24"/>
          <w:szCs w:val="24"/>
          <w:lang w:val="en-US"/>
        </w:rPr>
        <w:instrText xml:space="preserve"> REF _Ref98172175 \h </w:instrText>
      </w:r>
      <w:r w:rsidR="00893C4C">
        <w:rPr>
          <w:rFonts w:ascii="Times New Roman" w:hAnsi="Times New Roman" w:cs="Times New Roman"/>
          <w:sz w:val="24"/>
          <w:szCs w:val="24"/>
          <w:lang w:val="en-US"/>
        </w:rPr>
      </w:r>
      <w:r w:rsidR="00893C4C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71BE2" w:rsidRPr="00E71BE2">
        <w:rPr>
          <w:lang w:val="en-US"/>
        </w:rPr>
        <w:t>(</w:t>
      </w:r>
      <w:r w:rsidR="00E71BE2" w:rsidRPr="00E71BE2">
        <w:rPr>
          <w:noProof/>
          <w:lang w:val="en-US"/>
        </w:rPr>
        <w:t>1</w:t>
      </w:r>
      <w:r w:rsidR="00E71BE2" w:rsidRPr="00E71BE2">
        <w:rPr>
          <w:lang w:val="en-US"/>
        </w:rPr>
        <w:t>)</w:t>
      </w:r>
      <w:r w:rsidR="00893C4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double the maximum number of proposals kept after NMS, this brings more foreground proposals for novel instances, and </w:t>
      </w:r>
      <w:r w:rsidR="00893C4C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71BE2">
        <w:rPr>
          <w:rFonts w:ascii="Times New Roman" w:hAnsi="Times New Roman" w:cs="Times New Roman"/>
          <w:sz w:val="24"/>
          <w:szCs w:val="24"/>
          <w:lang w:val="en-US"/>
        </w:rPr>
        <w:instrText xml:space="preserve"> REF _Ref161313863 \h </w:instrText>
      </w:r>
      <w:r w:rsidR="00893C4C">
        <w:rPr>
          <w:rFonts w:ascii="Times New Roman" w:hAnsi="Times New Roman" w:cs="Times New Roman"/>
          <w:sz w:val="24"/>
          <w:szCs w:val="24"/>
          <w:lang w:val="en-US"/>
        </w:rPr>
      </w:r>
      <w:r w:rsidR="00893C4C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71BE2" w:rsidRPr="00E71BE2">
        <w:rPr>
          <w:lang w:val="en-US"/>
        </w:rPr>
        <w:t>(</w:t>
      </w:r>
      <w:r w:rsidR="00E71BE2" w:rsidRPr="00E71BE2">
        <w:rPr>
          <w:noProof/>
          <w:lang w:val="en-US"/>
        </w:rPr>
        <w:t>2</w:t>
      </w:r>
      <w:r w:rsidR="00E71BE2" w:rsidRPr="00E71BE2">
        <w:rPr>
          <w:lang w:val="en-US"/>
        </w:rPr>
        <w:t>)</w:t>
      </w:r>
      <w:r w:rsidR="00893C4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7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9B4">
        <w:rPr>
          <w:rFonts w:ascii="Times New Roman" w:hAnsi="Times New Roman" w:cs="Times New Roman"/>
          <w:sz w:val="24"/>
          <w:szCs w:val="24"/>
          <w:lang w:val="en-US"/>
        </w:rPr>
        <w:t>halving the number of sampled proposals in RoI head used for loss computation</w:t>
      </w:r>
    </w:p>
    <w:p w:rsidR="003313BC" w:rsidRPr="00D269B4" w:rsidRDefault="003313BC" w:rsidP="003313BC">
      <w:pPr>
        <w:pStyle w:val="2"/>
        <w:widowControl w:val="0"/>
        <w:numPr>
          <w:ilvl w:val="1"/>
          <w:numId w:val="0"/>
        </w:numPr>
        <w:tabs>
          <w:tab w:val="left" w:pos="1134"/>
        </w:tabs>
        <w:suppressAutoHyphens/>
        <w:spacing w:before="340" w:after="220"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3" w:name="_Toc160715254"/>
      <w:r w:rsidRPr="00D269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1.1 Empirical Risk Minimization.</w:t>
      </w:r>
      <w:bookmarkEnd w:id="3"/>
      <w:r w:rsidRPr="00D269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313BC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Given a hypothesis h, we want to minimize its expected risk R, which is the loss measured with respect to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>. Specifically,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0B60F5" w:rsidRPr="00BF3639" w:rsidTr="0011622E">
        <w:tc>
          <w:tcPr>
            <w:tcW w:w="8539" w:type="dxa"/>
            <w:vAlign w:val="center"/>
          </w:tcPr>
          <w:p w:rsidR="000B60F5" w:rsidRPr="00D269B4" w:rsidRDefault="000B60F5" w:rsidP="000B60F5">
            <w:pPr>
              <w:pStyle w:val="af5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) 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 </m:t>
                    </m:r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 = 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[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)]</m:t>
                    </m:r>
                  </m:e>
                </m:nary>
              </m:oMath>
            </m:oMathPara>
          </w:p>
          <w:p w:rsidR="000B60F5" w:rsidRPr="00BF3639" w:rsidRDefault="000B60F5" w:rsidP="0011622E">
            <w:pPr>
              <w:pStyle w:val="af5"/>
            </w:pPr>
          </w:p>
        </w:tc>
        <w:tc>
          <w:tcPr>
            <w:tcW w:w="709" w:type="dxa"/>
            <w:vAlign w:val="center"/>
          </w:tcPr>
          <w:p w:rsidR="000B60F5" w:rsidRPr="00BF3639" w:rsidRDefault="000B60F5" w:rsidP="0011622E">
            <w:pPr>
              <w:pStyle w:val="af5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3313BC" w:rsidRDefault="003313BC" w:rsidP="003313BC">
      <w:pPr>
        <w:pStyle w:val="af6"/>
        <w:rPr>
          <w:lang w:val="en-US"/>
        </w:rPr>
      </w:pPr>
      <w:r w:rsidRPr="00D269B4">
        <w:rPr>
          <w:lang w:val="en-US"/>
        </w:rPr>
        <w:t xml:space="preserve">As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is unknown, the empirical risk (which is the average of sample losses over the training set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D269B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I</m:t>
        </m:r>
      </m:oMath>
      <w:r w:rsidRPr="00D269B4">
        <w:rPr>
          <w:lang w:val="en-US"/>
        </w:rPr>
        <w:t xml:space="preserve"> samples)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0B60F5" w:rsidRPr="00BF3639" w:rsidTr="0011622E">
        <w:tc>
          <w:tcPr>
            <w:tcW w:w="8539" w:type="dxa"/>
            <w:vAlign w:val="center"/>
          </w:tcPr>
          <w:p w:rsidR="000B60F5" w:rsidRPr="00D269B4" w:rsidRDefault="000B60F5" w:rsidP="000B60F5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) 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 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),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, </m:t>
                </m:r>
              </m:oMath>
            </m:oMathPara>
          </w:p>
          <w:p w:rsidR="000B60F5" w:rsidRPr="00BF3639" w:rsidRDefault="000B60F5" w:rsidP="0011622E">
            <w:pPr>
              <w:pStyle w:val="af5"/>
            </w:pPr>
          </w:p>
        </w:tc>
        <w:tc>
          <w:tcPr>
            <w:tcW w:w="709" w:type="dxa"/>
            <w:vAlign w:val="center"/>
          </w:tcPr>
          <w:p w:rsidR="000B60F5" w:rsidRPr="00BF3639" w:rsidRDefault="000B60F5" w:rsidP="0011622E">
            <w:pPr>
              <w:pStyle w:val="af5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3313BC" w:rsidRPr="00D269B4" w:rsidRDefault="003313BC" w:rsidP="003313BC">
      <w:pPr>
        <w:pStyle w:val="af6"/>
        <w:rPr>
          <w:lang w:val="en-US"/>
        </w:rPr>
      </w:pPr>
      <w:r w:rsidRPr="00D269B4">
        <w:rPr>
          <w:lang w:val="en-US"/>
        </w:rPr>
        <w:t xml:space="preserve">is usually used as a proxy for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, leading to empirical risk minimization (with possibly some regularizers). For illustration, let </w:t>
      </w:r>
    </w:p>
    <w:p w:rsidR="003313BC" w:rsidRPr="00D269B4" w:rsidRDefault="00893C4C" w:rsidP="003313BC">
      <w:pPr>
        <w:pStyle w:val="af"/>
        <w:numPr>
          <w:ilvl w:val="0"/>
          <w:numId w:val="12"/>
        </w:numPr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h</m:t>
            </m:r>
          </m:e>
        </m:acc>
      </m:oMath>
      <w:r w:rsidR="003313BC" w:rsidRPr="00D269B4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arg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min</m:t>
            </m:r>
          </m:fName>
          <m:e>
            <m:r>
              <w:rPr>
                <w:sz w:val="24"/>
                <w:szCs w:val="24"/>
              </w:rPr>
              <m:t>h</m:t>
            </m:r>
          </m:e>
        </m:func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)</m:t>
        </m:r>
      </m:oMath>
      <w:r w:rsidR="003313BC" w:rsidRPr="00D269B4">
        <w:rPr>
          <w:sz w:val="24"/>
          <w:szCs w:val="24"/>
        </w:rPr>
        <w:t xml:space="preserve"> be the function that minimizes the expected risk; </w:t>
      </w:r>
    </w:p>
    <w:p w:rsidR="003313BC" w:rsidRPr="00D269B4" w:rsidRDefault="00893C4C" w:rsidP="003313BC">
      <w:pPr>
        <w:pStyle w:val="af"/>
        <w:numPr>
          <w:ilvl w:val="0"/>
          <w:numId w:val="12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h</m:t>
            </m:r>
          </m:e>
          <m:sup>
            <m:r>
              <w:rPr>
                <w:rFonts w:hAnsi="Cambria Math"/>
                <w:sz w:val="24"/>
                <w:szCs w:val="24"/>
              </w:rPr>
              <m:t>*</m:t>
            </m:r>
          </m:sup>
        </m:sSup>
      </m:oMath>
      <w:r w:rsidR="003313BC" w:rsidRPr="00D269B4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arg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min</m:t>
            </m:r>
          </m:fName>
          <m:e>
            <m:r>
              <w:rPr>
                <w:sz w:val="24"/>
                <w:szCs w:val="24"/>
              </w:rPr>
              <m:t>h</m:t>
            </m:r>
          </m:e>
        </m:func>
        <m:r>
          <w:rPr>
            <w:rFonts w:ascii="Cambria Math" w:hAnsi="Cambria Math"/>
            <w:sz w:val="24"/>
            <w:szCs w:val="24"/>
          </w:rPr>
          <m:t>∈H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)</m:t>
        </m:r>
      </m:oMath>
      <w:r w:rsidR="003313BC" w:rsidRPr="00D269B4">
        <w:rPr>
          <w:sz w:val="24"/>
          <w:szCs w:val="24"/>
        </w:rPr>
        <w:t xml:space="preserve"> be the function in H that minimizes the expected risk;</w:t>
      </w:r>
    </w:p>
    <w:p w:rsidR="003313BC" w:rsidRPr="00D269B4" w:rsidRDefault="00893C4C" w:rsidP="003313BC">
      <w:pPr>
        <w:pStyle w:val="af"/>
        <w:numPr>
          <w:ilvl w:val="0"/>
          <w:numId w:val="1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3313BC" w:rsidRPr="00D269B4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arg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/>
                <w:sz w:val="24"/>
                <w:szCs w:val="24"/>
              </w:rPr>
              <m:t>h</m:t>
            </m:r>
          </m:e>
        </m:func>
        <m:r>
          <w:rPr>
            <w:rFonts w:ascii="Cambria Math" w:hAnsi="Cambria Math"/>
            <w:sz w:val="24"/>
            <w:szCs w:val="24"/>
          </w:rPr>
          <m:t>∈H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RI</m:t>
        </m:r>
        <m:r>
          <w:rPr>
            <w:rFonts w:ascii="Cambria Math"/>
            <w:sz w:val="24"/>
            <w:szCs w:val="24"/>
          </w:rPr>
          <m:t xml:space="preserve"> (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)</m:t>
        </m:r>
      </m:oMath>
      <w:r w:rsidR="003313BC" w:rsidRPr="00D269B4">
        <w:rPr>
          <w:sz w:val="24"/>
          <w:szCs w:val="24"/>
        </w:rPr>
        <w:t xml:space="preserve"> be the function in H that minimizes the empirical risk. </w:t>
      </w:r>
    </w:p>
    <w:p w:rsidR="003313BC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</m:acc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unknown, one has to approximate it by some </w:t>
      </w:r>
      <m:oMath>
        <m:r>
          <w:rPr>
            <w:rFonts w:ascii="Times New Roman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val="en-US"/>
              </w:rPr>
              <m:t>*</m:t>
            </m:r>
          </m:sup>
        </m:sSup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the best approximation for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</m:acc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, while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the best hypothesis 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obtained by empirical risk minimization. For simplicity, we assume that </w:t>
      </w:r>
      <m:oMath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</m:acc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val="en-US"/>
              </w:rPr>
              <m:t>*</m:t>
            </m:r>
          </m:sup>
        </m:sSup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are unique. The total error can be decomposed as:</w:t>
      </w:r>
    </w:p>
    <w:tbl>
      <w:tblPr>
        <w:tblW w:w="9248" w:type="dxa"/>
        <w:tblInd w:w="108" w:type="dxa"/>
        <w:tblLook w:val="04A0"/>
      </w:tblPr>
      <w:tblGrid>
        <w:gridCol w:w="8539"/>
        <w:gridCol w:w="709"/>
      </w:tblGrid>
      <w:tr w:rsidR="000B60F5" w:rsidRPr="00BF3639" w:rsidTr="0011622E">
        <w:tc>
          <w:tcPr>
            <w:tcW w:w="8539" w:type="dxa"/>
            <w:vAlign w:val="center"/>
          </w:tcPr>
          <w:p w:rsidR="000B60F5" w:rsidRPr="00D269B4" w:rsidRDefault="000B60F5" w:rsidP="000B60F5">
            <w:pPr>
              <w:pStyle w:val="af5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)] = </m:t>
                </m:r>
                <m:limLow>
                  <m:limLow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app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+ </m:t>
                </m:r>
                <m:limLow>
                  <m:limLow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)]|</m:t>
                        </m:r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est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 xml:space="preserve"> 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)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,</m:t>
                </m:r>
              </m:oMath>
            </m:oMathPara>
          </w:p>
          <w:p w:rsidR="000B60F5" w:rsidRPr="00BF3639" w:rsidRDefault="000B60F5" w:rsidP="0011622E">
            <w:pPr>
              <w:pStyle w:val="af5"/>
            </w:pPr>
          </w:p>
        </w:tc>
        <w:tc>
          <w:tcPr>
            <w:tcW w:w="709" w:type="dxa"/>
            <w:vAlign w:val="center"/>
          </w:tcPr>
          <w:p w:rsidR="000B60F5" w:rsidRPr="00BF3639" w:rsidRDefault="000B60F5" w:rsidP="0011622E">
            <w:pPr>
              <w:pStyle w:val="af5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3313BC" w:rsidRPr="00D269B4" w:rsidRDefault="003313BC" w:rsidP="003313BC">
      <w:pPr>
        <w:pStyle w:val="af6"/>
        <w:rPr>
          <w:lang w:val="en-US"/>
        </w:rPr>
      </w:pPr>
      <w:r w:rsidRPr="00D269B4">
        <w:rPr>
          <w:lang w:val="en-US"/>
        </w:rPr>
        <w:t xml:space="preserve">where the expectation is with respect to the random choice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D269B4">
        <w:rPr>
          <w:lang w:val="en-US"/>
        </w:rPr>
        <w:t xml:space="preserve">. The approximation error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app</m:t>
            </m:r>
          </m:sub>
        </m:sSub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measures how close the functions in </w:t>
      </w:r>
      <m:oMath>
        <m:r>
          <w:rPr>
            <w:rFonts w:ascii="Cambria Math" w:hAnsi="Cambria Math"/>
            <w:lang w:val="en-US"/>
          </w:rPr>
          <m:t>H</m:t>
        </m:r>
      </m:oMath>
      <w:r w:rsidRPr="00D269B4">
        <w:rPr>
          <w:lang w:val="en-US"/>
        </w:rPr>
        <w:t xml:space="preserve"> can approximate the optimal hypothesis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lang w:val="en-US"/>
              </w:rPr>
              <m:t>h</m:t>
            </m:r>
          </m:e>
        </m:acc>
      </m:oMath>
      <w:r w:rsidRPr="00D269B4">
        <w:rPr>
          <w:lang w:val="en-US"/>
        </w:rPr>
        <w:t xml:space="preserve">, and the estimation error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est</m:t>
            </m:r>
          </m:sub>
        </m:sSub>
        <m:r>
          <w:rPr>
            <w:rFonts w:asci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/>
            <w:lang w:val="en-US"/>
          </w:rPr>
          <m:t xml:space="preserve"> 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/>
            <w:lang w:val="en-US"/>
          </w:rPr>
          <m:t xml:space="preserve">) </m:t>
        </m:r>
      </m:oMath>
      <w:r w:rsidRPr="00D269B4">
        <w:rPr>
          <w:lang w:val="en-US"/>
        </w:rPr>
        <w:t xml:space="preserve">measures the effect of minimizing the empirical risk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/>
            <w:lang w:val="en-US"/>
          </w:rPr>
          <m:t>(</m:t>
        </m:r>
        <m:r>
          <w:rPr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instead of the expected risk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/>
            <w:lang w:val="en-US"/>
          </w:rPr>
          <m:t>(</m:t>
        </m:r>
        <m:r>
          <w:rPr>
            <w:lang w:val="en-US"/>
          </w:rPr>
          <m:t>h</m:t>
        </m:r>
        <m: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within </w:t>
      </w:r>
      <m:oMath>
        <m:r>
          <w:rPr>
            <w:rFonts w:ascii="Cambria Math" w:hAnsi="Cambria Math"/>
            <w:lang w:val="en-US"/>
          </w:rPr>
          <m:t>H</m:t>
        </m:r>
      </m:oMath>
      <w:r w:rsidRPr="00D269B4">
        <w:rPr>
          <w:lang w:val="en-US"/>
        </w:rPr>
        <w:t xml:space="preserve"> . </w:t>
      </w:r>
    </w:p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>Recently, more complicated task-invariant embedding models are learned via meta-learning 2 methods:</w:t>
      </w:r>
    </w:p>
    <w:p w:rsidR="003313BC" w:rsidRPr="00D269B4" w:rsidRDefault="003313BC" w:rsidP="003313BC">
      <w:pPr>
        <w:pStyle w:val="af2"/>
        <w:numPr>
          <w:ilvl w:val="0"/>
          <w:numId w:val="14"/>
        </w:numPr>
        <w:rPr>
          <w:sz w:val="24"/>
          <w:szCs w:val="24"/>
        </w:rPr>
      </w:pPr>
      <w:r w:rsidRPr="00D269B4">
        <w:rPr>
          <w:sz w:val="24"/>
          <w:szCs w:val="24"/>
        </w:rPr>
        <w:t>Matching Nets and its variants;</w:t>
      </w:r>
    </w:p>
    <w:p w:rsidR="003313BC" w:rsidRPr="00D269B4" w:rsidRDefault="003313BC" w:rsidP="003313BC">
      <w:pPr>
        <w:pStyle w:val="af2"/>
        <w:numPr>
          <w:ilvl w:val="0"/>
          <w:numId w:val="14"/>
        </w:numPr>
        <w:rPr>
          <w:sz w:val="24"/>
          <w:szCs w:val="24"/>
        </w:rPr>
      </w:pPr>
      <w:r w:rsidRPr="00D269B4">
        <w:rPr>
          <w:sz w:val="24"/>
          <w:szCs w:val="24"/>
        </w:rPr>
        <w:t>Prototypical Networks (ProtoNet) and its variants;</w:t>
      </w:r>
    </w:p>
    <w:p w:rsidR="003313BC" w:rsidRPr="00D269B4" w:rsidRDefault="003313BC" w:rsidP="003313BC">
      <w:pPr>
        <w:pStyle w:val="af2"/>
        <w:numPr>
          <w:ilvl w:val="0"/>
          <w:numId w:val="14"/>
        </w:numPr>
        <w:rPr>
          <w:sz w:val="24"/>
          <w:szCs w:val="24"/>
        </w:rPr>
      </w:pPr>
      <w:r w:rsidRPr="00D269B4">
        <w:rPr>
          <w:sz w:val="24"/>
          <w:szCs w:val="24"/>
        </w:rPr>
        <w:t xml:space="preserve">Other methods. </w:t>
      </w:r>
    </w:p>
    <w:p w:rsidR="003313BC" w:rsidRPr="00D269B4" w:rsidRDefault="003313BC" w:rsidP="003313BC">
      <w:pPr>
        <w:pStyle w:val="af8"/>
        <w:rPr>
          <w:rFonts w:cs="Times New Roman"/>
          <w:szCs w:val="24"/>
          <w:lang w:val="en-US"/>
        </w:rPr>
      </w:pPr>
      <w:r w:rsidRPr="00D269B4">
        <w:rPr>
          <w:rFonts w:cs="Times New Roman"/>
          <w:noProof/>
          <w:szCs w:val="24"/>
        </w:rPr>
        <w:drawing>
          <wp:inline distT="0" distB="0" distL="0" distR="0">
            <wp:extent cx="5771515" cy="286766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BC" w:rsidRPr="00D269B4" w:rsidRDefault="00D269B4" w:rsidP="003313BC">
      <w:pPr>
        <w:pStyle w:val="-0"/>
        <w:rPr>
          <w:lang w:val="en-US"/>
        </w:rPr>
      </w:pPr>
      <w:r w:rsidRPr="00D269B4">
        <w:rPr>
          <w:lang w:val="en-US"/>
        </w:rPr>
        <w:t>Fig. 1 -</w:t>
      </w:r>
      <w:r w:rsidR="003313BC" w:rsidRPr="00D269B4">
        <w:rPr>
          <w:lang w:val="en-US"/>
        </w:rPr>
        <w:t xml:space="preserve"> Comparison of learning with sufficient and few training samples.</w:t>
      </w:r>
    </w:p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However, in FSL, the number of available examples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small. The empirical risk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may then be far from being a good approximation of the expected risk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, and the resultant empirical risk minimizer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overfits. Indeed, this is the core issue of FSL supervised learning, i.e., the empirical risk minimizer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is no longer reliable. Therefore, FSL is much harder. A comparison of learning with sufficient and few training samples is shown in Figure 1.</w:t>
      </w:r>
    </w:p>
    <w:p w:rsidR="003313BC" w:rsidRPr="00D269B4" w:rsidRDefault="003313BC" w:rsidP="003313BC">
      <w:pPr>
        <w:pStyle w:val="af8"/>
        <w:rPr>
          <w:rFonts w:cs="Times New Roman"/>
          <w:szCs w:val="24"/>
          <w:lang w:val="en-US"/>
        </w:rPr>
      </w:pPr>
      <w:r w:rsidRPr="00D269B4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939790" cy="2514919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BC" w:rsidRPr="00D269B4" w:rsidRDefault="00D269B4" w:rsidP="003313BC">
      <w:pPr>
        <w:pStyle w:val="-0"/>
        <w:rPr>
          <w:lang w:val="en-US"/>
        </w:rPr>
      </w:pPr>
      <w:r w:rsidRPr="00D269B4">
        <w:rPr>
          <w:lang w:val="en-US"/>
        </w:rPr>
        <w:t>Fig. 2 -</w:t>
      </w:r>
      <w:r w:rsidR="003313BC" w:rsidRPr="00D269B4">
        <w:rPr>
          <w:lang w:val="en-US"/>
        </w:rPr>
        <w:t xml:space="preserve"> Different perspectives on how FSL methods solve the few-shot problem.</w:t>
      </w:r>
    </w:p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To alleviate the problem of having an unreliable empirical risk minimizer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 in FSL supervised learning, prior knowledge must be used. Based on which aspect is enhanced using prior knowledge, existing FSL works can be categorized into the following perspectives (Figure 2).</w:t>
      </w:r>
    </w:p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 xml:space="preserve">Depending on what samples are transformed and added to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train</m:t>
            </m:r>
          </m:sub>
        </m:sSub>
      </m:oMath>
      <w:r w:rsidRPr="00D269B4">
        <w:rPr>
          <w:rFonts w:ascii="Times New Roman" w:hAnsi="Times New Roman" w:cs="Times New Roman"/>
          <w:sz w:val="24"/>
          <w:szCs w:val="24"/>
          <w:lang w:val="en-US"/>
        </w:rPr>
        <w:t>, we categorize these methods as shown in Table 1.</w:t>
      </w:r>
    </w:p>
    <w:p w:rsidR="003313BC" w:rsidRPr="00D269B4" w:rsidRDefault="003313BC" w:rsidP="003313BC">
      <w:pPr>
        <w:pStyle w:val="-"/>
        <w:rPr>
          <w:lang w:val="en-US"/>
        </w:rPr>
      </w:pPr>
      <w:r w:rsidRPr="00D269B4">
        <w:rPr>
          <w:lang w:val="en-US"/>
        </w:rPr>
        <w:t>Table 1</w:t>
      </w:r>
      <w:r w:rsidR="00D269B4" w:rsidRPr="00D269B4">
        <w:rPr>
          <w:lang w:val="en-US"/>
        </w:rPr>
        <w:t xml:space="preserve"> -</w:t>
      </w:r>
      <w:r w:rsidRPr="00D269B4">
        <w:rPr>
          <w:lang w:val="en-US"/>
        </w:rPr>
        <w:t xml:space="preserve"> Characteristics for FSL methods focusing on the data perspective. The transformer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/>
            <w:lang w:val="en-US"/>
          </w:rPr>
          <m:t>(</m:t>
        </m:r>
        <m:r>
          <m:rPr>
            <m:sty m:val="p"/>
          </m:rPr>
          <w:rPr>
            <w:rFonts w:ascii="Cambria Math"/>
            <w:lang w:val="en-US"/>
          </w:rPr>
          <m:t>·</m:t>
        </m:r>
        <m:r>
          <m:rPr>
            <m:sty m:val="p"/>
          </m:rPr>
          <w:rPr>
            <w:rFonts w:ascii="Cambria Math"/>
            <w:lang w:val="en-US"/>
          </w:rPr>
          <m:t xml:space="preserve">) </m:t>
        </m:r>
      </m:oMath>
      <w:r w:rsidRPr="00D269B4">
        <w:rPr>
          <w:lang w:val="en-US"/>
        </w:rPr>
        <w:t xml:space="preserve">takes input </w:t>
      </w:r>
      <m:oMath>
        <m:r>
          <m:rPr>
            <m:sty m:val="p"/>
          </m:rPr>
          <w:rPr>
            <w:rFonts w:asci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  <w:lang w:val="en-US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and returns synthesized sample </w:t>
      </w:r>
      <m:oMath>
        <m:r>
          <m:rPr>
            <m:sty m:val="p"/>
          </m:rPr>
          <w:rPr>
            <w:rFonts w:ascii="Cambria Math"/>
            <w:lang w:val="en-US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/>
            <w:lang w:val="en-US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/>
            <w:lang w:val="en-US"/>
          </w:rPr>
          <m:t>)</m:t>
        </m:r>
      </m:oMath>
      <w:r w:rsidRPr="00D269B4">
        <w:rPr>
          <w:lang w:val="en-US"/>
        </w:rPr>
        <w:t xml:space="preserve"> to augment the few-shot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D269B4">
        <w:rPr>
          <w:lang w:val="en-US"/>
        </w:rPr>
        <w:t>.</w:t>
      </w:r>
    </w:p>
    <w:tbl>
      <w:tblPr>
        <w:tblStyle w:val="af9"/>
        <w:tblW w:w="0" w:type="auto"/>
        <w:tblLook w:val="04A0"/>
      </w:tblPr>
      <w:tblGrid>
        <w:gridCol w:w="2392"/>
        <w:gridCol w:w="2392"/>
        <w:gridCol w:w="2393"/>
        <w:gridCol w:w="2393"/>
      </w:tblGrid>
      <w:tr w:rsidR="003313BC" w:rsidRPr="00D269B4" w:rsidTr="0011622E"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category </w:t>
            </w:r>
          </w:p>
        </w:tc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input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transformer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output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</w:tr>
      <w:tr w:rsidR="003313BC" w:rsidRPr="00D269B4" w:rsidTr="0011622E"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transforming samples from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original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learned transformation function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 xml:space="preserve">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)</m:t>
                </m:r>
              </m:oMath>
            </m:oMathPara>
          </w:p>
        </w:tc>
      </w:tr>
      <w:tr w:rsidR="003313BC" w:rsidRPr="00D269B4" w:rsidTr="0011622E"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transforming samples from a weakly labeled or unlabeled data set</w:t>
            </w:r>
          </w:p>
        </w:tc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weakly labeled or unlabeled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)</m:t>
              </m:r>
            </m:oMath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a predictor trained from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oMath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  <w:lang w:val="en-US"/>
                  </w:rPr>
                  <m:t>))</m:t>
                </m:r>
              </m:oMath>
            </m:oMathPara>
          </w:p>
        </w:tc>
      </w:tr>
      <w:tr w:rsidR="003313BC" w:rsidRPr="00D269B4" w:rsidTr="0011622E"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transforming samples from similar data sets</w:t>
            </w:r>
          </w:p>
        </w:tc>
        <w:tc>
          <w:tcPr>
            <w:tcW w:w="2392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samples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/>
                  <w:lang w:val="en-US"/>
                </w:rPr>
                <m:t>}</m:t>
              </m:r>
            </m:oMath>
            <w:r w:rsidRPr="00D269B4">
              <w:rPr>
                <w:lang w:val="en-US"/>
              </w:rPr>
              <w:t xml:space="preserve"> from similar data sets</w:t>
            </w:r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an aggregator to combine </w:t>
            </w:r>
            <m:oMath>
              <m:r>
                <m:rPr>
                  <m:sty m:val="p"/>
                </m:rPr>
                <w:rPr>
                  <w:rFonts w:ascii="Cambria Math"/>
                  <w:lang w:val="en-US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/>
                  <w:lang w:val="en-US"/>
                </w:rPr>
                <m:t>}</m:t>
              </m:r>
            </m:oMath>
          </w:p>
        </w:tc>
        <w:tc>
          <w:tcPr>
            <w:tcW w:w="2393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 xml:space="preserve"> ({</m:t>
                </m:r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/>
                    <w:lang w:val="en-US"/>
                  </w:rPr>
                  <m:t xml:space="preserve">}),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/>
                    <w:lang w:val="en-US"/>
                  </w:rPr>
                  <m:t>({</m:t>
                </m:r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/>
                    <w:lang w:val="en-US"/>
                  </w:rPr>
                  <m:t>}))</m:t>
                </m:r>
              </m:oMath>
            </m:oMathPara>
          </w:p>
        </w:tc>
      </w:tr>
    </w:tbl>
    <w:p w:rsidR="003313BC" w:rsidRPr="00D269B4" w:rsidRDefault="003313BC" w:rsidP="003313BC">
      <w:pPr>
        <w:pStyle w:val="-"/>
        <w:rPr>
          <w:lang w:val="en-US"/>
        </w:rPr>
      </w:pPr>
    </w:p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9B4">
        <w:rPr>
          <w:rFonts w:ascii="Times New Roman" w:hAnsi="Times New Roman" w:cs="Times New Roman"/>
          <w:sz w:val="24"/>
          <w:szCs w:val="24"/>
          <w:lang w:val="en-US"/>
        </w:rPr>
        <w:t>In terms of what prior knowledge is used, methods belonging to this category can be further classified into four types (Table 2).</w:t>
      </w:r>
    </w:p>
    <w:p w:rsidR="003313BC" w:rsidRPr="00D269B4" w:rsidRDefault="003313BC" w:rsidP="003313BC">
      <w:pPr>
        <w:pStyle w:val="-"/>
        <w:rPr>
          <w:lang w:val="en-US"/>
        </w:rPr>
      </w:pPr>
      <w:r w:rsidRPr="00D269B4">
        <w:rPr>
          <w:lang w:val="en-US"/>
        </w:rPr>
        <w:t>Table 2</w:t>
      </w:r>
      <w:r w:rsidR="00D269B4" w:rsidRPr="00D269B4">
        <w:rPr>
          <w:lang w:val="en-US"/>
        </w:rPr>
        <w:t xml:space="preserve"> -</w:t>
      </w:r>
      <w:r w:rsidRPr="00D269B4">
        <w:rPr>
          <w:lang w:val="en-US"/>
        </w:rPr>
        <w:t xml:space="preserve"> Characteristics for FSL methods focusing on the model perspective.</w:t>
      </w:r>
    </w:p>
    <w:tbl>
      <w:tblPr>
        <w:tblStyle w:val="af9"/>
        <w:tblW w:w="0" w:type="auto"/>
        <w:tblLook w:val="04A0"/>
      </w:tblPr>
      <w:tblGrid>
        <w:gridCol w:w="3190"/>
        <w:gridCol w:w="3190"/>
        <w:gridCol w:w="3190"/>
      </w:tblGrid>
      <w:tr w:rsidR="003313BC" w:rsidRPr="00D269B4" w:rsidTr="0011622E"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strategy </w:t>
            </w:r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prior knowledge</w:t>
            </w:r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how to constrain </w:t>
            </w:r>
            <m:oMath>
              <m:r>
                <w:rPr>
                  <w:rFonts w:ascii="Cambria Math" w:hAnsi="Cambria Math"/>
                  <w:lang w:val="en-US"/>
                </w:rPr>
                <m:t>H</m:t>
              </m:r>
            </m:oMath>
          </w:p>
        </w:tc>
      </w:tr>
      <w:tr w:rsidR="003313BC" w:rsidRPr="00D269B4" w:rsidTr="0011622E"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multitask learning</w:t>
            </w:r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Pr="00D269B4">
              <w:rPr>
                <w:lang w:val="en-US"/>
              </w:rPr>
              <w:t xml:space="preserve"> with their data sets </w:t>
            </w:r>
            <m:oMath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share/tie parameter</w:t>
            </w:r>
          </w:p>
        </w:tc>
      </w:tr>
      <w:tr w:rsidR="003313BC" w:rsidRPr="000B60F5" w:rsidTr="0011622E"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embedding learning</w:t>
            </w:r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embedding learned from/together with 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project samples to a smaller embedding space in which similar and dissimilar samples can be easily discriminated</w:t>
            </w:r>
          </w:p>
        </w:tc>
      </w:tr>
      <w:tr w:rsidR="003313BC" w:rsidRPr="000B60F5" w:rsidTr="0011622E"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learning with external memory</w:t>
            </w:r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embedding learned from 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Pr="00D269B4">
              <w:rPr>
                <w:lang w:val="en-US"/>
              </w:rPr>
              <w:t xml:space="preserve"> to interact with memory</w:t>
            </w:r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refine samples using key-value pairs stored in memory</w:t>
            </w:r>
          </w:p>
        </w:tc>
      </w:tr>
      <w:tr w:rsidR="003313BC" w:rsidRPr="000B60F5" w:rsidTr="0011622E"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lastRenderedPageBreak/>
              <w:t>generative modeling</w:t>
            </w:r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 xml:space="preserve">prior model learned from other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oMath>
          </w:p>
        </w:tc>
        <w:tc>
          <w:tcPr>
            <w:tcW w:w="3190" w:type="dxa"/>
          </w:tcPr>
          <w:p w:rsidR="003313BC" w:rsidRPr="00D269B4" w:rsidRDefault="003313BC" w:rsidP="0011622E">
            <w:pPr>
              <w:pStyle w:val="-1"/>
              <w:rPr>
                <w:lang w:val="en-US"/>
              </w:rPr>
            </w:pPr>
            <w:r w:rsidRPr="00D269B4">
              <w:rPr>
                <w:lang w:val="en-US"/>
              </w:rPr>
              <w:t>restrict the form of distribution</w:t>
            </w:r>
          </w:p>
        </w:tc>
      </w:tr>
    </w:tbl>
    <w:p w:rsidR="003313BC" w:rsidRPr="00D269B4" w:rsidRDefault="003313BC" w:rsidP="003313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1409" w:rsidRPr="00D269B4" w:rsidRDefault="00851409" w:rsidP="003313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409" w:rsidRPr="00D269B4" w:rsidSect="000B60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2C3" w:rsidRDefault="00E512C3" w:rsidP="000B60F5">
      <w:pPr>
        <w:pStyle w:val="12"/>
        <w:spacing w:after="0" w:line="240" w:lineRule="auto"/>
      </w:pPr>
      <w:r>
        <w:separator/>
      </w:r>
    </w:p>
  </w:endnote>
  <w:endnote w:type="continuationSeparator" w:id="1">
    <w:p w:rsidR="00E512C3" w:rsidRDefault="00E512C3" w:rsidP="000B60F5">
      <w:pPr>
        <w:pStyle w:val="12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3053853"/>
      <w:docPartObj>
        <w:docPartGallery w:val="Page Numbers (Bottom of Page)"/>
        <w:docPartUnique/>
      </w:docPartObj>
    </w:sdtPr>
    <w:sdtContent>
      <w:p w:rsidR="000B60F5" w:rsidRDefault="000B60F5">
        <w:pPr>
          <w:pStyle w:val="afc"/>
          <w:jc w:val="center"/>
        </w:pPr>
        <w:fldSimple w:instr=" PAGE   \* MERGEFORMAT ">
          <w:r w:rsidR="00374C18">
            <w:rPr>
              <w:noProof/>
            </w:rPr>
            <w:t>2</w:t>
          </w:r>
        </w:fldSimple>
      </w:p>
    </w:sdtContent>
  </w:sdt>
  <w:p w:rsidR="000B60F5" w:rsidRDefault="000B60F5">
    <w:pPr>
      <w:pStyle w:val="af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2C3" w:rsidRDefault="00E512C3" w:rsidP="000B60F5">
      <w:pPr>
        <w:pStyle w:val="12"/>
        <w:spacing w:after="0" w:line="240" w:lineRule="auto"/>
      </w:pPr>
      <w:r>
        <w:separator/>
      </w:r>
    </w:p>
  </w:footnote>
  <w:footnote w:type="continuationSeparator" w:id="1">
    <w:p w:rsidR="00E512C3" w:rsidRDefault="00E512C3" w:rsidP="000B60F5">
      <w:pPr>
        <w:pStyle w:val="12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86BB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74F6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607A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914E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546E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F24B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F4B6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6E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3AB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9E5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D473BA"/>
    <w:multiLevelType w:val="hybridMultilevel"/>
    <w:tmpl w:val="E48EB3DA"/>
    <w:lvl w:ilvl="0" w:tplc="8BC45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E1BA1"/>
    <w:multiLevelType w:val="hybridMultilevel"/>
    <w:tmpl w:val="58B6BDDA"/>
    <w:lvl w:ilvl="0" w:tplc="041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A04B9"/>
    <w:multiLevelType w:val="hybridMultilevel"/>
    <w:tmpl w:val="53ECEB70"/>
    <w:lvl w:ilvl="0" w:tplc="F9AA8B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E00E04"/>
    <w:multiLevelType w:val="hybridMultilevel"/>
    <w:tmpl w:val="AE3CB724"/>
    <w:lvl w:ilvl="0" w:tplc="76680A26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4"/>
  <w:stylePaneSortMethod w:val="00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1409"/>
    <w:rsid w:val="000857E6"/>
    <w:rsid w:val="000B60F5"/>
    <w:rsid w:val="0029034C"/>
    <w:rsid w:val="002F0030"/>
    <w:rsid w:val="003313BC"/>
    <w:rsid w:val="00374C18"/>
    <w:rsid w:val="00380843"/>
    <w:rsid w:val="0070741D"/>
    <w:rsid w:val="00761580"/>
    <w:rsid w:val="00763A92"/>
    <w:rsid w:val="00851409"/>
    <w:rsid w:val="00893C4C"/>
    <w:rsid w:val="00911B92"/>
    <w:rsid w:val="00977A67"/>
    <w:rsid w:val="00A82D35"/>
    <w:rsid w:val="00AE7DDF"/>
    <w:rsid w:val="00BB1551"/>
    <w:rsid w:val="00C10FAF"/>
    <w:rsid w:val="00C40BD2"/>
    <w:rsid w:val="00D269B4"/>
    <w:rsid w:val="00E512C3"/>
    <w:rsid w:val="00E71BE2"/>
    <w:rsid w:val="00E76525"/>
    <w:rsid w:val="00EB6E92"/>
    <w:rsid w:val="00ED4388"/>
    <w:rsid w:val="00FC42BF"/>
    <w:rsid w:val="00FD6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F5"/>
  </w:style>
  <w:style w:type="paragraph" w:styleId="1">
    <w:name w:val="heading 1"/>
    <w:basedOn w:val="a"/>
    <w:next w:val="a"/>
    <w:link w:val="10"/>
    <w:qFormat/>
    <w:rsid w:val="00A82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A82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82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82D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A82D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A82D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A82D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A82D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D3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A82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A82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82D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82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82D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82D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82D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82D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82D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82D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8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82D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82D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A82D35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A82D35"/>
    <w:rPr>
      <w:i/>
      <w:iCs/>
    </w:rPr>
  </w:style>
  <w:style w:type="character" w:styleId="aa">
    <w:name w:val="Intense Emphasis"/>
    <w:basedOn w:val="a0"/>
    <w:uiPriority w:val="21"/>
    <w:qFormat/>
    <w:rsid w:val="00A82D35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A82D35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A82D3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82D35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76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61580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C42BF"/>
    <w:rPr>
      <w:color w:val="808080"/>
    </w:rPr>
  </w:style>
  <w:style w:type="paragraph" w:customStyle="1" w:styleId="af">
    <w:name w:val="Список маркированный"/>
    <w:basedOn w:val="af0"/>
    <w:link w:val="af1"/>
    <w:qFormat/>
    <w:rsid w:val="0029034C"/>
    <w:pPr>
      <w:spacing w:before="100" w:beforeAutospacing="1" w:after="100" w:afterAutospacing="1" w:line="240" w:lineRule="auto"/>
    </w:pPr>
    <w:rPr>
      <w:rFonts w:eastAsia="Times New Roman"/>
      <w:color w:val="000000"/>
      <w:sz w:val="27"/>
      <w:szCs w:val="27"/>
      <w:lang w:val="en-US"/>
    </w:rPr>
  </w:style>
  <w:style w:type="character" w:customStyle="1" w:styleId="af1">
    <w:name w:val="Список маркированный Знак"/>
    <w:basedOn w:val="a0"/>
    <w:link w:val="af"/>
    <w:rsid w:val="0029034C"/>
    <w:rPr>
      <w:rFonts w:ascii="Times New Roman" w:eastAsia="Times New Roman" w:hAnsi="Times New Roman" w:cs="Times New Roman"/>
      <w:color w:val="000000"/>
      <w:sz w:val="27"/>
      <w:szCs w:val="27"/>
      <w:lang w:val="en-US"/>
    </w:rPr>
  </w:style>
  <w:style w:type="paragraph" w:styleId="af0">
    <w:name w:val="Normal (Web)"/>
    <w:basedOn w:val="a"/>
    <w:uiPriority w:val="99"/>
    <w:semiHidden/>
    <w:unhideWhenUsed/>
    <w:rsid w:val="0029034C"/>
    <w:rPr>
      <w:rFonts w:ascii="Times New Roman" w:hAnsi="Times New Roman" w:cs="Times New Roman"/>
      <w:sz w:val="24"/>
      <w:szCs w:val="24"/>
    </w:rPr>
  </w:style>
  <w:style w:type="paragraph" w:customStyle="1" w:styleId="af2">
    <w:name w:val="Список нумерованный"/>
    <w:basedOn w:val="af0"/>
    <w:autoRedefine/>
    <w:qFormat/>
    <w:rsid w:val="0029034C"/>
    <w:pPr>
      <w:spacing w:before="100" w:beforeAutospacing="1" w:after="100" w:afterAutospacing="1" w:line="240" w:lineRule="auto"/>
    </w:pPr>
    <w:rPr>
      <w:rFonts w:eastAsia="Times New Roman"/>
      <w:color w:val="000000"/>
      <w:sz w:val="27"/>
      <w:szCs w:val="27"/>
      <w:lang w:val="en-US"/>
    </w:rPr>
  </w:style>
  <w:style w:type="paragraph" w:styleId="af3">
    <w:name w:val="TOC Heading"/>
    <w:basedOn w:val="1"/>
    <w:next w:val="a"/>
    <w:uiPriority w:val="39"/>
    <w:semiHidden/>
    <w:unhideWhenUsed/>
    <w:qFormat/>
    <w:rsid w:val="00977A67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77A6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77A67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77A67"/>
    <w:rPr>
      <w:color w:val="0000FF" w:themeColor="hyperlink"/>
      <w:u w:val="single"/>
    </w:rPr>
  </w:style>
  <w:style w:type="paragraph" w:customStyle="1" w:styleId="af5">
    <w:name w:val="Формула"/>
    <w:basedOn w:val="a"/>
    <w:next w:val="a"/>
    <w:qFormat/>
    <w:rsid w:val="003313BC"/>
    <w:pPr>
      <w:widowControl w:val="0"/>
      <w:spacing w:before="240" w:after="24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6">
    <w:name w:val="После формулы"/>
    <w:basedOn w:val="a"/>
    <w:next w:val="a"/>
    <w:link w:val="af7"/>
    <w:qFormat/>
    <w:rsid w:val="003313B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Таблица - заголовок"/>
    <w:basedOn w:val="a"/>
    <w:next w:val="a"/>
    <w:rsid w:val="003313BC"/>
    <w:pPr>
      <w:keepNext/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0">
    <w:name w:val="Рисунок - подпись"/>
    <w:basedOn w:val="a"/>
    <w:next w:val="a"/>
    <w:rsid w:val="003313BC"/>
    <w:pPr>
      <w:keepLines/>
      <w:suppressAutoHyphens/>
      <w:spacing w:before="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8">
    <w:name w:val="Рисунок"/>
    <w:basedOn w:val="a"/>
    <w:link w:val="12"/>
    <w:qFormat/>
    <w:rsid w:val="003313BC"/>
    <w:pPr>
      <w:keepNext/>
      <w:spacing w:before="240" w:after="0" w:line="360" w:lineRule="auto"/>
      <w:jc w:val="center"/>
    </w:pPr>
    <w:rPr>
      <w:rFonts w:ascii="Times New Roman" w:eastAsia="Times New Roman" w:hAnsi="Times New Roman" w:cs="Calibri"/>
      <w:sz w:val="24"/>
      <w:szCs w:val="16"/>
    </w:rPr>
  </w:style>
  <w:style w:type="character" w:customStyle="1" w:styleId="12">
    <w:name w:val="Рисунок1 Знак"/>
    <w:basedOn w:val="a0"/>
    <w:link w:val="af8"/>
    <w:rsid w:val="003313BC"/>
    <w:rPr>
      <w:rFonts w:ascii="Times New Roman" w:eastAsia="Times New Roman" w:hAnsi="Times New Roman" w:cs="Calibri"/>
      <w:sz w:val="24"/>
      <w:szCs w:val="16"/>
    </w:rPr>
  </w:style>
  <w:style w:type="table" w:styleId="af9">
    <w:name w:val="Table Grid"/>
    <w:basedOn w:val="a1"/>
    <w:rsid w:val="003313BC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Таблица - текст внутри"/>
    <w:basedOn w:val="af6"/>
    <w:link w:val="-2"/>
    <w:qFormat/>
    <w:rsid w:val="003313BC"/>
    <w:pPr>
      <w:spacing w:line="240" w:lineRule="auto"/>
      <w:jc w:val="center"/>
    </w:pPr>
  </w:style>
  <w:style w:type="character" w:customStyle="1" w:styleId="af7">
    <w:name w:val="После формулы Знак"/>
    <w:basedOn w:val="a0"/>
    <w:link w:val="af6"/>
    <w:rsid w:val="003313BC"/>
    <w:rPr>
      <w:rFonts w:ascii="Times New Roman" w:eastAsia="Times New Roman" w:hAnsi="Times New Roman" w:cs="Times New Roman"/>
      <w:sz w:val="24"/>
      <w:szCs w:val="24"/>
    </w:rPr>
  </w:style>
  <w:style w:type="character" w:customStyle="1" w:styleId="-2">
    <w:name w:val="Таблица - текст внутри Знак"/>
    <w:basedOn w:val="af7"/>
    <w:link w:val="-1"/>
    <w:rsid w:val="003313BC"/>
  </w:style>
  <w:style w:type="paragraph" w:styleId="afa">
    <w:name w:val="header"/>
    <w:basedOn w:val="a"/>
    <w:link w:val="afb"/>
    <w:uiPriority w:val="99"/>
    <w:semiHidden/>
    <w:unhideWhenUsed/>
    <w:rsid w:val="000B6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semiHidden/>
    <w:rsid w:val="000B60F5"/>
  </w:style>
  <w:style w:type="paragraph" w:styleId="afc">
    <w:name w:val="footer"/>
    <w:basedOn w:val="a"/>
    <w:link w:val="afd"/>
    <w:uiPriority w:val="99"/>
    <w:unhideWhenUsed/>
    <w:rsid w:val="000B6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0B6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3462A-A8FE-47A8-9368-133AC476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2024-03-07T08:22:00Z</dcterms:created>
  <dcterms:modified xsi:type="dcterms:W3CDTF">2024-03-14T09:49:00Z</dcterms:modified>
</cp:coreProperties>
</file>