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Ten-Roman" w:eastAsia="TimesTen-Roman" w:hAnsi="Times New Roman" w:cs="Times New Roman" w:hint="eastAsia"/>
          <w:b w:val="0"/>
          <w:bCs w:val="0"/>
          <w:color w:val="auto"/>
          <w:sz w:val="20"/>
          <w:szCs w:val="20"/>
          <w:lang w:eastAsia="ru-RU"/>
        </w:rPr>
        <w:id w:val="-1270173091"/>
        <w:docPartObj>
          <w:docPartGallery w:val="Table of Contents"/>
          <w:docPartUnique/>
        </w:docPartObj>
      </w:sdtPr>
      <w:sdtContent>
        <w:p w:rsidR="006B7FA5" w:rsidRPr="00935FFD" w:rsidRDefault="006B7FA5" w:rsidP="002B00B5">
          <w:pPr>
            <w:pStyle w:val="a7"/>
            <w:jc w:val="center"/>
            <w:rPr>
              <w:rFonts w:ascii="TimesTen-Roman" w:eastAsia="TimesTen-Roman" w:hAnsi="Times New Roman" w:cs="Times New Roman" w:hint="eastAsia"/>
              <w:sz w:val="20"/>
              <w:szCs w:val="20"/>
            </w:rPr>
          </w:pPr>
          <w:r w:rsidRPr="00160785">
            <w:rPr>
              <w:rFonts w:ascii="TimesTen-Roman" w:eastAsia="TimesTen-Roman" w:hAnsi="Times New Roman" w:cs="Times New Roman" w:hint="eastAsia"/>
              <w:color w:val="auto"/>
              <w:szCs w:val="20"/>
            </w:rPr>
            <w:t>Оглавление</w:t>
          </w:r>
        </w:p>
        <w:p w:rsidR="004B266E" w:rsidRDefault="006B7FA5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35FFD">
            <w:rPr>
              <w:rFonts w:ascii="TimesTen-Roman" w:eastAsia="TimesTen-Roman" w:hAnsi="Times New Roman" w:cs="Times New Roman" w:hint="eastAsia"/>
              <w:sz w:val="20"/>
              <w:szCs w:val="20"/>
            </w:rPr>
            <w:fldChar w:fldCharType="begin"/>
          </w:r>
          <w:r w:rsidRPr="00935FFD">
            <w:rPr>
              <w:rFonts w:ascii="TimesTen-Roman" w:eastAsia="TimesTen-Roman" w:hAnsi="Times New Roman" w:cs="Times New Roman" w:hint="eastAsia"/>
              <w:sz w:val="20"/>
              <w:szCs w:val="20"/>
            </w:rPr>
            <w:instrText xml:space="preserve"> TOC \o "1-3" \h \z \u </w:instrText>
          </w:r>
          <w:r w:rsidRPr="00935FFD">
            <w:rPr>
              <w:rFonts w:ascii="TimesTen-Roman" w:eastAsia="TimesTen-Roman" w:hAnsi="Times New Roman" w:cs="Times New Roman" w:hint="eastAsia"/>
              <w:sz w:val="20"/>
              <w:szCs w:val="20"/>
            </w:rPr>
            <w:fldChar w:fldCharType="separate"/>
          </w:r>
          <w:hyperlink w:anchor="_Toc161316488" w:history="1">
            <w:r w:rsidR="004B266E" w:rsidRPr="00F86166">
              <w:rPr>
                <w:rStyle w:val="a8"/>
                <w:rFonts w:eastAsia="TimesTen-Roman"/>
                <w:noProof/>
                <w:lang w:val="en-US"/>
              </w:rPr>
              <w:t>CONTRASTIVE PROPOSAL ENCODING</w:t>
            </w:r>
            <w:r w:rsidR="004B266E">
              <w:rPr>
                <w:noProof/>
                <w:webHidden/>
              </w:rPr>
              <w:tab/>
            </w:r>
            <w:r w:rsidR="004B266E">
              <w:rPr>
                <w:noProof/>
                <w:webHidden/>
              </w:rPr>
              <w:fldChar w:fldCharType="begin"/>
            </w:r>
            <w:r w:rsidR="004B266E">
              <w:rPr>
                <w:noProof/>
                <w:webHidden/>
              </w:rPr>
              <w:instrText xml:space="preserve"> PAGEREF _Toc161316488 \h </w:instrText>
            </w:r>
            <w:r w:rsidR="004B266E">
              <w:rPr>
                <w:noProof/>
                <w:webHidden/>
              </w:rPr>
            </w:r>
            <w:r w:rsidR="004B266E">
              <w:rPr>
                <w:noProof/>
                <w:webHidden/>
              </w:rPr>
              <w:fldChar w:fldCharType="separate"/>
            </w:r>
            <w:r w:rsidR="004B266E">
              <w:rPr>
                <w:noProof/>
                <w:webHidden/>
              </w:rPr>
              <w:t>i</w:t>
            </w:r>
            <w:r w:rsidR="004B266E">
              <w:rPr>
                <w:noProof/>
                <w:webHidden/>
              </w:rPr>
              <w:fldChar w:fldCharType="end"/>
            </w:r>
          </w:hyperlink>
        </w:p>
        <w:p w:rsidR="004B266E" w:rsidRDefault="004B266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1316489" w:history="1">
            <w:r w:rsidRPr="00F86166">
              <w:rPr>
                <w:rStyle w:val="a8"/>
                <w:rFonts w:ascii="TimesTen-Roman" w:eastAsia="TimesTen-Roman" w:hAnsi="Times New Roman" w:cs="Times New Roman"/>
                <w:noProof/>
                <w:lang w:val="en-US"/>
              </w:rPr>
              <w:t>1.1 EMPIRICAL RISK MINIMIZATION.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6E" w:rsidRDefault="006B7FA5">
          <w:pPr>
            <w:rPr>
              <w:rFonts w:ascii="TimesTen-Roman" w:eastAsia="TimesTen-Roman" w:hAnsi="Times New Roman" w:cs="Times New Roman"/>
              <w:sz w:val="20"/>
              <w:szCs w:val="20"/>
            </w:rPr>
          </w:pPr>
          <w:r w:rsidRPr="00935FFD">
            <w:rPr>
              <w:rFonts w:ascii="TimesTen-Roman" w:eastAsia="TimesTen-Roman" w:hAnsi="Times New Roman" w:cs="Times New Roman" w:hint="eastAsia"/>
              <w:sz w:val="20"/>
              <w:szCs w:val="20"/>
            </w:rPr>
            <w:fldChar w:fldCharType="end"/>
          </w:r>
        </w:p>
      </w:sdtContent>
    </w:sdt>
    <w:p w:rsidR="004B266E" w:rsidRPr="004B266E" w:rsidRDefault="004B266E">
      <w:pPr>
        <w:rPr>
          <w:rFonts w:eastAsia="TimesTen-Roman" w:cs="Times New Roman"/>
          <w:sz w:val="20"/>
          <w:szCs w:val="20"/>
          <w:lang w:val="en-US"/>
        </w:rPr>
      </w:pPr>
      <w:r>
        <w:rPr>
          <w:rFonts w:ascii="TimesTen-Roman" w:eastAsia="TimesTen-Roman" w:hAnsi="Times New Roman" w:cs="Times New Roman"/>
          <w:sz w:val="20"/>
          <w:szCs w:val="20"/>
        </w:rPr>
        <w:br w:type="page"/>
      </w:r>
    </w:p>
    <w:p w:rsidR="00303ABD" w:rsidRPr="00303ABD" w:rsidRDefault="00303ABD" w:rsidP="00303ABD">
      <w:pPr>
        <w:autoSpaceDE w:val="0"/>
        <w:autoSpaceDN w:val="0"/>
        <w:adjustRightInd w:val="0"/>
        <w:spacing w:after="0" w:line="240" w:lineRule="auto"/>
        <w:ind w:left="709"/>
        <w:rPr>
          <w:rFonts w:ascii="Frutiger-Bold" w:hAnsi="Frutiger-Bold" w:cs="Frutiger-Bold"/>
          <w:b/>
          <w:bCs/>
          <w:sz w:val="28"/>
          <w:szCs w:val="28"/>
          <w:lang w:val="en-US"/>
        </w:rPr>
      </w:pPr>
      <w:r>
        <w:rPr>
          <w:rFonts w:ascii="Frutiger-Bold" w:hAnsi="Frutiger-Bold" w:cs="Frutiger-Bold"/>
          <w:b/>
          <w:bCs/>
          <w:sz w:val="28"/>
          <w:szCs w:val="28"/>
          <w:lang w:val="en-US"/>
        </w:rPr>
        <w:lastRenderedPageBreak/>
        <w:t>C H A P T E R    1</w:t>
      </w:r>
    </w:p>
    <w:p w:rsidR="00303ABD" w:rsidRDefault="00303ABD" w:rsidP="00303ABD">
      <w:pPr>
        <w:ind w:left="709"/>
        <w:rPr>
          <w:rFonts w:ascii="Frutiger-Bold" w:hAnsi="Frutiger-Bold" w:cs="Frutiger-Bold"/>
          <w:b/>
          <w:bCs/>
          <w:sz w:val="48"/>
          <w:szCs w:val="48"/>
          <w:lang w:val="en-US"/>
        </w:rPr>
      </w:pPr>
      <w:r w:rsidRPr="00303ABD">
        <w:rPr>
          <w:rFonts w:ascii="Frutiger-Bold" w:hAnsi="Frutiger-Bold" w:cs="Frutiger-Bold"/>
          <w:b/>
          <w:bCs/>
          <w:sz w:val="48"/>
          <w:szCs w:val="48"/>
          <w:lang w:val="en-US"/>
        </w:rPr>
        <w:t>Contrastive Proposal Encoding</w:t>
      </w:r>
    </w:p>
    <w:p w:rsidR="00303ABD" w:rsidRPr="00303ABD" w:rsidRDefault="00303ABD" w:rsidP="00303ABD">
      <w:pPr>
        <w:pStyle w:val="1"/>
        <w:ind w:left="720"/>
        <w:rPr>
          <w:rFonts w:eastAsia="TimesTen-Roman"/>
          <w:color w:val="00B0F0"/>
          <w:lang w:val="en-US"/>
        </w:rPr>
      </w:pPr>
      <w:bookmarkStart w:id="0" w:name="_Toc161316488"/>
      <w:r w:rsidRPr="00303ABD">
        <w:rPr>
          <w:rFonts w:eastAsia="TimesTen-Roman"/>
          <w:color w:val="00B0F0"/>
          <w:lang w:val="en-US"/>
        </w:rPr>
        <w:t>CONTRASTIVE PROPOSAL ENCODING</w:t>
      </w:r>
      <w:bookmarkEnd w:id="0"/>
    </w:p>
    <w:p w:rsidR="006B7FA5" w:rsidRPr="00935FFD" w:rsidRDefault="006B7FA5" w:rsidP="00303ABD">
      <w:pPr>
        <w:jc w:val="both"/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(CPE) Loss Inspired by supervised contrastive objectives in classification and identification, our CP E loss is defined as follows with considerations tailored for detection. Concretely, for a mini-batch of N RoI box features </w:t>
      </w:r>
      <m:oMath>
        <m:sSubSup>
          <m:sSubSup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  <m:t>{</m:t>
            </m:r>
            <m:sSub>
              <m:sSubPr>
                <m:ctrlPr>
                  <w:rPr>
                    <w:rFonts w:ascii="Cambria Math" w:eastAsia="TimesTen-Roman" w:hAnsi="Times New Roman" w:cs="Times New Roman" w:hint="eastAsia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cs="Times New Roman" w:hint="eastAsia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Ten-Roman" w:hAnsi="Cambria Math" w:cs="Times New Roman" w:hint="eastAsia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TimesTen-Roman" w:hAnsi="Times New Roman" w:cs="Times New Roman" w:hint="eastAsia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cs="Times New Roman" w:hint="eastAsia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Ten-Roman" w:hAnsi="Cambria Math" w:cs="Times New Roman" w:hint="eastAsia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TimesTen-Roman" w:hAnsi="Times New Roman" w:cs="Times New Roman" w:hint="eastAsia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cs="Times New Roman" w:hint="eastAsia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Ten-Roman" w:hAnsi="Cambria Math" w:cs="Times New Roman" w:hint="eastAsia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  <m:t>}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  <m:t>=1</m:t>
            </m:r>
            <m:r>
              <m:rPr>
                <m:sty m:val="p"/>
              </m:rP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  <m:t xml:space="preserve">, </m:t>
            </m:r>
          </m:sub>
          <m:sup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N</m:t>
            </m:r>
          </m:sup>
        </m:sSubSup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is contrastive head encoded RoI feature for </w:t>
      </w:r>
      <m:oMath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i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-th region proposal,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denotes its Intersectionover-Union (IOU) score with matched ground truth bounding box, and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denotes the label of the ground truth,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6B7FA5" w:rsidRPr="00935FFD" w:rsidTr="0011622E">
        <w:tc>
          <w:tcPr>
            <w:tcW w:w="8539" w:type="dxa"/>
            <w:vAlign w:val="center"/>
          </w:tcPr>
          <w:p w:rsidR="006B7FA5" w:rsidRPr="002B00B5" w:rsidRDefault="006B7FA5" w:rsidP="002B00B5">
            <w:pPr>
              <w:pStyle w:val="a9"/>
              <w:rPr>
                <w:rFonts w:ascii="TimesTen-Roman" w:eastAsia="TimesTen-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CP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·</m:t>
                    </m:r>
                  </m:e>
                </m:nary>
                <m:sSub>
                  <m:sSub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:rsidR="006B7FA5" w:rsidRPr="00935FFD" w:rsidRDefault="006B7FA5" w:rsidP="0011622E">
            <w:pPr>
              <w:pStyle w:val="a9"/>
              <w:rPr>
                <w:rFonts w:ascii="TimesTen-Roman" w:eastAsia="TimesTen-Roman" w:hint="eastAsia"/>
                <w:sz w:val="20"/>
                <w:szCs w:val="20"/>
              </w:rPr>
            </w:pPr>
            <w:bookmarkStart w:id="1" w:name="_Ref98172175"/>
            <w:r w:rsidRPr="00935FFD">
              <w:rPr>
                <w:rFonts w:ascii="TimesTen-Roman" w:eastAsia="TimesTen-Roman" w:hint="eastAsia"/>
                <w:sz w:val="20"/>
                <w:szCs w:val="20"/>
              </w:rPr>
              <w:t>(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begin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instrText xml:space="preserve"> SEQ Формула \* ARABIC </w:instrTex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separate"/>
            </w:r>
            <w:r w:rsidRPr="00935FFD">
              <w:rPr>
                <w:rFonts w:ascii="TimesTen-Roman" w:eastAsia="TimesTen-Roman" w:hint="eastAsia"/>
                <w:noProof/>
                <w:sz w:val="20"/>
                <w:szCs w:val="20"/>
              </w:rPr>
              <w:t>1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end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t>)</w:t>
            </w:r>
            <w:bookmarkEnd w:id="1"/>
          </w:p>
        </w:tc>
      </w:tr>
      <w:tr w:rsidR="006B7FA5" w:rsidRPr="00935FFD" w:rsidTr="0011622E">
        <w:tc>
          <w:tcPr>
            <w:tcW w:w="8539" w:type="dxa"/>
            <w:vAlign w:val="center"/>
          </w:tcPr>
          <w:p w:rsidR="006B7FA5" w:rsidRPr="002B00B5" w:rsidRDefault="006B7FA5" w:rsidP="002B00B5">
            <w:pPr>
              <w:pStyle w:val="a9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=1,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≠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 = </m:t>
                    </m:r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log</m:t>
                </m:r>
                <m:f>
                  <m:f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·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≠</m:t>
                            </m:r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Ten-Roman" w:hAnsi="Cambria Math" w:hint="eastAsia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Ten-Roman" w:hAnsi="Cambria Math" w:hint="eastAsia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Ten-Roman" w:hAnsi="Cambria Math" w:hint="eastAsia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·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Ten-Roman" w:hAnsi="Cambria Math" w:hint="eastAsia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Ten-Roman" w:hAnsi="Cambria Math" w:hint="eastAsia"/>
                                    <w:sz w:val="20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Ten-Roman" w:hAnsi="Cambria Math" w:hint="eastAsia"/>
                                    <w:sz w:val="20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/</m:t>
                        </m:r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709" w:type="dxa"/>
            <w:vAlign w:val="center"/>
          </w:tcPr>
          <w:p w:rsidR="006B7FA5" w:rsidRPr="00935FFD" w:rsidRDefault="006B7FA5" w:rsidP="0011622E">
            <w:pPr>
              <w:pStyle w:val="a9"/>
              <w:rPr>
                <w:rFonts w:ascii="TimesTen-Roman" w:eastAsia="TimesTen-Roman" w:hint="eastAsia"/>
                <w:sz w:val="20"/>
                <w:szCs w:val="20"/>
              </w:rPr>
            </w:pPr>
            <w:bookmarkStart w:id="2" w:name="_Ref161313863"/>
            <w:r w:rsidRPr="00935FFD">
              <w:rPr>
                <w:rFonts w:ascii="TimesTen-Roman" w:eastAsia="TimesTen-Roman" w:hint="eastAsia"/>
                <w:sz w:val="20"/>
                <w:szCs w:val="20"/>
              </w:rPr>
              <w:t>(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begin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instrText xml:space="preserve"> SEQ Формула \* ARABIC </w:instrTex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separate"/>
            </w:r>
            <w:r w:rsidRPr="00935FFD">
              <w:rPr>
                <w:rFonts w:ascii="TimesTen-Roman" w:eastAsia="TimesTen-Roman" w:hint="eastAsia"/>
                <w:noProof/>
                <w:sz w:val="20"/>
                <w:szCs w:val="20"/>
              </w:rPr>
              <w:t>2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end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t>)</w:t>
            </w:r>
            <w:bookmarkEnd w:id="2"/>
          </w:p>
        </w:tc>
      </w:tr>
    </w:tbl>
    <w:p w:rsidR="006B7FA5" w:rsidRPr="00935FFD" w:rsidRDefault="006B7FA5" w:rsidP="006B7FA5">
      <w:pPr>
        <w:pStyle w:val="aa"/>
        <w:rPr>
          <w:rFonts w:ascii="TimesTen-Roman" w:eastAsia="TimesTen-Roman" w:hint="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="TimesTen-Roman" w:hAnsi="Cambria Math" w:hint="eastAsia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is the number of proposals with the same label as </w:t>
      </w: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, and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τ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is the hyper-parameter temperature as in InfoNCE.</w:t>
      </w:r>
    </w:p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We use unfrozen RPN and ROI with two modifications, </w:t>
      </w:r>
      <w:fldSimple w:instr=" REF _Ref98172175 \h  \* MERGEFORMAT ">
        <w:r w:rsidRPr="00935FFD">
          <w:rPr>
            <w:rFonts w:ascii="TimesTen-Roman" w:eastAsia="TimesTen-Roman" w:hint="eastAsia"/>
            <w:sz w:val="20"/>
            <w:szCs w:val="20"/>
            <w:lang w:val="en-US"/>
          </w:rPr>
          <w:t>(</w:t>
        </w:r>
        <w:r w:rsidRPr="00935FFD">
          <w:rPr>
            <w:rFonts w:ascii="TimesTen-Roman" w:eastAsia="TimesTen-Roman" w:hint="eastAsia"/>
            <w:noProof/>
            <w:sz w:val="20"/>
            <w:szCs w:val="20"/>
            <w:lang w:val="en-US"/>
          </w:rPr>
          <w:t>1</w:t>
        </w:r>
        <w:r w:rsidRPr="00935FFD">
          <w:rPr>
            <w:rFonts w:ascii="TimesTen-Roman" w:eastAsia="TimesTen-Roman" w:hint="eastAsia"/>
            <w:sz w:val="20"/>
            <w:szCs w:val="20"/>
            <w:lang w:val="en-US"/>
          </w:rPr>
          <w:t>)</w:t>
        </w:r>
      </w:fldSimple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double the maximum number of proposals kept after NMS, this brings more foreground proposals for novel instances, and </w:t>
      </w:r>
      <w:fldSimple w:instr=" REF _Ref161313863 \h  \* MERGEFORMAT ">
        <w:r w:rsidRPr="00935FFD">
          <w:rPr>
            <w:rFonts w:ascii="TimesTen-Roman" w:eastAsia="TimesTen-Roman" w:hint="eastAsia"/>
            <w:sz w:val="20"/>
            <w:szCs w:val="20"/>
            <w:lang w:val="en-US"/>
          </w:rPr>
          <w:t>(</w:t>
        </w:r>
        <w:r w:rsidRPr="00935FFD">
          <w:rPr>
            <w:rFonts w:ascii="TimesTen-Roman" w:eastAsia="TimesTen-Roman" w:hint="eastAsia"/>
            <w:noProof/>
            <w:sz w:val="20"/>
            <w:szCs w:val="20"/>
            <w:lang w:val="en-US"/>
          </w:rPr>
          <w:t>2</w:t>
        </w:r>
        <w:r w:rsidRPr="00935FFD">
          <w:rPr>
            <w:rFonts w:ascii="TimesTen-Roman" w:eastAsia="TimesTen-Roman" w:hint="eastAsia"/>
            <w:sz w:val="20"/>
            <w:szCs w:val="20"/>
            <w:lang w:val="en-US"/>
          </w:rPr>
          <w:t>)</w:t>
        </w:r>
      </w:fldSimple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halving the number of sampled proposals in RoI head used for loss computation</w:t>
      </w:r>
    </w:p>
    <w:p w:rsidR="006B7FA5" w:rsidRPr="00935FFD" w:rsidRDefault="006B7FA5" w:rsidP="006B7FA5">
      <w:pPr>
        <w:pStyle w:val="2"/>
        <w:widowControl w:val="0"/>
        <w:numPr>
          <w:ilvl w:val="1"/>
          <w:numId w:val="0"/>
        </w:numPr>
        <w:tabs>
          <w:tab w:val="left" w:pos="1134"/>
        </w:tabs>
        <w:suppressAutoHyphens/>
        <w:spacing w:before="340" w:after="220" w:line="360" w:lineRule="auto"/>
        <w:ind w:left="709"/>
        <w:contextualSpacing/>
        <w:jc w:val="both"/>
        <w:rPr>
          <w:rFonts w:ascii="TimesTen-Roman" w:eastAsia="TimesTen-Roman" w:hAnsi="Times New Roman" w:cs="Times New Roman" w:hint="eastAsia"/>
          <w:color w:val="00B0F0"/>
          <w:sz w:val="20"/>
          <w:szCs w:val="20"/>
          <w:lang w:val="en-US"/>
        </w:rPr>
      </w:pPr>
      <w:bookmarkStart w:id="3" w:name="_Toc161316489"/>
      <w:r w:rsidRPr="00935FFD">
        <w:rPr>
          <w:rFonts w:ascii="TimesTen-Roman" w:eastAsia="TimesTen-Roman" w:hAnsi="Times New Roman" w:cs="Times New Roman" w:hint="eastAsia"/>
          <w:color w:val="00B0F0"/>
          <w:sz w:val="20"/>
          <w:szCs w:val="20"/>
          <w:lang w:val="en-US"/>
        </w:rPr>
        <w:t xml:space="preserve">1.1 </w:t>
      </w:r>
      <w:r w:rsidR="00303ABD" w:rsidRPr="00935FFD">
        <w:rPr>
          <w:rFonts w:ascii="TimesTen-Roman" w:eastAsia="TimesTen-Roman" w:hAnsi="Times New Roman" w:cs="Times New Roman"/>
          <w:color w:val="00B0F0"/>
          <w:sz w:val="20"/>
          <w:szCs w:val="20"/>
          <w:lang w:val="en-US"/>
        </w:rPr>
        <w:t>EMPIRICAL RISK MINIMIZATION.</w:t>
      </w:r>
      <w:bookmarkEnd w:id="3"/>
      <w:r w:rsidR="00303ABD" w:rsidRPr="00935FFD">
        <w:rPr>
          <w:rFonts w:ascii="TimesTen-Roman" w:eastAsia="TimesTen-Roman" w:hAnsi="Times New Roman" w:cs="Times New Roman"/>
          <w:color w:val="00B0F0"/>
          <w:sz w:val="20"/>
          <w:szCs w:val="20"/>
          <w:lang w:val="en-US"/>
        </w:rPr>
        <w:t xml:space="preserve"> </w:t>
      </w:r>
    </w:p>
    <w:p w:rsidR="006B7FA5" w:rsidRDefault="006B7FA5" w:rsidP="006B7FA5">
      <w:pPr>
        <w:rPr>
          <w:rFonts w:ascii="TimesTen-Roman" w:eastAsia="TimesTen-Roman" w:hAnsi="Times New Roman" w:cs="Times New Roman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Given a hypothesis h, we want to minimize its expected risk R, which is the loss measured with respect to </w:t>
      </w:r>
      <m:oMath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p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x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 xml:space="preserve">, </m:t>
        </m:r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y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>. Specifically,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160785" w:rsidRPr="00935FFD" w:rsidTr="0011622E">
        <w:tc>
          <w:tcPr>
            <w:tcW w:w="8539" w:type="dxa"/>
            <w:vAlign w:val="center"/>
          </w:tcPr>
          <w:p w:rsidR="00160785" w:rsidRPr="002B00B5" w:rsidRDefault="00160785" w:rsidP="002B00B5">
            <w:pPr>
              <w:pStyle w:val="a9"/>
              <w:rPr>
                <w:rFonts w:ascii="TimesTen-Roman" w:eastAsia="TimesTen-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) 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)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dp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) =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[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)]</m:t>
                    </m:r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160785" w:rsidRPr="00935FFD" w:rsidRDefault="00160785" w:rsidP="0011622E">
            <w:pPr>
              <w:pStyle w:val="a9"/>
              <w:rPr>
                <w:rFonts w:ascii="TimesTen-Roman" w:eastAsia="TimesTen-Roman" w:hint="eastAsia"/>
                <w:sz w:val="20"/>
                <w:szCs w:val="20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</w:rPr>
              <w:t>(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begin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instrText xml:space="preserve"> SEQ Формула \* ARABIC </w:instrTex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separate"/>
            </w:r>
            <w:r>
              <w:rPr>
                <w:rFonts w:ascii="TimesTen-Roman" w:eastAsia="TimesTen-Roman"/>
                <w:noProof/>
                <w:sz w:val="20"/>
                <w:szCs w:val="20"/>
              </w:rPr>
              <w:t>3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end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t>)</w:t>
            </w:r>
          </w:p>
        </w:tc>
      </w:tr>
    </w:tbl>
    <w:p w:rsidR="006B7FA5" w:rsidRDefault="006B7FA5" w:rsidP="006B7FA5">
      <w:pPr>
        <w:pStyle w:val="aa"/>
        <w:rPr>
          <w:rFonts w:ascii="TimesTen-Roman" w:eastAsia="TimesTen-Roman"/>
          <w:sz w:val="20"/>
          <w:szCs w:val="20"/>
          <w:lang w:val="en-US"/>
        </w:rPr>
      </w:pPr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As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p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x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 xml:space="preserve">, 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y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is unknown, the empirical risk (which is the average of sample losses over the training set </w:t>
      </w: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train</m:t>
            </m:r>
          </m:sub>
        </m:sSub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of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I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samples)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160785" w:rsidRPr="00935FFD" w:rsidTr="0011622E">
        <w:tc>
          <w:tcPr>
            <w:tcW w:w="8539" w:type="dxa"/>
            <w:vAlign w:val="center"/>
          </w:tcPr>
          <w:p w:rsidR="00160785" w:rsidRPr="002B00B5" w:rsidRDefault="00160785" w:rsidP="002B00B5">
            <w:pPr>
              <w:pStyle w:val="a9"/>
              <w:rPr>
                <w:rFonts w:ascii="TimesTen-Roman" w:eastAsia="TimesTen-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) =</m:t>
                </m:r>
                <m:f>
                  <m:f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 =1</m:t>
                    </m:r>
                  </m:sub>
                  <m:sup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</m:sup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709" w:type="dxa"/>
            <w:vAlign w:val="center"/>
          </w:tcPr>
          <w:p w:rsidR="00160785" w:rsidRPr="00935FFD" w:rsidRDefault="00160785" w:rsidP="0011622E">
            <w:pPr>
              <w:pStyle w:val="a9"/>
              <w:rPr>
                <w:rFonts w:ascii="TimesTen-Roman" w:eastAsia="TimesTen-Roman" w:hint="eastAsia"/>
                <w:sz w:val="20"/>
                <w:szCs w:val="20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</w:rPr>
              <w:t>(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begin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instrText xml:space="preserve"> SEQ Формула \* ARABIC </w:instrTex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separate"/>
            </w:r>
            <w:r>
              <w:rPr>
                <w:rFonts w:ascii="TimesTen-Roman" w:eastAsia="TimesTen-Roman"/>
                <w:noProof/>
                <w:sz w:val="20"/>
                <w:szCs w:val="20"/>
              </w:rPr>
              <w:t>4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end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t>)</w:t>
            </w:r>
          </w:p>
        </w:tc>
      </w:tr>
    </w:tbl>
    <w:p w:rsidR="006B7FA5" w:rsidRPr="00935FFD" w:rsidRDefault="006B7FA5" w:rsidP="006B7FA5">
      <w:pPr>
        <w:pStyle w:val="aa"/>
        <w:rPr>
          <w:rFonts w:ascii="TimesTen-Roman" w:eastAsia="TimesTen-Roman" w:hint="eastAsia"/>
          <w:sz w:val="20"/>
          <w:szCs w:val="20"/>
          <w:lang w:val="en-US"/>
        </w:rPr>
      </w:pPr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is usually used as a proxy for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R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TimesTen-Roman" w:eastAsia="TimesTen-Roman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, leading to empirical risk minimization (with possibly some regularizers). For illustration, let </w:t>
      </w:r>
    </w:p>
    <w:p w:rsidR="006B7FA5" w:rsidRPr="00935FFD" w:rsidRDefault="006B7FA5" w:rsidP="00935FFD">
      <w:pPr>
        <w:pStyle w:val="a4"/>
        <w:numPr>
          <w:ilvl w:val="0"/>
          <w:numId w:val="3"/>
        </w:numPr>
        <w:rPr>
          <w:rFonts w:ascii="TimesTen-Roman" w:eastAsia="TimesTen-Roman" w:hint="eastAsia"/>
          <w:sz w:val="20"/>
          <w:szCs w:val="20"/>
        </w:rPr>
      </w:pPr>
      <m:oMath>
        <m:acc>
          <m:accPr>
            <m:ctrlPr>
              <w:rPr>
                <w:rFonts w:ascii="Cambria Math" w:eastAsia="TimesTen-Roman" w:hAnsi="Cambria Math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h</m:t>
            </m:r>
          </m:e>
        </m:acc>
      </m:oMath>
      <w:r w:rsidRPr="00935FFD">
        <w:rPr>
          <w:rFonts w:ascii="TimesTen-Roman" w:eastAsia="TimesTen-Roman" w:hint="eastAsia"/>
          <w:sz w:val="20"/>
          <w:szCs w:val="20"/>
        </w:rPr>
        <w:t xml:space="preserve"> = </w:t>
      </w:r>
      <m:oMath>
        <m:r>
          <w:rPr>
            <w:rFonts w:ascii="Cambria Math" w:eastAsia="TimesTen-Roman" w:hAnsi="Cambria Math" w:hint="eastAsia"/>
            <w:sz w:val="20"/>
            <w:szCs w:val="20"/>
          </w:rPr>
          <m:t>arg</m:t>
        </m:r>
        <m:func>
          <m:funcPr>
            <m:ctrlPr>
              <w:rPr>
                <w:rFonts w:ascii="Cambria Math" w:eastAsia="TimesTen-Roman" w:hAnsi="Cambria Math" w:hint="eastAsi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Ten-Roman" w:hint="eastAsia"/>
                <w:sz w:val="20"/>
                <w:szCs w:val="20"/>
              </w:rPr>
              <m:t>min</m:t>
            </m:r>
          </m:fName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h</m:t>
            </m:r>
          </m:e>
        </m:func>
        <m:r>
          <w:rPr>
            <w:rFonts w:ascii="Cambria Math" w:eastAsia="TimesTen-Roman" w:hint="eastAsia"/>
            <w:sz w:val="20"/>
            <w:szCs w:val="20"/>
          </w:rPr>
          <m:t xml:space="preserve"> </m:t>
        </m:r>
        <m:r>
          <w:rPr>
            <w:rFonts w:ascii="Cambria Math" w:eastAsia="TimesTen-Roman" w:hAnsi="Cambria Math" w:hint="eastAsia"/>
            <w:sz w:val="20"/>
            <w:szCs w:val="20"/>
          </w:rPr>
          <m:t>R</m:t>
        </m:r>
        <m:r>
          <w:rPr>
            <w:rFonts w:ascii="Cambria Math" w:eastAsia="TimesTen-Roman" w:hint="eastAsia"/>
            <w:sz w:val="20"/>
            <w:szCs w:val="20"/>
          </w:rPr>
          <m:t>(</m:t>
        </m:r>
        <m:r>
          <w:rPr>
            <w:rFonts w:ascii="TimesTen-Roman" w:eastAsia="TimesTen-Roman" w:hint="eastAsia"/>
            <w:sz w:val="20"/>
            <w:szCs w:val="20"/>
          </w:rPr>
          <m:t>h</m:t>
        </m:r>
        <m:r>
          <w:rPr>
            <w:rFonts w:ascii="Cambria Math" w:eastAsia="TimesTen-Roman" w:hint="eastAsia"/>
            <w:sz w:val="20"/>
            <w:szCs w:val="20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</w:rPr>
        <w:t xml:space="preserve"> be the function that minimizes the expected risk; </w:t>
      </w:r>
    </w:p>
    <w:p w:rsidR="006B7FA5" w:rsidRPr="00935FFD" w:rsidRDefault="006B7FA5" w:rsidP="00935FFD">
      <w:pPr>
        <w:pStyle w:val="a4"/>
        <w:numPr>
          <w:ilvl w:val="0"/>
          <w:numId w:val="3"/>
        </w:numPr>
        <w:rPr>
          <w:rFonts w:ascii="TimesTen-Roman" w:eastAsia="TimesTen-Roman" w:hint="eastAsia"/>
          <w:sz w:val="20"/>
          <w:szCs w:val="20"/>
        </w:rPr>
      </w:pPr>
      <m:oMath>
        <m:sSup>
          <m:sSupPr>
            <m:ctrlPr>
              <w:rPr>
                <w:rFonts w:ascii="Cambria Math" w:eastAsia="TimesTen-Roman" w:hAnsi="Cambria Math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TimesTen-Roman" w:hAnsi="Cambria Math" w:hint="eastAsia"/>
                <w:sz w:val="20"/>
                <w:szCs w:val="20"/>
              </w:rPr>
              <m:t>*</m:t>
            </m:r>
          </m:sup>
        </m:sSup>
      </m:oMath>
      <w:r w:rsidRPr="00935FFD">
        <w:rPr>
          <w:rFonts w:ascii="TimesTen-Roman" w:eastAsia="TimesTen-Roman" w:hint="eastAsia"/>
          <w:sz w:val="20"/>
          <w:szCs w:val="20"/>
        </w:rPr>
        <w:t xml:space="preserve"> = </w:t>
      </w:r>
      <m:oMath>
        <m:r>
          <w:rPr>
            <w:rFonts w:ascii="Cambria Math" w:eastAsia="TimesTen-Roman" w:hAnsi="Cambria Math" w:hint="eastAsia"/>
            <w:sz w:val="20"/>
            <w:szCs w:val="20"/>
          </w:rPr>
          <m:t>arg</m:t>
        </m:r>
        <m:func>
          <m:funcPr>
            <m:ctrlPr>
              <w:rPr>
                <w:rFonts w:ascii="Cambria Math" w:eastAsia="TimesTen-Roman" w:hAnsi="Cambria Math" w:hint="eastAsi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Ten-Roman" w:hint="eastAsia"/>
                <w:sz w:val="20"/>
                <w:szCs w:val="20"/>
              </w:rPr>
              <m:t>min</m:t>
            </m:r>
          </m:fName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h</m:t>
            </m:r>
          </m:e>
        </m:func>
        <m:r>
          <w:rPr>
            <w:rFonts w:ascii="Cambria Math" w:eastAsia="TimesTen-Roman" w:hAnsi="Cambria Math" w:hint="eastAsia"/>
            <w:sz w:val="20"/>
            <w:szCs w:val="20"/>
          </w:rPr>
          <m:t>∈</m:t>
        </m:r>
        <m:r>
          <w:rPr>
            <w:rFonts w:ascii="Cambria Math" w:eastAsia="TimesTen-Roman" w:hAnsi="Cambria Math" w:hint="eastAsia"/>
            <w:sz w:val="20"/>
            <w:szCs w:val="20"/>
          </w:rPr>
          <m:t>H</m:t>
        </m:r>
        <m:r>
          <w:rPr>
            <w:rFonts w:ascii="Cambria Math" w:eastAsia="TimesTen-Roman" w:hint="eastAsia"/>
            <w:sz w:val="20"/>
            <w:szCs w:val="20"/>
          </w:rPr>
          <m:t xml:space="preserve"> </m:t>
        </m:r>
        <m:r>
          <w:rPr>
            <w:rFonts w:ascii="Cambria Math" w:eastAsia="TimesTen-Roman" w:hAnsi="Cambria Math" w:hint="eastAsia"/>
            <w:sz w:val="20"/>
            <w:szCs w:val="20"/>
          </w:rPr>
          <m:t>R</m:t>
        </m:r>
        <m:r>
          <w:rPr>
            <w:rFonts w:ascii="Cambria Math" w:eastAsia="TimesTen-Roman" w:hint="eastAsia"/>
            <w:sz w:val="20"/>
            <w:szCs w:val="20"/>
          </w:rPr>
          <m:t>(</m:t>
        </m:r>
        <m:r>
          <w:rPr>
            <w:rFonts w:ascii="TimesTen-Roman" w:eastAsia="TimesTen-Roman" w:hint="eastAsia"/>
            <w:sz w:val="20"/>
            <w:szCs w:val="20"/>
          </w:rPr>
          <m:t>h</m:t>
        </m:r>
        <m:r>
          <w:rPr>
            <w:rFonts w:ascii="Cambria Math" w:eastAsia="TimesTen-Roman" w:hint="eastAsia"/>
            <w:sz w:val="20"/>
            <w:szCs w:val="20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</w:rPr>
        <w:t xml:space="preserve"> be the function in H that minimizes the expected risk;</w:t>
      </w:r>
    </w:p>
    <w:p w:rsidR="006B7FA5" w:rsidRPr="00935FFD" w:rsidRDefault="006B7FA5" w:rsidP="00935FFD">
      <w:pPr>
        <w:pStyle w:val="a4"/>
        <w:numPr>
          <w:ilvl w:val="0"/>
          <w:numId w:val="3"/>
        </w:numPr>
        <w:rPr>
          <w:rFonts w:ascii="TimesTen-Roman" w:eastAsia="TimesTen-Roman" w:hint="eastAsia"/>
          <w:sz w:val="20"/>
          <w:szCs w:val="20"/>
        </w:rPr>
      </w:pP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</w:rPr>
              <m:t>I</m:t>
            </m:r>
          </m:sub>
        </m:sSub>
      </m:oMath>
      <w:r w:rsidRPr="00935FFD">
        <w:rPr>
          <w:rFonts w:ascii="TimesTen-Roman" w:eastAsia="TimesTen-Roman" w:hint="eastAsia"/>
          <w:sz w:val="20"/>
          <w:szCs w:val="20"/>
        </w:rPr>
        <w:t xml:space="preserve"> = </w:t>
      </w:r>
      <m:oMath>
        <m:r>
          <w:rPr>
            <w:rFonts w:ascii="Cambria Math" w:eastAsia="TimesTen-Roman" w:hAnsi="Cambria Math" w:hint="eastAsia"/>
            <w:sz w:val="20"/>
            <w:szCs w:val="20"/>
          </w:rPr>
          <m:t>arg</m:t>
        </m:r>
        <m:func>
          <m:funcPr>
            <m:ctrlPr>
              <w:rPr>
                <w:rFonts w:ascii="Cambria Math" w:eastAsia="TimesTen-Roman" w:hAnsi="Cambria Math" w:hint="eastAsi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Ten-Roman" w:hint="eastAsia"/>
                <w:sz w:val="20"/>
                <w:szCs w:val="20"/>
              </w:rPr>
              <m:t>min</m:t>
            </m:r>
          </m:fName>
          <m:e>
            <m:r>
              <w:rPr>
                <w:rFonts w:ascii="TimesTen-Roman" w:eastAsia="TimesTen-Roman" w:hint="eastAsia"/>
                <w:sz w:val="20"/>
                <w:szCs w:val="20"/>
              </w:rPr>
              <m:t>h</m:t>
            </m:r>
          </m:e>
        </m:func>
        <m:r>
          <w:rPr>
            <w:rFonts w:ascii="Cambria Math" w:eastAsia="TimesTen-Roman" w:hAnsi="Cambria Math" w:hint="eastAsia"/>
            <w:sz w:val="20"/>
            <w:szCs w:val="20"/>
          </w:rPr>
          <m:t>∈</m:t>
        </m:r>
        <m:r>
          <w:rPr>
            <w:rFonts w:ascii="Cambria Math" w:eastAsia="TimesTen-Roman" w:hAnsi="Cambria Math" w:hint="eastAsia"/>
            <w:sz w:val="20"/>
            <w:szCs w:val="20"/>
          </w:rPr>
          <m:t>H</m:t>
        </m:r>
        <m:r>
          <w:rPr>
            <w:rFonts w:ascii="Cambria Math" w:eastAsia="TimesTen-Roman" w:hint="eastAsia"/>
            <w:sz w:val="20"/>
            <w:szCs w:val="20"/>
          </w:rPr>
          <m:t xml:space="preserve"> </m:t>
        </m:r>
        <m:r>
          <w:rPr>
            <w:rFonts w:ascii="Cambria Math" w:eastAsia="TimesTen-Roman" w:hAnsi="Cambria Math" w:hint="eastAsia"/>
            <w:sz w:val="20"/>
            <w:szCs w:val="20"/>
          </w:rPr>
          <m:t>RI</m:t>
        </m:r>
        <m:r>
          <w:rPr>
            <w:rFonts w:ascii="Cambria Math" w:eastAsia="TimesTen-Roman" w:hint="eastAsia"/>
            <w:sz w:val="20"/>
            <w:szCs w:val="20"/>
          </w:rPr>
          <m:t xml:space="preserve"> (</m:t>
        </m:r>
        <m:r>
          <w:rPr>
            <w:rFonts w:ascii="TimesTen-Roman" w:eastAsia="TimesTen-Roman" w:hint="eastAsia"/>
            <w:sz w:val="20"/>
            <w:szCs w:val="20"/>
          </w:rPr>
          <m:t>h</m:t>
        </m:r>
        <m:r>
          <w:rPr>
            <w:rFonts w:ascii="Cambria Math" w:eastAsia="TimesTen-Roman" w:hint="eastAsia"/>
            <w:sz w:val="20"/>
            <w:szCs w:val="20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</w:rPr>
        <w:t xml:space="preserve"> be the function in H that minimizes the empirical risk. </w:t>
      </w:r>
    </w:p>
    <w:p w:rsidR="006B7FA5" w:rsidRDefault="006B7FA5" w:rsidP="006B7FA5">
      <w:pPr>
        <w:rPr>
          <w:rFonts w:ascii="TimesTen-Roman" w:eastAsia="TimesTen-Roman" w:hAnsi="Times New Roman" w:cs="Times New Roman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As </w:t>
      </w:r>
      <m:oMath>
        <m:acc>
          <m:acc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</m:acc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is unknown, one has to approximate it by some </w:t>
      </w:r>
      <m:oMath>
        <m:r>
          <w:rPr>
            <w:rFonts w:ascii="TimesTen-Roman" w:eastAsia="TimesTen-Roman" w:hAnsi="Cambria Math" w:cs="Times New Roman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 xml:space="preserve"> </m:t>
        </m:r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∈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 xml:space="preserve"> </m:t>
        </m:r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H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. </w:t>
      </w:r>
      <m:oMath>
        <m:sSup>
          <m:sSup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p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*</m:t>
            </m:r>
          </m:sup>
        </m:sSup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is the best approximation for </w:t>
      </w:r>
      <m:oMath>
        <m:acc>
          <m:acc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</m:acc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in </w:t>
      </w:r>
      <m:oMath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H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, while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is the best hypothesis in </w:t>
      </w:r>
      <m:oMath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H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obtained by empirical risk minimization. For simplicity, we assume that </w:t>
      </w:r>
      <m:oMath>
        <m:acc>
          <m:acc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</m:acc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p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*</m:t>
            </m:r>
          </m:sup>
        </m:sSup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are unique. The total error can be decomposed as: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160785" w:rsidRPr="00935FFD" w:rsidTr="0011622E">
        <w:tc>
          <w:tcPr>
            <w:tcW w:w="8539" w:type="dxa"/>
            <w:vAlign w:val="center"/>
          </w:tcPr>
          <w:p w:rsidR="00160785" w:rsidRPr="002B00B5" w:rsidRDefault="00160785" w:rsidP="002B00B5">
            <w:pPr>
              <w:pStyle w:val="a9"/>
              <w:rPr>
                <w:rFonts w:ascii="TimesTen-Roman" w:eastAsia="TimesTen-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[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acc>
                  <m:acc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)] = </m:t>
                </m:r>
                <m:limLow>
                  <m:limLow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 xml:space="preserve">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app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 + </m:t>
                </m:r>
                <m:limLow>
                  <m:limLow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Ten-Roman" w:hAnsi="Cambria Math" w:hint="eastAsia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  <w:lang w:val="en-US"/>
                          </w:rPr>
                          <m:t>est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 xml:space="preserve"> , </m:t>
                    </m:r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:rsidR="00160785" w:rsidRPr="00935FFD" w:rsidRDefault="00160785" w:rsidP="0011622E">
            <w:pPr>
              <w:pStyle w:val="a9"/>
              <w:rPr>
                <w:rFonts w:ascii="TimesTen-Roman" w:eastAsia="TimesTen-Roman" w:hint="eastAsia"/>
                <w:sz w:val="20"/>
                <w:szCs w:val="20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</w:rPr>
              <w:t>(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begin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instrText xml:space="preserve"> SEQ Формула \* ARABIC </w:instrTex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separate"/>
            </w:r>
            <w:r>
              <w:rPr>
                <w:rFonts w:ascii="TimesTen-Roman" w:eastAsia="TimesTen-Roman"/>
                <w:noProof/>
                <w:sz w:val="20"/>
                <w:szCs w:val="20"/>
              </w:rPr>
              <w:t>5</w:t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fldChar w:fldCharType="end"/>
            </w:r>
            <w:r w:rsidRPr="00935FFD">
              <w:rPr>
                <w:rFonts w:ascii="TimesTen-Roman" w:eastAsia="TimesTen-Roman" w:hint="eastAsia"/>
                <w:sz w:val="20"/>
                <w:szCs w:val="20"/>
              </w:rPr>
              <w:t>)</w:t>
            </w:r>
          </w:p>
        </w:tc>
      </w:tr>
    </w:tbl>
    <w:p w:rsidR="006B7FA5" w:rsidRPr="00935FFD" w:rsidRDefault="006B7FA5" w:rsidP="006B7FA5">
      <w:pPr>
        <w:pStyle w:val="aa"/>
        <w:rPr>
          <w:rFonts w:ascii="TimesTen-Roman" w:eastAsia="TimesTen-Roman" w:hint="eastAsia"/>
          <w:sz w:val="20"/>
          <w:szCs w:val="20"/>
          <w:lang w:val="en-US"/>
        </w:rPr>
      </w:pPr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where the expectation is with respect to the random choice of </w:t>
      </w: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train</m:t>
            </m:r>
          </m:sub>
        </m:sSub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. The approximation error </w:t>
      </w: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app</m:t>
            </m:r>
          </m:sub>
        </m:sSub>
        <m: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measures how close the functions in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H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can approximate the optimal hypothesis </w:t>
      </w:r>
      <m:oMath>
        <m:acc>
          <m:acc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h</m:t>
            </m:r>
          </m:e>
        </m:acc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, and the estimation error </w:t>
      </w: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est</m:t>
            </m:r>
          </m:sub>
        </m:sSub>
        <m: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 xml:space="preserve"> , 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I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 xml:space="preserve">) 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measures the effect of minimizing the empirical risk </w:t>
      </w:r>
      <m:oMath>
        <m:sSub>
          <m:sSubPr>
            <m:ctrlPr>
              <w:rPr>
                <w:rFonts w:ascii="Cambria Math" w:eastAsia="TimesTen-Roman" w:hAnsi="Cambria Math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instead of the expected risk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R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within </w:t>
      </w:r>
      <m:oMath>
        <m:r>
          <w:rPr>
            <w:rFonts w:ascii="Cambria Math" w:eastAsia="TimesTen-Roman" w:hAnsi="Cambria Math" w:hint="eastAsia"/>
            <w:sz w:val="20"/>
            <w:szCs w:val="20"/>
            <w:lang w:val="en-US"/>
          </w:rPr>
          <m:t>H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. </w:t>
      </w:r>
    </w:p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>Recently, more complicated task-invariant embedding models are learned via meta-learning 2 methods:</w:t>
      </w:r>
    </w:p>
    <w:p w:rsidR="006B7FA5" w:rsidRPr="00935FFD" w:rsidRDefault="006B7FA5" w:rsidP="00935FFD">
      <w:pPr>
        <w:pStyle w:val="a"/>
        <w:rPr>
          <w:rFonts w:ascii="TimesTen-Roman" w:eastAsia="TimesTen-Roman" w:hint="eastAsia"/>
          <w:sz w:val="20"/>
          <w:szCs w:val="20"/>
        </w:rPr>
      </w:pPr>
      <w:r w:rsidRPr="00935FFD">
        <w:rPr>
          <w:rFonts w:ascii="TimesTen-Roman" w:eastAsia="TimesTen-Roman" w:hint="eastAsia"/>
          <w:sz w:val="20"/>
          <w:szCs w:val="20"/>
        </w:rPr>
        <w:t>Matching Nets and its variants;</w:t>
      </w:r>
    </w:p>
    <w:p w:rsidR="006B7FA5" w:rsidRPr="00935FFD" w:rsidRDefault="006B7FA5" w:rsidP="00935FFD">
      <w:pPr>
        <w:pStyle w:val="a"/>
        <w:rPr>
          <w:rFonts w:ascii="TimesTen-Roman" w:eastAsia="TimesTen-Roman" w:hint="eastAsia"/>
          <w:sz w:val="20"/>
          <w:szCs w:val="20"/>
        </w:rPr>
      </w:pPr>
      <w:r w:rsidRPr="00935FFD">
        <w:rPr>
          <w:rFonts w:ascii="TimesTen-Roman" w:eastAsia="TimesTen-Roman" w:hint="eastAsia"/>
          <w:sz w:val="20"/>
          <w:szCs w:val="20"/>
        </w:rPr>
        <w:t>Prototypical Networks (ProtoNet) and its variants;</w:t>
      </w:r>
    </w:p>
    <w:p w:rsidR="006B7FA5" w:rsidRPr="00935FFD" w:rsidRDefault="006B7FA5" w:rsidP="00935FFD">
      <w:pPr>
        <w:pStyle w:val="a"/>
        <w:rPr>
          <w:rFonts w:ascii="TimesTen-Roman" w:eastAsia="TimesTen-Roman" w:hint="eastAsia"/>
          <w:sz w:val="20"/>
          <w:szCs w:val="20"/>
        </w:rPr>
      </w:pPr>
      <w:r w:rsidRPr="00935FFD">
        <w:rPr>
          <w:rFonts w:ascii="TimesTen-Roman" w:eastAsia="TimesTen-Roman" w:hint="eastAsia"/>
          <w:sz w:val="20"/>
          <w:szCs w:val="20"/>
        </w:rPr>
        <w:t xml:space="preserve">Other methods. </w:t>
      </w:r>
    </w:p>
    <w:p w:rsidR="006B7FA5" w:rsidRPr="00935FFD" w:rsidRDefault="006B7FA5" w:rsidP="006B7FA5">
      <w:pPr>
        <w:pStyle w:val="ac"/>
        <w:rPr>
          <w:rFonts w:ascii="TimesTen-Roman" w:eastAsia="TimesTen-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cs="Times New Roman" w:hint="eastAsia"/>
          <w:noProof/>
          <w:sz w:val="20"/>
          <w:szCs w:val="20"/>
        </w:rPr>
        <w:drawing>
          <wp:inline distT="0" distB="0" distL="0" distR="0">
            <wp:extent cx="5771515" cy="2867660"/>
            <wp:effectExtent l="19050" t="0" r="63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A5" w:rsidRPr="00935FFD" w:rsidRDefault="00303ABD" w:rsidP="006B7FA5">
      <w:pPr>
        <w:pStyle w:val="-0"/>
        <w:rPr>
          <w:rFonts w:ascii="TimesTen-Roman" w:eastAsia="TimesTen-Roman" w:hint="eastAsia"/>
          <w:sz w:val="20"/>
          <w:szCs w:val="20"/>
          <w:lang w:val="en-US"/>
        </w:rPr>
      </w:pPr>
      <w:r w:rsidRPr="00935FFD">
        <w:rPr>
          <w:rFonts w:ascii="TimesTen-Roman" w:eastAsia="TimesTen-Roman"/>
          <w:color w:val="00B0F0"/>
          <w:sz w:val="20"/>
          <w:szCs w:val="20"/>
          <w:lang w:val="en-US"/>
        </w:rPr>
        <w:t>FIGURE 1</w:t>
      </w:r>
      <w:r w:rsidRPr="00935FFD">
        <w:rPr>
          <w:rFonts w:ascii="TimesTen-Roman" w:eastAsia="TimesTen-Roman"/>
          <w:sz w:val="20"/>
          <w:szCs w:val="20"/>
          <w:lang w:val="en-US"/>
        </w:rPr>
        <w:t xml:space="preserve"> </w:t>
      </w:r>
      <w:r w:rsidR="006B7FA5" w:rsidRPr="00935FFD">
        <w:rPr>
          <w:rFonts w:ascii="TimesTen-Roman" w:eastAsia="TimesTen-Roman" w:hint="eastAsia"/>
          <w:sz w:val="20"/>
          <w:szCs w:val="20"/>
          <w:lang w:val="en-US"/>
        </w:rPr>
        <w:t>Comparison of learning with sufficient and few training samples.</w:t>
      </w:r>
    </w:p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However, in FSL, the number of available examples </w:t>
      </w:r>
      <m:oMath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I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is small. The empirical risk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>(</m:t>
        </m:r>
        <m:r>
          <w:rPr>
            <w:rFonts w:ascii="TimesTen-Roman" w:eastAsia="TimesTen-Roman" w:hAnsi="Cambria Math" w:cs="Times New Roman" w:hint="eastAsia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may then be far from being a good approximation of the expected risk </w:t>
      </w:r>
      <m:oMath>
        <m:r>
          <w:rPr>
            <w:rFonts w:ascii="Cambria Math" w:eastAsia="TimesTen-Roman" w:hAnsi="Cambria Math" w:cs="Times New Roman" w:hint="eastAsia"/>
            <w:sz w:val="20"/>
            <w:szCs w:val="20"/>
            <w:lang w:val="en-US"/>
          </w:rPr>
          <m:t>R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>(</m:t>
        </m:r>
        <m:r>
          <w:rPr>
            <w:rFonts w:ascii="TimesTen-Roman" w:eastAsia="TimesTen-Roman" w:hAnsi="Cambria Math" w:cs="Times New Roman" w:hint="eastAsia"/>
            <w:sz w:val="20"/>
            <w:szCs w:val="20"/>
            <w:lang w:val="en-US"/>
          </w:rPr>
          <m:t>h</m:t>
        </m:r>
        <m:r>
          <w:rPr>
            <w:rFonts w:ascii="Cambria Math" w:eastAsia="TimesTen-Roman" w:hAnsi="Times New Roman" w:cs="Times New 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, and the resultant empirical risk minimizer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</m:ctrlPr>
          </m:sSub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overfits. Indeed, this is the core issue of FSL supervised learning, i.e., the empirical risk minimizer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</m:ctrlPr>
          </m:sSub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is no </w:t>
      </w: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lastRenderedPageBreak/>
        <w:t>longer reliable. Therefore, FSL is much harder. A comparison of learning with sufficient and few training samples is shown in Figure 1.</w:t>
      </w:r>
    </w:p>
    <w:p w:rsidR="006B7FA5" w:rsidRPr="00935FFD" w:rsidRDefault="006B7FA5" w:rsidP="006B7FA5">
      <w:pPr>
        <w:pStyle w:val="ac"/>
        <w:rPr>
          <w:rFonts w:ascii="TimesTen-Roman" w:eastAsia="TimesTen-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cs="Times New Roman" w:hint="eastAsia"/>
          <w:noProof/>
          <w:sz w:val="20"/>
          <w:szCs w:val="20"/>
        </w:rPr>
        <w:drawing>
          <wp:inline distT="0" distB="0" distL="0" distR="0">
            <wp:extent cx="5939790" cy="2514919"/>
            <wp:effectExtent l="19050" t="0" r="381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A5" w:rsidRPr="00935FFD" w:rsidRDefault="00303ABD" w:rsidP="006B7FA5">
      <w:pPr>
        <w:pStyle w:val="-0"/>
        <w:rPr>
          <w:rFonts w:ascii="TimesTen-Roman" w:eastAsia="TimesTen-Roman" w:hint="eastAsia"/>
          <w:sz w:val="20"/>
          <w:szCs w:val="20"/>
          <w:lang w:val="en-US"/>
        </w:rPr>
      </w:pPr>
      <w:r w:rsidRPr="00935FFD">
        <w:rPr>
          <w:rFonts w:ascii="TimesTen-Roman" w:eastAsia="TimesTen-Roman"/>
          <w:color w:val="00B0F0"/>
          <w:sz w:val="20"/>
          <w:szCs w:val="20"/>
          <w:lang w:val="en-US"/>
        </w:rPr>
        <w:t>FIGURE 2</w:t>
      </w:r>
      <w:r w:rsidRPr="00935FFD">
        <w:rPr>
          <w:rFonts w:ascii="TimesTen-Roman" w:eastAsia="TimesTen-Roman"/>
          <w:sz w:val="20"/>
          <w:szCs w:val="20"/>
          <w:lang w:val="en-US"/>
        </w:rPr>
        <w:t xml:space="preserve"> </w:t>
      </w:r>
      <w:r w:rsidR="006B7FA5" w:rsidRPr="00935FFD">
        <w:rPr>
          <w:rFonts w:ascii="TimesTen-Roman" w:eastAsia="TimesTen-Roman" w:hint="eastAsia"/>
          <w:sz w:val="20"/>
          <w:szCs w:val="20"/>
          <w:lang w:val="en-US"/>
        </w:rPr>
        <w:t>Different perspectives on how FSL methods solve the few-shot problem.</w:t>
      </w:r>
    </w:p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To alleviate the problem of having an unreliable empirical risk minimizer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sz w:val="20"/>
                <w:szCs w:val="20"/>
                <w:lang w:val="en-US"/>
              </w:rPr>
            </m:ctrlPr>
          </m:sSubPr>
          <m:e>
            <m:r>
              <w:rPr>
                <w:rFonts w:ascii="TimesTen-Roman" w:eastAsia="TimesTen-Roman" w:hAnsi="Cambria Math" w:cs="Times New Roman" w:hint="eastAsia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I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 in FSL supervised learning, prior knowledge must be used. Based on which aspect is enhanced using prior knowledge, existing FSL works can be categorized into the following perspectives (Figure 2).</w:t>
      </w:r>
    </w:p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 xml:space="preserve">Depending on what samples are transformed and added to </w:t>
      </w:r>
      <m:oMath>
        <m:sSub>
          <m:sSubPr>
            <m:ctrlPr>
              <w:rPr>
                <w:rFonts w:ascii="Cambria Math" w:eastAsia="TimesTen-Roman" w:hAnsi="Times New Roman" w:cs="Times New Roman" w:hint="eastAsia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Ten-Roman" w:hAnsi="Cambria Math" w:cs="Times New Roman" w:hint="eastAsia"/>
                <w:sz w:val="20"/>
                <w:szCs w:val="20"/>
                <w:lang w:val="en-US"/>
              </w:rPr>
              <m:t>train</m:t>
            </m:r>
          </m:sub>
        </m:sSub>
      </m:oMath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>, we categorize these methods as shown in Table 1.</w:t>
      </w:r>
    </w:p>
    <w:p w:rsidR="006B7FA5" w:rsidRPr="00935FFD" w:rsidRDefault="006B7FA5" w:rsidP="00935FFD">
      <w:pPr>
        <w:pStyle w:val="-"/>
        <w:shd w:val="clear" w:color="auto" w:fill="DAEEF3" w:themeFill="accent5" w:themeFillTint="33"/>
        <w:rPr>
          <w:rFonts w:ascii="TimesTen-Roman" w:eastAsia="TimesTen-Roman" w:hint="eastAsia"/>
          <w:sz w:val="20"/>
          <w:szCs w:val="20"/>
          <w:lang w:val="en-US"/>
        </w:rPr>
      </w:pPr>
      <w:r w:rsidRPr="00935FFD">
        <w:rPr>
          <w:rFonts w:ascii="TimesTen-Roman" w:eastAsia="TimesTen-Roman" w:hint="eastAsia"/>
          <w:sz w:val="20"/>
          <w:szCs w:val="20"/>
          <w:lang w:val="en-US"/>
        </w:rPr>
        <w:t>T</w:t>
      </w:r>
      <w:r w:rsidR="00935FFD" w:rsidRPr="00935FFD">
        <w:rPr>
          <w:rFonts w:ascii="TimesTen-Roman" w:eastAsia="TimesTen-Roman"/>
          <w:sz w:val="20"/>
          <w:szCs w:val="20"/>
          <w:lang w:val="en-US"/>
        </w:rPr>
        <w:t>ABLE</w:t>
      </w:r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1 Characteristics for FSL methods focusing on the data perspective. The transformer </w:t>
      </w:r>
      <m:oMath>
        <m:r>
          <w:rPr>
            <w:rFonts w:ascii="Cambria Math" w:eastAsia="TimesTen-Roman" w:hAnsi="Cambria Math" w:hint="eastAsia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m:rPr>
            <m:sty m:val="p"/>
          </m:rPr>
          <w:rPr>
            <w:rFonts w:ascii="TimesTen-Roman" w:eastAsia="TimesTen-Roman" w:hint="eastAsia"/>
            <w:sz w:val="20"/>
            <w:szCs w:val="20"/>
            <w:lang w:val="en-US"/>
          </w:rPr>
          <m:t>·</m:t>
        </m:r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 xml:space="preserve">) 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takes input </w:t>
      </w:r>
      <m:oMath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r>
          <w:rPr>
            <w:rFonts w:ascii="Cambria Math" w:eastAsia="TimesTen-Roman" w:hAnsi="Cambria Math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 xml:space="preserve">, </m:t>
        </m:r>
        <m:r>
          <w:rPr>
            <w:rFonts w:ascii="Cambria Math" w:eastAsia="TimesTen-Roman" w:hAnsi="Cambria Math" w:hint="eastAsia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and returns synthesized sample </w:t>
      </w:r>
      <m:oMath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>(</m:t>
        </m:r>
        <m:acc>
          <m:accPr>
            <m:chr m:val="̃"/>
            <m:ctrlPr>
              <w:rPr>
                <w:rFonts w:ascii="Cambria Math" w:eastAsia="TimesTen-Roman" w:hAnsi="Cambria Math" w:hint="eastAsia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eastAsia="TimesTen-Roman" w:hAnsi="Cambria Math" w:hint="eastAsia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eastAsia="TimesTen-Roman" w:hint="eastAsia"/>
            <w:sz w:val="20"/>
            <w:szCs w:val="20"/>
            <w:lang w:val="en-US"/>
          </w:rPr>
          <m:t>)</m:t>
        </m:r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to augment the few-shot </w:t>
      </w:r>
      <m:oMath>
        <m:sSub>
          <m:sSubPr>
            <m:ctrlPr>
              <w:rPr>
                <w:rFonts w:ascii="Cambria Math" w:eastAsia="TimesTen-Roman" w:hAnsi="Cambria Math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TimesTen-Roman" w:hAnsi="Cambria Math" w:hint="eastAsi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TimesTen-Roman" w:hAnsi="Cambria Math" w:hint="eastAsia"/>
                <w:sz w:val="20"/>
                <w:szCs w:val="20"/>
              </w:rPr>
              <m:t>train</m:t>
            </m:r>
          </m:sub>
        </m:sSub>
      </m:oMath>
      <w:r w:rsidRPr="00935FFD">
        <w:rPr>
          <w:rFonts w:ascii="TimesTen-Roman" w:eastAsia="TimesTen-Roman" w:hint="eastAsia"/>
          <w:sz w:val="20"/>
          <w:szCs w:val="20"/>
          <w:lang w:val="en-US"/>
        </w:rPr>
        <w:t>.</w:t>
      </w:r>
    </w:p>
    <w:tbl>
      <w:tblPr>
        <w:tblStyle w:val="ad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6B7FA5" w:rsidRPr="00935FFD" w:rsidTr="0011622E"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category </w:t>
            </w:r>
          </w:p>
        </w:tc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input </w:t>
            </w:r>
            <m:oMath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(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transformer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="TimesTen-Roman" w:hAnsi="Cambria Math" w:hint="eastAsia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="TimesTen-Roman" w:hAnsi="Cambria Math" w:hint="eastAsia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)</m:t>
              </m:r>
            </m:oMath>
          </w:p>
        </w:tc>
      </w:tr>
      <w:tr w:rsidR="006B7FA5" w:rsidRPr="00935FFD" w:rsidTr="0011622E"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transforming samples from </w:t>
            </w:r>
            <m:oMath>
              <m:sSub>
                <m:sSubPr>
                  <m:ctrlP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train</m:t>
                  </m:r>
                </m:sub>
              </m:sSub>
            </m:oMath>
          </w:p>
        </w:tc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original </w:t>
            </w:r>
            <m:oMath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Ten-Roman" w:hAnsi="Cambria Math" w:hint="eastAsia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Ten-Roman" w:hint="eastAsia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Ten-Roman" w:hAnsi="Cambria Math" w:hint="eastAsia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Ten-Roman" w:hint="eastAsia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learned transformation function on </w:t>
            </w:r>
            <m:oMath>
              <m:sSub>
                <m:sSubPr>
                  <m:ctrlPr>
                    <w:rPr>
                      <w:rFonts w:ascii="Cambria Math" w:eastAsia="TimesTen-Roman" w:hAnsi="Cambria Math" w:hint="eastAsia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Ten-Roman" w:hint="eastAsia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Ten-Roman" w:hAnsi="Cambria Math" w:hint="eastAsia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eastAsia="TimesTen-Roman" w:hAnsi="Cambria Math" w:hint="eastAsia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Ten-Roman" w:hint="eastAsia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  <w:tr w:rsidR="006B7FA5" w:rsidRPr="00935FFD" w:rsidTr="0011622E"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transforming samples from a weakly labeled or unlabeled data set</w:t>
            </w:r>
          </w:p>
        </w:tc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weakly labeled or unlabeled </w:t>
            </w:r>
            <m:oMath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TimesTen-Roman" w:hAnsi="Cambria Math" w:hint="eastAsia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TimesTen-Roman" w:eastAsia="TimesTen-Roman" w:hint="eastAsia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a predictor trained from </w:t>
            </w:r>
            <m:oMath>
              <m:sSub>
                <m:sSubPr>
                  <m:ctrlP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TimesTen-Roman" w:hAnsi="Cambria Math" w:hint="eastAsia"/>
                      <w:sz w:val="20"/>
                      <w:szCs w:val="20"/>
                    </w:rPr>
                    <m:t>train</m:t>
                  </m:r>
                </m:sub>
              </m:sSub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TimesTen-Roman" w:hAnsi="Cambria Math" w:hint="eastAsia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TimesTen-Roman" w:hAnsi="Cambria Math" w:hint="eastAsia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Ten-Roman" w:hAnsi="Cambria Math" w:hint="eastAsia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))</m:t>
                </m:r>
              </m:oMath>
            </m:oMathPara>
          </w:p>
        </w:tc>
      </w:tr>
      <w:tr w:rsidR="006B7FA5" w:rsidRPr="00935FFD" w:rsidTr="0011622E"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transforming samples from similar data sets</w:t>
            </w:r>
          </w:p>
        </w:tc>
        <w:tc>
          <w:tcPr>
            <w:tcW w:w="2392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samples </w:t>
            </w:r>
            <m:oMath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{</m:t>
              </m:r>
              <m:d>
                <m:dPr>
                  <m:ctrlPr>
                    <w:rPr>
                      <w:rFonts w:ascii="Cambria Math" w:eastAsia="TimesTen-Roman" w:hAnsi="Cambria Math" w:hint="eastAsia"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Ten-Roman" w:hAnsi="Cambria Math" w:hint="eastAsia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 w:hint="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 w:hint="eastAsia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Ten-Roman" w:hint="eastAsia"/>
                      <w:sz w:val="20"/>
                      <w:szCs w:val="20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="TimesTen-Roman" w:hAnsi="Cambria Math" w:hint="eastAsia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 w:hint="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 w:hint="eastAsia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 w:hint="eastAsia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}</m:t>
              </m:r>
            </m:oMath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 from similar data sets</w:t>
            </w:r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an aggregator to combine </w:t>
            </w:r>
            <m:oMath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{</m:t>
              </m:r>
              <m:d>
                <m:dPr>
                  <m:ctrlPr>
                    <w:rPr>
                      <w:rFonts w:ascii="Cambria Math" w:eastAsia="TimesTen-Roman" w:hAnsi="Cambria Math" w:hint="eastAsia"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Ten-Roman" w:hAnsi="Cambria Math" w:hint="eastAsia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 w:hint="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 w:hint="eastAsia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Ten-Roman" w:hint="eastAsia"/>
                      <w:sz w:val="20"/>
                      <w:szCs w:val="20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="TimesTen-Roman" w:hAnsi="Cambria Math" w:hint="eastAsia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Ten-Roman" w:hAnsi="Cambria Math" w:hint="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 w:hint="eastAsia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Ten-Roman" w:hint="eastAsia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>}</m:t>
              </m:r>
            </m:oMath>
          </w:p>
        </w:tc>
        <w:tc>
          <w:tcPr>
            <w:tcW w:w="2393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 ({</m:t>
                </m:r>
                <m:acc>
                  <m:acc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 xml:space="preserve">}), </m:t>
                </m:r>
                <m:r>
                  <w:rPr>
                    <w:rFonts w:ascii="Cambria Math" w:eastAsia="TimesTen-Roman" w:hAnsi="Cambria Math" w:hint="eastAsia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({</m:t>
                </m:r>
                <m:acc>
                  <m:accPr>
                    <m:ctrlPr>
                      <w:rPr>
                        <w:rFonts w:ascii="Cambria Math" w:eastAsia="TimesTen-Roman" w:hAnsi="Cambria Math" w:hint="eastAsia"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Ten-Roman" w:hAnsi="Cambria Math" w:hint="eastAsia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 w:hint="eastAsia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 w:hint="eastAsia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TimesTen-Roman" w:hint="eastAsia"/>
                    <w:sz w:val="20"/>
                    <w:szCs w:val="20"/>
                    <w:lang w:val="en-US"/>
                  </w:rPr>
                  <m:t>}))</m:t>
                </m:r>
              </m:oMath>
            </m:oMathPara>
          </w:p>
        </w:tc>
      </w:tr>
    </w:tbl>
    <w:p w:rsidR="006B7FA5" w:rsidRPr="00935FFD" w:rsidRDefault="006B7FA5" w:rsidP="006B7FA5">
      <w:pPr>
        <w:pStyle w:val="-"/>
        <w:rPr>
          <w:rFonts w:ascii="TimesTen-Roman" w:eastAsia="TimesTen-Roman" w:hint="eastAsia"/>
          <w:sz w:val="20"/>
          <w:szCs w:val="20"/>
          <w:lang w:val="en-US"/>
        </w:rPr>
      </w:pPr>
    </w:p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  <w:r w:rsidRPr="00935FFD">
        <w:rPr>
          <w:rFonts w:ascii="TimesTen-Roman" w:eastAsia="TimesTen-Roman" w:hAnsi="Times New Roman" w:cs="Times New Roman" w:hint="eastAsia"/>
          <w:sz w:val="20"/>
          <w:szCs w:val="20"/>
          <w:lang w:val="en-US"/>
        </w:rPr>
        <w:t>In terms of what prior knowledge is used, methods belonging to this category can be further classified into four types (Table 2).</w:t>
      </w:r>
    </w:p>
    <w:p w:rsidR="006B7FA5" w:rsidRPr="00935FFD" w:rsidRDefault="006B7FA5" w:rsidP="00935FFD">
      <w:pPr>
        <w:pStyle w:val="-"/>
        <w:shd w:val="clear" w:color="auto" w:fill="DAEEF3" w:themeFill="accent5" w:themeFillTint="33"/>
        <w:rPr>
          <w:rFonts w:ascii="TimesTen-Roman" w:eastAsia="TimesTen-Roman" w:hint="eastAsia"/>
          <w:sz w:val="20"/>
          <w:szCs w:val="20"/>
          <w:lang w:val="en-US"/>
        </w:rPr>
      </w:pPr>
      <w:r w:rsidRPr="00935FFD">
        <w:rPr>
          <w:rFonts w:ascii="TimesTen-Roman" w:eastAsia="TimesTen-Roman" w:hint="eastAsia"/>
          <w:sz w:val="20"/>
          <w:szCs w:val="20"/>
          <w:lang w:val="en-US"/>
        </w:rPr>
        <w:t>T</w:t>
      </w:r>
      <w:r w:rsidR="00935FFD">
        <w:rPr>
          <w:rFonts w:ascii="TimesTen-Roman" w:eastAsia="TimesTen-Roman"/>
          <w:sz w:val="20"/>
          <w:szCs w:val="20"/>
          <w:lang w:val="en-US"/>
        </w:rPr>
        <w:t>ABLE</w:t>
      </w:r>
      <w:r w:rsidRPr="00935FFD">
        <w:rPr>
          <w:rFonts w:ascii="TimesTen-Roman" w:eastAsia="TimesTen-Roman" w:hint="eastAsia"/>
          <w:sz w:val="20"/>
          <w:szCs w:val="20"/>
          <w:lang w:val="en-US"/>
        </w:rPr>
        <w:t xml:space="preserve"> 2 Characteristics for FSL methods focusing on the model perspective.</w:t>
      </w:r>
    </w:p>
    <w:tbl>
      <w:tblPr>
        <w:tblStyle w:val="ad"/>
        <w:tblW w:w="0" w:type="auto"/>
        <w:tblLook w:val="04A0"/>
      </w:tblPr>
      <w:tblGrid>
        <w:gridCol w:w="3190"/>
        <w:gridCol w:w="3190"/>
        <w:gridCol w:w="3190"/>
      </w:tblGrid>
      <w:tr w:rsidR="006B7FA5" w:rsidRPr="00935FFD" w:rsidTr="0011622E"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strategy 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prior knowledge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how to constrain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H</m:t>
              </m:r>
            </m:oMath>
          </w:p>
        </w:tc>
      </w:tr>
      <w:tr w:rsidR="006B7FA5" w:rsidRPr="00935FFD" w:rsidTr="0011622E"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lastRenderedPageBreak/>
              <w:t>multitask learning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other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TimesTen-Roman" w:eastAsia="TimesTen-Roman" w:hint="eastAsia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s</m:t>
              </m:r>
            </m:oMath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 with their data sets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D</m:t>
              </m:r>
              <m:r>
                <w:rPr>
                  <w:rFonts w:ascii="TimesTen-Roman" w:eastAsia="TimesTen-Roman" w:hint="eastAsia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share/tie parameter</w:t>
            </w:r>
          </w:p>
        </w:tc>
      </w:tr>
      <w:tr w:rsidR="006B7FA5" w:rsidRPr="00935FFD" w:rsidTr="0011622E"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embedding learning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embedding learned from/together with other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TimesTen-Roman" w:eastAsia="TimesTen-Roman" w:hint="eastAsia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project samples to a smaller embedding space in which similar and dissimilar samples can be easily discriminated</w:t>
            </w:r>
          </w:p>
        </w:tc>
      </w:tr>
      <w:tr w:rsidR="006B7FA5" w:rsidRPr="00935FFD" w:rsidTr="0011622E"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learning with external memory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embedding learned from other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TimesTen-Roman" w:eastAsia="TimesTen-Roman" w:hint="eastAsia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s</m:t>
              </m:r>
            </m:oMath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 to interact with memory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refine samples using key-value pairs stored in memory</w:t>
            </w:r>
          </w:p>
        </w:tc>
      </w:tr>
      <w:tr w:rsidR="006B7FA5" w:rsidRPr="00935FFD" w:rsidTr="0011622E"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generative modeling</w:t>
            </w:r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 xml:space="preserve">prior model learned from other </w:t>
            </w:r>
            <m:oMath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eastAsia="TimesTen-Roman" w:hint="eastAsia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TimesTen-Roman" w:eastAsia="TimesTen-Roman" w:hint="eastAsia"/>
                  <w:sz w:val="20"/>
                  <w:szCs w:val="20"/>
                  <w:lang w:val="en-US"/>
                </w:rPr>
                <m:t>’</m:t>
              </m:r>
              <m:r>
                <w:rPr>
                  <w:rFonts w:ascii="Cambria Math" w:eastAsia="TimesTen-Roman" w:hAnsi="Cambria Math" w:hint="eastAsia"/>
                  <w:sz w:val="20"/>
                  <w:szCs w:val="20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6B7FA5" w:rsidRPr="00935FFD" w:rsidRDefault="006B7FA5" w:rsidP="0011622E">
            <w:pPr>
              <w:pStyle w:val="-1"/>
              <w:rPr>
                <w:rFonts w:ascii="TimesTen-Roman" w:eastAsia="TimesTen-Roman" w:hint="eastAsia"/>
                <w:sz w:val="20"/>
                <w:szCs w:val="20"/>
                <w:lang w:val="en-US"/>
              </w:rPr>
            </w:pPr>
            <w:r w:rsidRPr="00935FFD">
              <w:rPr>
                <w:rFonts w:ascii="TimesTen-Roman" w:eastAsia="TimesTen-Roman" w:hint="eastAsia"/>
                <w:sz w:val="20"/>
                <w:szCs w:val="20"/>
                <w:lang w:val="en-US"/>
              </w:rPr>
              <w:t>restrict the form of distribution</w:t>
            </w:r>
          </w:p>
        </w:tc>
      </w:tr>
    </w:tbl>
    <w:p w:rsidR="006B7FA5" w:rsidRPr="00935FFD" w:rsidRDefault="006B7FA5" w:rsidP="006B7FA5">
      <w:pPr>
        <w:rPr>
          <w:rFonts w:ascii="TimesTen-Roman" w:eastAsia="TimesTen-Roman" w:hAnsi="Times New Roman" w:cs="Times New Roman" w:hint="eastAsia"/>
          <w:sz w:val="20"/>
          <w:szCs w:val="20"/>
          <w:lang w:val="en-US"/>
        </w:rPr>
      </w:pPr>
    </w:p>
    <w:p w:rsidR="00C474C4" w:rsidRPr="00935FFD" w:rsidRDefault="00C474C4">
      <w:pPr>
        <w:rPr>
          <w:rFonts w:ascii="TimesTen-Roman" w:eastAsia="TimesTen-Roman" w:hint="eastAsia"/>
          <w:sz w:val="20"/>
          <w:szCs w:val="20"/>
          <w:lang w:val="en-US"/>
        </w:rPr>
      </w:pPr>
    </w:p>
    <w:sectPr w:rsidR="00C474C4" w:rsidRPr="00935FFD" w:rsidSect="00303ABD">
      <w:footerReference w:type="default" r:id="rId10"/>
      <w:pgSz w:w="11906" w:h="16838"/>
      <w:pgMar w:top="1134" w:right="850" w:bottom="1134" w:left="1701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4C4" w:rsidRDefault="00C474C4" w:rsidP="00303ABD">
      <w:pPr>
        <w:spacing w:after="0" w:line="240" w:lineRule="auto"/>
      </w:pPr>
      <w:r>
        <w:separator/>
      </w:r>
    </w:p>
  </w:endnote>
  <w:endnote w:type="continuationSeparator" w:id="1">
    <w:p w:rsidR="00C474C4" w:rsidRDefault="00C474C4" w:rsidP="0030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utiger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3053860"/>
      <w:docPartObj>
        <w:docPartGallery w:val="Page Numbers (Bottom of Page)"/>
        <w:docPartUnique/>
      </w:docPartObj>
    </w:sdtPr>
    <w:sdtContent>
      <w:p w:rsidR="00303ABD" w:rsidRDefault="00303ABD">
        <w:pPr>
          <w:pStyle w:val="af3"/>
          <w:jc w:val="right"/>
        </w:pPr>
        <w:fldSimple w:instr=" PAGE   \* MERGEFORMAT ">
          <w:r w:rsidR="004B266E">
            <w:rPr>
              <w:noProof/>
            </w:rPr>
            <w:t>ii</w:t>
          </w:r>
        </w:fldSimple>
      </w:p>
    </w:sdtContent>
  </w:sdt>
  <w:p w:rsidR="00303ABD" w:rsidRDefault="00303ABD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4C4" w:rsidRDefault="00C474C4" w:rsidP="00303ABD">
      <w:pPr>
        <w:spacing w:after="0" w:line="240" w:lineRule="auto"/>
      </w:pPr>
      <w:r>
        <w:separator/>
      </w:r>
    </w:p>
  </w:footnote>
  <w:footnote w:type="continuationSeparator" w:id="1">
    <w:p w:rsidR="00C474C4" w:rsidRDefault="00C474C4" w:rsidP="0030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6CA1"/>
    <w:multiLevelType w:val="hybridMultilevel"/>
    <w:tmpl w:val="F5FC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E3F01"/>
    <w:multiLevelType w:val="hybridMultilevel"/>
    <w:tmpl w:val="B9A2F1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9E7854"/>
    <w:multiLevelType w:val="hybridMultilevel"/>
    <w:tmpl w:val="26A28168"/>
    <w:lvl w:ilvl="0" w:tplc="DCB24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EE1BA1"/>
    <w:multiLevelType w:val="hybridMultilevel"/>
    <w:tmpl w:val="58B6BDDA"/>
    <w:lvl w:ilvl="0" w:tplc="041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A04B9"/>
    <w:multiLevelType w:val="hybridMultilevel"/>
    <w:tmpl w:val="FC6C429C"/>
    <w:lvl w:ilvl="0" w:tplc="0419000F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7FA5"/>
    <w:rsid w:val="00160785"/>
    <w:rsid w:val="002B00B5"/>
    <w:rsid w:val="00303ABD"/>
    <w:rsid w:val="004B266E"/>
    <w:rsid w:val="006B7FA5"/>
    <w:rsid w:val="00935FFD"/>
    <w:rsid w:val="00C4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0785"/>
  </w:style>
  <w:style w:type="paragraph" w:styleId="1">
    <w:name w:val="heading 1"/>
    <w:basedOn w:val="a0"/>
    <w:next w:val="a0"/>
    <w:link w:val="10"/>
    <w:qFormat/>
    <w:rsid w:val="006B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6B7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6B7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Список маркированный"/>
    <w:basedOn w:val="a5"/>
    <w:link w:val="a6"/>
    <w:qFormat/>
    <w:rsid w:val="006B7FA5"/>
    <w:pPr>
      <w:spacing w:before="100" w:beforeAutospacing="1" w:after="100" w:afterAutospacing="1" w:line="240" w:lineRule="auto"/>
    </w:pPr>
    <w:rPr>
      <w:rFonts w:eastAsia="Times New Roman"/>
      <w:color w:val="000000"/>
      <w:sz w:val="27"/>
      <w:szCs w:val="27"/>
      <w:lang w:val="en-US"/>
    </w:rPr>
  </w:style>
  <w:style w:type="character" w:customStyle="1" w:styleId="a6">
    <w:name w:val="Список маркированный Знак"/>
    <w:basedOn w:val="a1"/>
    <w:link w:val="a4"/>
    <w:rsid w:val="006B7FA5"/>
    <w:rPr>
      <w:rFonts w:ascii="Times New Roman" w:eastAsia="Times New Roman" w:hAnsi="Times New Roman" w:cs="Times New Roman"/>
      <w:color w:val="000000"/>
      <w:sz w:val="27"/>
      <w:szCs w:val="27"/>
      <w:lang w:val="en-US"/>
    </w:rPr>
  </w:style>
  <w:style w:type="paragraph" w:customStyle="1" w:styleId="a">
    <w:name w:val="Список нумерованный"/>
    <w:basedOn w:val="a5"/>
    <w:autoRedefine/>
    <w:qFormat/>
    <w:rsid w:val="00935FFD"/>
    <w:pPr>
      <w:numPr>
        <w:numId w:val="2"/>
      </w:numPr>
      <w:spacing w:before="100" w:beforeAutospacing="1" w:after="100" w:afterAutospacing="1" w:line="240" w:lineRule="auto"/>
    </w:pPr>
    <w:rPr>
      <w:rFonts w:eastAsia="Times New Roman"/>
      <w:color w:val="000000"/>
      <w:sz w:val="27"/>
      <w:szCs w:val="27"/>
      <w:lang w:val="en-US"/>
    </w:rPr>
  </w:style>
  <w:style w:type="paragraph" w:styleId="a7">
    <w:name w:val="TOC Heading"/>
    <w:basedOn w:val="1"/>
    <w:next w:val="a0"/>
    <w:uiPriority w:val="39"/>
    <w:semiHidden/>
    <w:unhideWhenUsed/>
    <w:qFormat/>
    <w:rsid w:val="006B7FA5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6B7FA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B7FA5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6B7FA5"/>
    <w:rPr>
      <w:color w:val="0000FF" w:themeColor="hyperlink"/>
      <w:u w:val="single"/>
    </w:rPr>
  </w:style>
  <w:style w:type="paragraph" w:customStyle="1" w:styleId="a9">
    <w:name w:val="Формула"/>
    <w:basedOn w:val="a0"/>
    <w:next w:val="a0"/>
    <w:qFormat/>
    <w:rsid w:val="006B7FA5"/>
    <w:pPr>
      <w:widowControl w:val="0"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После формулы"/>
    <w:basedOn w:val="a0"/>
    <w:next w:val="a0"/>
    <w:link w:val="ab"/>
    <w:qFormat/>
    <w:rsid w:val="006B7FA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Таблица - заголовок"/>
    <w:basedOn w:val="a0"/>
    <w:next w:val="a0"/>
    <w:rsid w:val="006B7FA5"/>
    <w:pPr>
      <w:keepNext/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0">
    <w:name w:val="Рисунок - подпись"/>
    <w:basedOn w:val="a0"/>
    <w:next w:val="a0"/>
    <w:rsid w:val="006B7FA5"/>
    <w:pPr>
      <w:keepLines/>
      <w:suppressAutoHyphens/>
      <w:spacing w:before="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">
    <w:name w:val="Рисунок"/>
    <w:basedOn w:val="a0"/>
    <w:link w:val="12"/>
    <w:qFormat/>
    <w:rsid w:val="006B7FA5"/>
    <w:pPr>
      <w:keepNext/>
      <w:spacing w:before="240" w:after="0" w:line="360" w:lineRule="auto"/>
      <w:jc w:val="center"/>
    </w:pPr>
    <w:rPr>
      <w:rFonts w:ascii="Times New Roman" w:eastAsia="Times New Roman" w:hAnsi="Times New Roman" w:cs="Calibri"/>
      <w:sz w:val="24"/>
      <w:szCs w:val="16"/>
    </w:rPr>
  </w:style>
  <w:style w:type="character" w:customStyle="1" w:styleId="12">
    <w:name w:val="Рисунок1 Знак"/>
    <w:basedOn w:val="a1"/>
    <w:link w:val="ac"/>
    <w:rsid w:val="006B7FA5"/>
    <w:rPr>
      <w:rFonts w:ascii="Times New Roman" w:eastAsia="Times New Roman" w:hAnsi="Times New Roman" w:cs="Calibri"/>
      <w:sz w:val="24"/>
      <w:szCs w:val="16"/>
    </w:rPr>
  </w:style>
  <w:style w:type="table" w:styleId="ad">
    <w:name w:val="Table Grid"/>
    <w:basedOn w:val="a2"/>
    <w:rsid w:val="006B7FA5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Таблица - текст внутри"/>
    <w:basedOn w:val="aa"/>
    <w:link w:val="-2"/>
    <w:qFormat/>
    <w:rsid w:val="006B7FA5"/>
    <w:pPr>
      <w:spacing w:line="240" w:lineRule="auto"/>
      <w:jc w:val="center"/>
    </w:pPr>
  </w:style>
  <w:style w:type="character" w:customStyle="1" w:styleId="ab">
    <w:name w:val="После формулы Знак"/>
    <w:basedOn w:val="a1"/>
    <w:link w:val="aa"/>
    <w:rsid w:val="006B7FA5"/>
    <w:rPr>
      <w:rFonts w:ascii="Times New Roman" w:eastAsia="Times New Roman" w:hAnsi="Times New Roman" w:cs="Times New Roman"/>
      <w:sz w:val="24"/>
      <w:szCs w:val="24"/>
    </w:rPr>
  </w:style>
  <w:style w:type="character" w:customStyle="1" w:styleId="-2">
    <w:name w:val="Таблица - текст внутри Знак"/>
    <w:basedOn w:val="ab"/>
    <w:link w:val="-1"/>
    <w:rsid w:val="006B7FA5"/>
  </w:style>
  <w:style w:type="paragraph" w:styleId="a5">
    <w:name w:val="Normal (Web)"/>
    <w:basedOn w:val="a0"/>
    <w:uiPriority w:val="99"/>
    <w:semiHidden/>
    <w:unhideWhenUsed/>
    <w:rsid w:val="006B7FA5"/>
    <w:rPr>
      <w:rFonts w:ascii="Times New Roman" w:hAnsi="Times New Roman" w:cs="Times New Roman"/>
      <w:sz w:val="24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6B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B7FA5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303ABD"/>
    <w:pPr>
      <w:ind w:left="720"/>
      <w:contextualSpacing/>
    </w:pPr>
  </w:style>
  <w:style w:type="paragraph" w:styleId="af1">
    <w:name w:val="header"/>
    <w:basedOn w:val="a0"/>
    <w:link w:val="af2"/>
    <w:uiPriority w:val="99"/>
    <w:semiHidden/>
    <w:unhideWhenUsed/>
    <w:rsid w:val="0030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semiHidden/>
    <w:rsid w:val="00303ABD"/>
  </w:style>
  <w:style w:type="paragraph" w:styleId="af3">
    <w:name w:val="footer"/>
    <w:basedOn w:val="a0"/>
    <w:link w:val="af4"/>
    <w:uiPriority w:val="99"/>
    <w:unhideWhenUsed/>
    <w:rsid w:val="0030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03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5FCEB-5303-498A-A419-8D9A8F49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2024-03-14T09:07:00Z</dcterms:created>
  <dcterms:modified xsi:type="dcterms:W3CDTF">2024-03-14T09:49:00Z</dcterms:modified>
</cp:coreProperties>
</file>