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4F9E" w:rsidRPr="00CE4F9E" w:rsidRDefault="00CE4F9E" w:rsidP="00CE4F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4F9E">
        <w:rPr>
          <w:rFonts w:ascii="Times New Roman" w:eastAsia="Times New Roman" w:hAnsi="Times New Roman" w:cs="Times New Roman"/>
          <w:b/>
          <w:bCs/>
          <w:kern w:val="0"/>
          <w:sz w:val="36"/>
          <w:szCs w:val="36"/>
          <w14:ligatures w14:val="none"/>
        </w:rPr>
        <w:t>Model Fitting Conclusions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This section provides a summary of model fit for each COC, including sensitivity analysis and model validation. Discussion of water quality model utility on the Stormwater Heatmap is included for each COC. </w:t>
      </w:r>
    </w:p>
    <w:p w:rsidR="00CE4F9E" w:rsidRPr="00CE4F9E" w:rsidRDefault="00CE4F9E" w:rsidP="00CE4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4F9E">
        <w:rPr>
          <w:rFonts w:ascii="Times New Roman" w:eastAsia="Times New Roman" w:hAnsi="Times New Roman" w:cs="Times New Roman"/>
          <w:b/>
          <w:bCs/>
          <w:kern w:val="0"/>
          <w14:ligatures w14:val="none"/>
        </w:rPr>
        <w:t>Total Copper</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i/>
          <w:iCs/>
          <w:kern w:val="0"/>
          <w14:ligatures w14:val="none"/>
        </w:rPr>
        <w:t xml:space="preserve">Spatial predictor model: ln </w:t>
      </w:r>
      <w:r w:rsidRPr="00CE4F9E">
        <w:rPr>
          <w:rFonts w:ascii="Times New Roman" w:eastAsia="Times New Roman" w:hAnsi="Times New Roman" w:cs="Times New Roman"/>
          <w:kern w:val="0"/>
          <w14:ligatures w14:val="none"/>
        </w:rPr>
        <w:t>(total copper)</w:t>
      </w:r>
      <w:r w:rsidRPr="00CE4F9E">
        <w:rPr>
          <w:rFonts w:ascii="Times New Roman" w:eastAsia="Times New Roman" w:hAnsi="Times New Roman" w:cs="Times New Roman"/>
          <w:i/>
          <w:iCs/>
          <w:kern w:val="0"/>
          <w14:ligatures w14:val="none"/>
        </w:rPr>
        <w:t xml:space="preserve"> = f </w:t>
      </w:r>
      <w:r w:rsidRPr="00CE4F9E">
        <w:rPr>
          <w:rFonts w:ascii="Times New Roman" w:eastAsia="Times New Roman" w:hAnsi="Times New Roman" w:cs="Times New Roman"/>
          <w:kern w:val="0"/>
          <w14:ligatures w14:val="none"/>
        </w:rPr>
        <w:t xml:space="preserve">(21-day </w:t>
      </w:r>
      <w:proofErr w:type="spellStart"/>
      <w:r w:rsidRPr="00CE4F9E">
        <w:rPr>
          <w:rFonts w:ascii="Times New Roman" w:eastAsia="Times New Roman" w:hAnsi="Times New Roman" w:cs="Times New Roman"/>
          <w:kern w:val="0"/>
          <w14:ligatures w14:val="none"/>
        </w:rPr>
        <w:t>precip</w:t>
      </w:r>
      <w:proofErr w:type="spellEnd"/>
      <w:r w:rsidRPr="00CE4F9E">
        <w:rPr>
          <w:rFonts w:ascii="Times New Roman" w:eastAsia="Times New Roman" w:hAnsi="Times New Roman" w:cs="Times New Roman"/>
          <w:kern w:val="0"/>
          <w14:ligatures w14:val="none"/>
        </w:rPr>
        <w:t xml:space="preserve">, summer,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devAge2)</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Primary sources of total copper to urban stormwater runoff in Washington State include wear of vehicle brake pads; building materials such as roofing, treated lumber and siding materials; parking lots; and vehicle exhaust (Bookter 2017). Additionally, total copper in stormwater runoff is related to flow, rainfall intensity and antecedent dry period (Sharma et al., 2016).</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The spatial predictor model for total copper is a clear improvement over the land use category model, and has good fit to the S8 fitting data. The spatial predictor model has an AIC value nearly four points lower than that of the categorical land use model as assessed in the frequentist model fitting. Furthermore, error bars around the spatial predictor model covariates were much smaller than error bars around covariates from the land use category model (Fig.4.9).</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During the Bayesian model fitting steps, we noted that the spatial predictor model fits well to data from high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xml:space="preserve"> and high </w:t>
      </w:r>
      <w:proofErr w:type="spellStart"/>
      <w:r w:rsidRPr="00CE4F9E">
        <w:rPr>
          <w:rFonts w:ascii="Times New Roman" w:eastAsia="Times New Roman" w:hAnsi="Times New Roman" w:cs="Times New Roman"/>
          <w:kern w:val="0"/>
          <w14:ligatures w14:val="none"/>
        </w:rPr>
        <w:t>devAge</w:t>
      </w:r>
      <w:proofErr w:type="spellEnd"/>
      <w:r w:rsidRPr="00CE4F9E">
        <w:rPr>
          <w:rFonts w:ascii="Times New Roman" w:eastAsia="Times New Roman" w:hAnsi="Times New Roman" w:cs="Times New Roman"/>
          <w:kern w:val="0"/>
          <w14:ligatures w14:val="none"/>
        </w:rPr>
        <w:t xml:space="preserve"> 2 (old development) locations (Fig. 4.13). The model seems </w:t>
      </w:r>
      <w:proofErr w:type="gramStart"/>
      <w:r w:rsidRPr="00CE4F9E">
        <w:rPr>
          <w:rFonts w:ascii="Times New Roman" w:eastAsia="Times New Roman" w:hAnsi="Times New Roman" w:cs="Times New Roman"/>
          <w:kern w:val="0"/>
          <w14:ligatures w14:val="none"/>
        </w:rPr>
        <w:t>to</w:t>
      </w:r>
      <w:proofErr w:type="gramEnd"/>
      <w:r w:rsidRPr="00CE4F9E">
        <w:rPr>
          <w:rFonts w:ascii="Times New Roman" w:eastAsia="Times New Roman" w:hAnsi="Times New Roman" w:cs="Times New Roman"/>
          <w:kern w:val="0"/>
          <w14:ligatures w14:val="none"/>
        </w:rPr>
        <w:t xml:space="preserve"> over- or under-predict total copper in some of the low-traffic locations from the S8 dataset. Additionally, location-specific intercepts arising from the nested random effects structure of the model showed some variability between locations (Fig. 4.15). This indicates that we might expect total copper levels to vary somewhat from our model predictions in new locations, although the slope of the relationship between </w:t>
      </w:r>
      <w:proofErr w:type="gramStart"/>
      <w:r w:rsidRPr="00CE4F9E">
        <w:rPr>
          <w:rFonts w:ascii="Times New Roman" w:eastAsia="Times New Roman" w:hAnsi="Times New Roman" w:cs="Times New Roman"/>
          <w:kern w:val="0"/>
          <w14:ligatures w14:val="none"/>
        </w:rPr>
        <w:t>ln(</w:t>
      </w:r>
      <w:proofErr w:type="gramEnd"/>
      <w:r w:rsidRPr="00CE4F9E">
        <w:rPr>
          <w:rFonts w:ascii="Times New Roman" w:eastAsia="Times New Roman" w:hAnsi="Times New Roman" w:cs="Times New Roman"/>
          <w:kern w:val="0"/>
          <w14:ligatures w14:val="none"/>
        </w:rPr>
        <w:t>Cu) and the scaled and centered spatial predictors should be consistent.</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spatial predictor model for total copper fits the S8 data well and is robust to changes in the model structure. The calculated RSR for the Bayesian total copper model is 0.506, indicating a model on the cusp of good and very good. Removing influential data points (only 2 for copper) or changing the variance structure resulted in &lt;1% change to model coefficients. Removing the nesting structure of the random effects from the model had a moderate effect on model coefficients (8% change in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xml:space="preserve"> coefficient, 3% change in devAge2 coefficient).</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Model validation was performed using copper data from 22 outfalls that included busy streets, highway areas, high-density urban or industrial areas, and lower density residential areas. The total copper model generally fits the trends of the validation locations well: areas with high traffic or old development are correctly predicted to have higher copper concentrations than areas with low traffic and/or new/low development (Fig.4.65). However, the model generally over-predicts the range of possible copper values for most outfalls (Fig. 4.65). The model fit data from high traffic locations very well (Fig. 4.67), but over-predicted copper for other areas. Low rainfall frequently coincided with data points that fell outside of the model predictions (Fig. 4.67).</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lastRenderedPageBreak/>
        <w:t>In general, we think the copper model is a solid improvement over land use category models, and can be relied upon to show areas that are likely to have higher magnitudes of total copper in stormwater throughout the Puget Sound Basin. The overall estimates (especially 80 and 95% prediction intervals) may be higher than reality, particularly for low traffic/ newer development watersheds.</w:t>
      </w:r>
    </w:p>
    <w:p w:rsidR="00CE4F9E" w:rsidRPr="00CE4F9E" w:rsidRDefault="00CE4F9E" w:rsidP="00CE4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4F9E">
        <w:rPr>
          <w:rFonts w:ascii="Times New Roman" w:eastAsia="Times New Roman" w:hAnsi="Times New Roman" w:cs="Times New Roman"/>
          <w:b/>
          <w:bCs/>
          <w:kern w:val="0"/>
          <w14:ligatures w14:val="none"/>
        </w:rPr>
        <w:t>Total Suspended Solids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i/>
          <w:iCs/>
          <w:kern w:val="0"/>
          <w14:ligatures w14:val="none"/>
        </w:rPr>
        <w:t xml:space="preserve">Spatial predictor model: ln </w:t>
      </w:r>
      <w:r w:rsidRPr="00CE4F9E">
        <w:rPr>
          <w:rFonts w:ascii="Times New Roman" w:eastAsia="Times New Roman" w:hAnsi="Times New Roman" w:cs="Times New Roman"/>
          <w:kern w:val="0"/>
          <w14:ligatures w14:val="none"/>
        </w:rPr>
        <w:t>(TSS)</w:t>
      </w:r>
      <w:r w:rsidRPr="00CE4F9E">
        <w:rPr>
          <w:rFonts w:ascii="Times New Roman" w:eastAsia="Times New Roman" w:hAnsi="Times New Roman" w:cs="Times New Roman"/>
          <w:i/>
          <w:iCs/>
          <w:kern w:val="0"/>
          <w14:ligatures w14:val="none"/>
        </w:rPr>
        <w:t xml:space="preserve"> = f </w:t>
      </w:r>
      <w:r w:rsidRPr="00CE4F9E">
        <w:rPr>
          <w:rFonts w:ascii="Times New Roman" w:eastAsia="Times New Roman" w:hAnsi="Times New Roman" w:cs="Times New Roman"/>
          <w:kern w:val="0"/>
          <w14:ligatures w14:val="none"/>
        </w:rPr>
        <w:t xml:space="preserve">(1-day </w:t>
      </w:r>
      <w:proofErr w:type="spellStart"/>
      <w:r w:rsidRPr="00CE4F9E">
        <w:rPr>
          <w:rFonts w:ascii="Times New Roman" w:eastAsia="Times New Roman" w:hAnsi="Times New Roman" w:cs="Times New Roman"/>
          <w:kern w:val="0"/>
          <w14:ligatures w14:val="none"/>
        </w:rPr>
        <w:t>precip</w:t>
      </w:r>
      <w:proofErr w:type="spellEnd"/>
      <w:r w:rsidRPr="00CE4F9E">
        <w:rPr>
          <w:rFonts w:ascii="Times New Roman" w:eastAsia="Times New Roman" w:hAnsi="Times New Roman" w:cs="Times New Roman"/>
          <w:kern w:val="0"/>
          <w14:ligatures w14:val="none"/>
        </w:rPr>
        <w:t xml:space="preserve">,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devAge2)</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Sources of TSS to stormwater are challenging to quantify, but are generally related to degree of urbanization (Pope &amp; Bevans, 1987). In urban stormwater, sediment source fingerprinting indicates that coarse sediments primarily originate from road deposited sediment, while fine particles originate from soils and storm grate sediments (Zhu et al., 2024). Road-deposited sediment includes anthropogenic sources (pavement wear, vehicle exhaust, tire and vehicle body wear, road salt, road paint, pedestrian debris, building and construction material); and natural sources (soil material, plant and leaf litter, atmospheric deposition) (Taylor &amp; Owens, 2009). Additionally, high rainfall intensity and large amounts of rainfall, along with long antecedent dry periods, can lead to higher concentrations of suspended solids in runoff (Zhu et al., 2024).</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The spatial predictor model for TSS is a clear improvement over the land use category model, and has good fit to the S8 fitting data. The spatial predictor model has an AIC value six and a half points lower than that of the categorical land use model as assessed in the frequentist model fitting. Furthermore, error bars around the spatial predictor model covariates were much smaller than error bars around covariates from the land use category model (Fig.4.20).</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In the Bayesian model fitting plots, we see a large spread in TSS values at each location (e.g., Fig. 4.23). The rainfall predictor for TSS is 1-day rainfall, while all other COC models have a 14- to 21-day cumulative rainfall predictor. It could be that an additional temporal predictor (season, longer duration cumulative rainfall) might improve model fit for TSS by accurately capturing within-site variability. (In the frequentist model fitting steps, we tested summer as a temporal predictor, but found it to not be significant for TSS.) Location-specific intercepts arising from the nested structure of the model's random effects showed little variability between locations (Fig. 4.26), indicating that we might expect the TSS model to fit well at new locations.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calculated RSR for the Bayesian TSS model is 0.81, indicating an unsatisfactory model. However, the large spread in TSS values over time at each location is a clear contributor to the high RSR value. Because the Stormwater Heatmap links chemicals of concern to </w:t>
      </w:r>
      <w:r w:rsidRPr="00CE4F9E">
        <w:rPr>
          <w:rFonts w:ascii="Times New Roman" w:eastAsia="Times New Roman" w:hAnsi="Times New Roman" w:cs="Times New Roman"/>
          <w:i/>
          <w:iCs/>
          <w:kern w:val="0"/>
          <w14:ligatures w14:val="none"/>
        </w:rPr>
        <w:t>spatial</w:t>
      </w:r>
      <w:r w:rsidRPr="00CE4F9E">
        <w:rPr>
          <w:rFonts w:ascii="Times New Roman" w:eastAsia="Times New Roman" w:hAnsi="Times New Roman" w:cs="Times New Roman"/>
          <w:kern w:val="0"/>
          <w14:ligatures w14:val="none"/>
        </w:rPr>
        <w:t xml:space="preserve"> landscape predictors (rather than temporal ones), we think that the high RSR is not reflective of the model's utility in this context.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TSS model is robust to changes in the model structure. Removing influential data points (3 for TSS) or changing the variance structure resulted in a maximum of 3.3% change to model coefficients. Removing the nesting structure from the model had a moderate effect on the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xml:space="preserve"> coefficient (10.5% change), but very little effect on the devAge2 coefficient (1.1% change) and the intercept (0.2% change).</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lastRenderedPageBreak/>
        <w:t xml:space="preserve">Model validation was performed using TSS data from 25 outfalls that included busy streets, highway areas, high density urban or industrial areas, and </w:t>
      </w:r>
      <w:proofErr w:type="gramStart"/>
      <w:r w:rsidRPr="00CE4F9E">
        <w:rPr>
          <w:rFonts w:ascii="Times New Roman" w:eastAsia="Times New Roman" w:hAnsi="Times New Roman" w:cs="Times New Roman"/>
          <w:kern w:val="0"/>
          <w14:ligatures w14:val="none"/>
        </w:rPr>
        <w:t>low density</w:t>
      </w:r>
      <w:proofErr w:type="gramEnd"/>
      <w:r w:rsidRPr="00CE4F9E">
        <w:rPr>
          <w:rFonts w:ascii="Times New Roman" w:eastAsia="Times New Roman" w:hAnsi="Times New Roman" w:cs="Times New Roman"/>
          <w:kern w:val="0"/>
          <w14:ligatures w14:val="none"/>
        </w:rPr>
        <w:t xml:space="preserve"> residential areas. The TSS model fits the validation locations well. The upper bounds of the 95% prediction intervals are well above the range of the TSS validation data, but the 50% prediction intervals are very good at capturing the median, and 80% prediction intervals capture almost all outlying data points (Fig. 4.69). As with the S8 fitting data, the validation catchments also show a broad spread of TSS values over time for each catchment. Low quantities of rainfall may have limited effectiveness at transporting solids to storm drains, resulting in high variability over time, or unexplored seasonal predictors may also have an effect.</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In general, we think the TSS model is a solid improvement over land use category models, and can be relied upon to show locations of high TSS in the Puget Sound Basin. The model also has been shown to provide reliable predictions for TSS magnitude at new locations. Large variability in TSS values at each location may be the result of variable effectiveness of precipitation in transporting solids to storm drains, or unexplored seasonal effects, including autumn, winter or spring. </w:t>
      </w:r>
    </w:p>
    <w:p w:rsidR="00CE4F9E" w:rsidRPr="00CE4F9E" w:rsidRDefault="00CE4F9E" w:rsidP="00CE4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4F9E">
        <w:rPr>
          <w:rFonts w:ascii="Times New Roman" w:eastAsia="Times New Roman" w:hAnsi="Times New Roman" w:cs="Times New Roman"/>
          <w:b/>
          <w:bCs/>
          <w:kern w:val="0"/>
          <w14:ligatures w14:val="none"/>
        </w:rPr>
        <w:t>Total Phosphorus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i/>
          <w:iCs/>
          <w:kern w:val="0"/>
          <w14:ligatures w14:val="none"/>
        </w:rPr>
        <w:t xml:space="preserve">Spatial predictor model: ln </w:t>
      </w:r>
      <w:r w:rsidRPr="00CE4F9E">
        <w:rPr>
          <w:rFonts w:ascii="Times New Roman" w:eastAsia="Times New Roman" w:hAnsi="Times New Roman" w:cs="Times New Roman"/>
          <w:kern w:val="0"/>
          <w14:ligatures w14:val="none"/>
        </w:rPr>
        <w:t>(total phosphorus)</w:t>
      </w:r>
      <w:r w:rsidRPr="00CE4F9E">
        <w:rPr>
          <w:rFonts w:ascii="Times New Roman" w:eastAsia="Times New Roman" w:hAnsi="Times New Roman" w:cs="Times New Roman"/>
          <w:i/>
          <w:iCs/>
          <w:kern w:val="0"/>
          <w14:ligatures w14:val="none"/>
        </w:rPr>
        <w:t xml:space="preserve"> = f </w:t>
      </w:r>
      <w:r w:rsidRPr="00CE4F9E">
        <w:rPr>
          <w:rFonts w:ascii="Times New Roman" w:eastAsia="Times New Roman" w:hAnsi="Times New Roman" w:cs="Times New Roman"/>
          <w:kern w:val="0"/>
          <w14:ligatures w14:val="none"/>
        </w:rPr>
        <w:t xml:space="preserve">(21-day </w:t>
      </w:r>
      <w:proofErr w:type="spellStart"/>
      <w:r w:rsidRPr="00CE4F9E">
        <w:rPr>
          <w:rFonts w:ascii="Times New Roman" w:eastAsia="Times New Roman" w:hAnsi="Times New Roman" w:cs="Times New Roman"/>
          <w:kern w:val="0"/>
          <w14:ligatures w14:val="none"/>
        </w:rPr>
        <w:t>precip</w:t>
      </w:r>
      <w:proofErr w:type="spellEnd"/>
      <w:r w:rsidRPr="00CE4F9E">
        <w:rPr>
          <w:rFonts w:ascii="Times New Roman" w:eastAsia="Times New Roman" w:hAnsi="Times New Roman" w:cs="Times New Roman"/>
          <w:kern w:val="0"/>
          <w14:ligatures w14:val="none"/>
        </w:rPr>
        <w:t>, summer, sqrt_CO2_road)</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Sources of phosphorus in urban landscapes are heterogeneously distributed and include disparate contributors such as construction activities, fertilizers, street solids, animal waste, grass clippings, municipal wastewater, leaf litter, atmospheric deposition and automobile emissions (Zhou et al., 2026). Furthermore, impervious land cover increases total phosphorus in urban stormwater through decreased </w:t>
      </w:r>
      <w:proofErr w:type="spellStart"/>
      <w:r w:rsidRPr="00CE4F9E">
        <w:rPr>
          <w:rFonts w:ascii="Times New Roman" w:eastAsia="Times New Roman" w:hAnsi="Times New Roman" w:cs="Times New Roman"/>
          <w:kern w:val="0"/>
          <w14:ligatures w14:val="none"/>
        </w:rPr>
        <w:t>inflitration</w:t>
      </w:r>
      <w:proofErr w:type="spellEnd"/>
      <w:r w:rsidRPr="00CE4F9E">
        <w:rPr>
          <w:rFonts w:ascii="Times New Roman" w:eastAsia="Times New Roman" w:hAnsi="Times New Roman" w:cs="Times New Roman"/>
          <w:kern w:val="0"/>
          <w14:ligatures w14:val="none"/>
        </w:rPr>
        <w:t xml:space="preserve"> into soil and accelerated surface runoff (Jacobson, 2011; Yang and Lusk, 2018). While there are a few phosphorus sources in stormwater that can be directly linked to road usage (e.g., street solids, automobile emissions), sqrt_CO2_road in our model likely serves as a proxy for human activities that release phosphorus.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spatial predictor model for total phosphorus offers a solid improvement over the land use category model, and has decent fit to the S8 fitting data. The spatial predictor model has sqrt_CO2_road as the single spatial predictor, along with summer and 21-day cumulative precipitation as temporal predictors. This model has an AIC value over four and a half points lower than that of the categorical land use model as assessed by frequentist model fitting. Interestingly, the sqrt_CO2_road coefficient has a p-value of 0.08 when fit by maximum likelihood, indicating that this predictor may not be necessary for model fit to the S8 data. Removing sqrt_CO2_road as a </w:t>
      </w:r>
      <w:proofErr w:type="gramStart"/>
      <w:r w:rsidRPr="00CE4F9E">
        <w:rPr>
          <w:rFonts w:ascii="Times New Roman" w:eastAsia="Times New Roman" w:hAnsi="Times New Roman" w:cs="Times New Roman"/>
          <w:kern w:val="0"/>
          <w14:ligatures w14:val="none"/>
        </w:rPr>
        <w:t>predictor results</w:t>
      </w:r>
      <w:proofErr w:type="gramEnd"/>
      <w:r w:rsidRPr="00CE4F9E">
        <w:rPr>
          <w:rFonts w:ascii="Times New Roman" w:eastAsia="Times New Roman" w:hAnsi="Times New Roman" w:cs="Times New Roman"/>
          <w:kern w:val="0"/>
          <w14:ligatures w14:val="none"/>
        </w:rPr>
        <w:t xml:space="preserve"> in a temporal predictor model with an AIC value one point lower than the spatial predictor model. This is not entirely unexpected, as AIC applies a two-point penalty for every additional parameter. We chose to move forward with the spatial predictor model that includes sqrt_CO2_road, as removing it insinuates that any level of human activity over a landscape has equal impact on total phosphorus concentrations. While error bars around the sqrt_CO2_road predictor were wide enough to extend through 0, the error bars around coefficients from the land use category model were substantially larger, further indicating that the spatial predictor model provides an improvement over the land use category model (Fig. 4.31).</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lastRenderedPageBreak/>
        <w:t xml:space="preserve">In the Bayesian model fitting plots, we see a large spread in total phosphorus values at outfalls with low sqrt_CO2_road values, and less spread in total phosphorus values at locations with high sqrt_CO2_road values (Fig. 4.35, top left panel). This dichotomy suggests that low-traffic regions may have a greater temporal impact in phosphorus-generating activities than our model was able to capture. Temporally-specific contributors to phosphorus in urban landscapes include fertilizer application, grass clippings and leaf litter. These sources vary in their prevalence by season, which may not be captured by using only summer as a temporal predictor. Another portion of the Bayesian analysis involved examining location-specific intercepts that arise from the nested random </w:t>
      </w:r>
      <w:proofErr w:type="gramStart"/>
      <w:r w:rsidRPr="00CE4F9E">
        <w:rPr>
          <w:rFonts w:ascii="Times New Roman" w:eastAsia="Times New Roman" w:hAnsi="Times New Roman" w:cs="Times New Roman"/>
          <w:kern w:val="0"/>
          <w14:ligatures w14:val="none"/>
        </w:rPr>
        <w:t>effects</w:t>
      </w:r>
      <w:proofErr w:type="gramEnd"/>
      <w:r w:rsidRPr="00CE4F9E">
        <w:rPr>
          <w:rFonts w:ascii="Times New Roman" w:eastAsia="Times New Roman" w:hAnsi="Times New Roman" w:cs="Times New Roman"/>
          <w:kern w:val="0"/>
          <w14:ligatures w14:val="none"/>
        </w:rPr>
        <w:t xml:space="preserve"> structure, and comparing them to the population-level intercept. Location-specific intercepts show little variability between locations (Fig. 4.37), indicating that we might expect the intercept for the total phosphorus model to fit well to new locations.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calculated RSR for the Bayesian total phosphorus model is 0.66, indicating a satisfactory model. The large spread in total phosphorus values at less trafficked outfalls is a clear contributor to the high RSR value. Because the Stormwater Heatmap links chemicals of concern to </w:t>
      </w:r>
      <w:r w:rsidRPr="00CE4F9E">
        <w:rPr>
          <w:rFonts w:ascii="Times New Roman" w:eastAsia="Times New Roman" w:hAnsi="Times New Roman" w:cs="Times New Roman"/>
          <w:i/>
          <w:iCs/>
          <w:kern w:val="0"/>
          <w14:ligatures w14:val="none"/>
        </w:rPr>
        <w:t>spatial</w:t>
      </w:r>
      <w:r w:rsidRPr="00CE4F9E">
        <w:rPr>
          <w:rFonts w:ascii="Times New Roman" w:eastAsia="Times New Roman" w:hAnsi="Times New Roman" w:cs="Times New Roman"/>
          <w:kern w:val="0"/>
          <w14:ligatures w14:val="none"/>
        </w:rPr>
        <w:t xml:space="preserve"> landscape predictors (rather than temporal ones), we think that the high RSR is not reflective of the model's utility in this context.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The total phosphorus model is robust to some changes in the model structure. Removing influential data points (only one for total phosphorus) or changing the variance structure had little effect on model coefficients (maximum of 1% change in coefficient values). However, removing the nesting structure from the model's random effects resulted in a 27% increase in the sqrt_CO2_road coefficient, from 0.30 in the nested model to 0.39 in the non-nested model. From the perspective of model robustness, a shift to a steeper (more significant) slope for this relationship is less concerning than a shift toward a less steep (and less significant) slope. If our model assumption of a nested relationship for location within agency is not correct, there is an even stronger relationship between sqrt_CO2_road and total phosphorus.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Model validation was performed using total phosphorus data from 20 catchments that included busy streets, highway areas, high density urban or industrial areas, and a few </w:t>
      </w:r>
      <w:proofErr w:type="gramStart"/>
      <w:r w:rsidRPr="00CE4F9E">
        <w:rPr>
          <w:rFonts w:ascii="Times New Roman" w:eastAsia="Times New Roman" w:hAnsi="Times New Roman" w:cs="Times New Roman"/>
          <w:kern w:val="0"/>
          <w14:ligatures w14:val="none"/>
        </w:rPr>
        <w:t>low density</w:t>
      </w:r>
      <w:proofErr w:type="gramEnd"/>
      <w:r w:rsidRPr="00CE4F9E">
        <w:rPr>
          <w:rFonts w:ascii="Times New Roman" w:eastAsia="Times New Roman" w:hAnsi="Times New Roman" w:cs="Times New Roman"/>
          <w:kern w:val="0"/>
          <w14:ligatures w14:val="none"/>
        </w:rPr>
        <w:t xml:space="preserve"> residential areas. Seven of the 20 catchments had high variability in total phosphorus values, while the other catchments had much less variability (Fig. 4.73). Fifty percent prediction intervals fit the catchments with low variability well, but 80 and 95% prediction intervals overestimate the range of possible phosphorus values. ln contrast, the seven catchments with high variability were generally underestimated by the model (Fig. 4.73). The model validation catchments offer no clear pattern for catchments where model fit is good versus those where it is less good.</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Total phosphorus turned out to be a challenging chemical to model in stormwater, perhaps because its main sources in urban areas are from divergent land uses. Lawns and roads contribute the majority of phosphorous load to stormwater, but land use affects the contribution from different sources. Lawns and leaf litter are more important in residential areas, while roads are more important in commercial and industrial areas (</w:t>
      </w:r>
      <w:proofErr w:type="spellStart"/>
      <w:r w:rsidRPr="00CE4F9E">
        <w:rPr>
          <w:rFonts w:ascii="Times New Roman" w:eastAsia="Times New Roman" w:hAnsi="Times New Roman" w:cs="Times New Roman"/>
          <w:kern w:val="0"/>
          <w14:ligatures w14:val="none"/>
        </w:rPr>
        <w:t>Waschbusch</w:t>
      </w:r>
      <w:proofErr w:type="spellEnd"/>
      <w:r w:rsidRPr="00CE4F9E">
        <w:rPr>
          <w:rFonts w:ascii="Times New Roman" w:eastAsia="Times New Roman" w:hAnsi="Times New Roman" w:cs="Times New Roman"/>
          <w:kern w:val="0"/>
          <w14:ligatures w14:val="none"/>
        </w:rPr>
        <w:t xml:space="preserve"> et al, 1999). These varied sources proved difficult to model with the data that were available. The unique timing of plant-based phosphorus sources to stormwater (fertilizer application, grass clipping, leaf litter) also led to high variability at monitored locations. While the total phosphorus spatial predictor model is a </w:t>
      </w:r>
      <w:r w:rsidRPr="00CE4F9E">
        <w:rPr>
          <w:rFonts w:ascii="Times New Roman" w:eastAsia="Times New Roman" w:hAnsi="Times New Roman" w:cs="Times New Roman"/>
          <w:kern w:val="0"/>
          <w14:ligatures w14:val="none"/>
        </w:rPr>
        <w:lastRenderedPageBreak/>
        <w:t>solid improvement over the land use category model, future modeling efforts would benefit from additional data as well as exploration of new spatial and temporal predictors for total phosphorus. Catchments in agricultural areas should also be included in a future analysis, as agricultural runoff is usually higher than urban runoff in total phosphorus, and the S8 fitting dataset was focused on catchments in urban areas rather than agricultural areas.</w:t>
      </w:r>
    </w:p>
    <w:p w:rsidR="00CE4F9E" w:rsidRPr="00CE4F9E" w:rsidRDefault="00CE4F9E" w:rsidP="00CE4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4F9E">
        <w:rPr>
          <w:rFonts w:ascii="Times New Roman" w:eastAsia="Times New Roman" w:hAnsi="Times New Roman" w:cs="Times New Roman"/>
          <w:b/>
          <w:bCs/>
          <w:kern w:val="0"/>
          <w14:ligatures w14:val="none"/>
        </w:rPr>
        <w:t>Total Zinc</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i/>
          <w:iCs/>
          <w:kern w:val="0"/>
          <w14:ligatures w14:val="none"/>
        </w:rPr>
        <w:t xml:space="preserve">Spatial predictor model: ln </w:t>
      </w:r>
      <w:r w:rsidRPr="00CE4F9E">
        <w:rPr>
          <w:rFonts w:ascii="Times New Roman" w:eastAsia="Times New Roman" w:hAnsi="Times New Roman" w:cs="Times New Roman"/>
          <w:kern w:val="0"/>
          <w14:ligatures w14:val="none"/>
        </w:rPr>
        <w:t>(total zinc)</w:t>
      </w:r>
      <w:r w:rsidRPr="00CE4F9E">
        <w:rPr>
          <w:rFonts w:ascii="Times New Roman" w:eastAsia="Times New Roman" w:hAnsi="Times New Roman" w:cs="Times New Roman"/>
          <w:i/>
          <w:iCs/>
          <w:kern w:val="0"/>
          <w14:ligatures w14:val="none"/>
        </w:rPr>
        <w:t xml:space="preserve"> = f </w:t>
      </w:r>
      <w:r w:rsidRPr="00CE4F9E">
        <w:rPr>
          <w:rFonts w:ascii="Times New Roman" w:eastAsia="Times New Roman" w:hAnsi="Times New Roman" w:cs="Times New Roman"/>
          <w:kern w:val="0"/>
          <w14:ligatures w14:val="none"/>
        </w:rPr>
        <w:t xml:space="preserve">(14-day </w:t>
      </w:r>
      <w:proofErr w:type="spellStart"/>
      <w:r w:rsidRPr="00CE4F9E">
        <w:rPr>
          <w:rFonts w:ascii="Times New Roman" w:eastAsia="Times New Roman" w:hAnsi="Times New Roman" w:cs="Times New Roman"/>
          <w:kern w:val="0"/>
          <w14:ligatures w14:val="none"/>
        </w:rPr>
        <w:t>precip</w:t>
      </w:r>
      <w:proofErr w:type="spellEnd"/>
      <w:r w:rsidRPr="00CE4F9E">
        <w:rPr>
          <w:rFonts w:ascii="Times New Roman" w:eastAsia="Times New Roman" w:hAnsi="Times New Roman" w:cs="Times New Roman"/>
          <w:kern w:val="0"/>
          <w14:ligatures w14:val="none"/>
        </w:rPr>
        <w:t xml:space="preserve">, summer, </w:t>
      </w:r>
      <w:proofErr w:type="spellStart"/>
      <w:r w:rsidRPr="00CE4F9E">
        <w:rPr>
          <w:rFonts w:ascii="Times New Roman" w:eastAsia="Times New Roman" w:hAnsi="Times New Roman" w:cs="Times New Roman"/>
          <w:kern w:val="0"/>
          <w14:ligatures w14:val="none"/>
        </w:rPr>
        <w:t>not_greenBE</w:t>
      </w:r>
      <w:proofErr w:type="spellEnd"/>
      <w:r w:rsidRPr="00CE4F9E">
        <w:rPr>
          <w:rFonts w:ascii="Times New Roman" w:eastAsia="Times New Roman" w:hAnsi="Times New Roman" w:cs="Times New Roman"/>
          <w:kern w:val="0"/>
          <w14:ligatures w14:val="none"/>
        </w:rPr>
        <w:t xml:space="preserve">, sqrt_CO2_transport, rain * </w:t>
      </w:r>
      <w:proofErr w:type="spellStart"/>
      <w:r w:rsidRPr="00CE4F9E">
        <w:rPr>
          <w:rFonts w:ascii="Times New Roman" w:eastAsia="Times New Roman" w:hAnsi="Times New Roman" w:cs="Times New Roman"/>
          <w:kern w:val="0"/>
          <w14:ligatures w14:val="none"/>
        </w:rPr>
        <w:t>not_greenBE</w:t>
      </w:r>
      <w:proofErr w:type="spellEnd"/>
      <w:r w:rsidRPr="00CE4F9E">
        <w:rPr>
          <w:rFonts w:ascii="Times New Roman" w:eastAsia="Times New Roman" w:hAnsi="Times New Roman" w:cs="Times New Roman"/>
          <w:kern w:val="0"/>
          <w14:ligatures w14:val="none"/>
        </w:rPr>
        <w:t>)</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largest contributing sources of zinc to stormwater are galvanized metals including roofs, ductwork and fences; and vehicle tire wear (Davis et al, 2001). In the spatial predictor model, the </w:t>
      </w:r>
      <w:proofErr w:type="spellStart"/>
      <w:r w:rsidRPr="00CE4F9E">
        <w:rPr>
          <w:rFonts w:ascii="Times New Roman" w:eastAsia="Times New Roman" w:hAnsi="Times New Roman" w:cs="Times New Roman"/>
          <w:kern w:val="0"/>
          <w14:ligatures w14:val="none"/>
        </w:rPr>
        <w:t>not_greenBE</w:t>
      </w:r>
      <w:proofErr w:type="spellEnd"/>
      <w:r w:rsidRPr="00CE4F9E">
        <w:rPr>
          <w:rFonts w:ascii="Times New Roman" w:eastAsia="Times New Roman" w:hAnsi="Times New Roman" w:cs="Times New Roman"/>
          <w:kern w:val="0"/>
          <w14:ligatures w14:val="none"/>
        </w:rPr>
        <w:t xml:space="preserve"> predictor serves as a proxy for developed areas that may be more likely to contain galvanized metals, while the sqrt_CO2_road predictor catches the contribution of vehicle tires to zinc in stormwater.</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The spatial predictor model for total zinc offers improvement over the land use category model in terms of reduced uncertainty around coefficients, but is not a clear winner. Model comparison with AIC indicates that the land use category model has better fit to the S8 data than the spatial predictor model by three and a half points. However, error bars around coefficients from the land use category model are substantially larger than those around spatial predictor model coefficients, indicating a large level of uncertainty in the land use category model (Fig. 4.43). This reduces the utility of the land use category model across the Puget Sound basin, and makes us prefer the spatial predictor model, despite its higher AIC value.</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In the Bayesian model fitting plots, we see a large spread in total zinc values at several locations (Fig. 4.46), with no pattern detected for which locations have high variability. This may be caused by a combination of two factors: zinc from galvanized metal is heterogeneously distributed across landscapes, and rainfall dynamics can mobilize zinc in different ways. Within a single catchment, stormwater pollutant concentrations can vary based on when samples are collected during a storm, with high concentrations during initial runoff, and intra-event variability as different parts of the catchment contribute runoff at different times. Additionally, storm intensity, duration, and </w:t>
      </w:r>
      <w:proofErr w:type="spellStart"/>
      <w:r w:rsidRPr="00CE4F9E">
        <w:rPr>
          <w:rFonts w:ascii="Times New Roman" w:eastAsia="Times New Roman" w:hAnsi="Times New Roman" w:cs="Times New Roman"/>
          <w:kern w:val="0"/>
          <w14:ligatures w14:val="none"/>
        </w:rPr>
        <w:t>antecedant</w:t>
      </w:r>
      <w:proofErr w:type="spellEnd"/>
      <w:r w:rsidRPr="00CE4F9E">
        <w:rPr>
          <w:rFonts w:ascii="Times New Roman" w:eastAsia="Times New Roman" w:hAnsi="Times New Roman" w:cs="Times New Roman"/>
          <w:kern w:val="0"/>
          <w14:ligatures w14:val="none"/>
        </w:rPr>
        <w:t xml:space="preserve"> dry period can affect how much zinc is mobilized into stormwater. Interestingly, sites with high </w:t>
      </w:r>
      <w:proofErr w:type="spellStart"/>
      <w:r w:rsidRPr="00CE4F9E">
        <w:rPr>
          <w:rFonts w:ascii="Times New Roman" w:eastAsia="Times New Roman" w:hAnsi="Times New Roman" w:cs="Times New Roman"/>
          <w:kern w:val="0"/>
          <w14:ligatures w14:val="none"/>
        </w:rPr>
        <w:t>not_greenBE</w:t>
      </w:r>
      <w:proofErr w:type="spellEnd"/>
      <w:r w:rsidRPr="00CE4F9E">
        <w:rPr>
          <w:rFonts w:ascii="Times New Roman" w:eastAsia="Times New Roman" w:hAnsi="Times New Roman" w:cs="Times New Roman"/>
          <w:kern w:val="0"/>
          <w14:ligatures w14:val="none"/>
        </w:rPr>
        <w:t xml:space="preserve"> (very developed sites) and sites with high sqrt_CO2_transport had lower variability (Fig. 4.47, top panels).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Another portion of the Bayesian analysis involved examining location-specific intercepts that arise from the nested random </w:t>
      </w:r>
      <w:proofErr w:type="gramStart"/>
      <w:r w:rsidRPr="00CE4F9E">
        <w:rPr>
          <w:rFonts w:ascii="Times New Roman" w:eastAsia="Times New Roman" w:hAnsi="Times New Roman" w:cs="Times New Roman"/>
          <w:kern w:val="0"/>
          <w14:ligatures w14:val="none"/>
        </w:rPr>
        <w:t>effects</w:t>
      </w:r>
      <w:proofErr w:type="gramEnd"/>
      <w:r w:rsidRPr="00CE4F9E">
        <w:rPr>
          <w:rFonts w:ascii="Times New Roman" w:eastAsia="Times New Roman" w:hAnsi="Times New Roman" w:cs="Times New Roman"/>
          <w:kern w:val="0"/>
          <w14:ligatures w14:val="none"/>
        </w:rPr>
        <w:t xml:space="preserve"> structure, and comparing them to the population-level intercept. Location-specific intercepts show high variability between locations, with only half of the locations overlapping significantly with the population-level intercept (Fig. 4.49). This indicates that we might expect total zinc levels to vary somewhat from our model predictions in new locations, and that we might expect high variability around prediction intervals for new samples.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lastRenderedPageBreak/>
        <w:t>The calculated RSR for the Bayesian total zinc model is 0.53, indicating a good model. Despite the large spread in total zinc values at several locations, the spatial predictor model fit the majority of S8 data reasonably well (Fig. 4.46).</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total zinc model is robust to changes in the model structure. Removing influential data points (five for total zinc) had little effect on model coefficients (maximum of 2% change in coefficient values). Changing the model variance structure had a small impact (5% change in sqrt_CO2_transport coefficient), and removing the random effects nesting structure had little impact (up to 1.3% change in coefficient values).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Model validation was performed using total zinc data from 22 catchments that included busy streets, highway areas, high density urban or industrial areas, and several </w:t>
      </w:r>
      <w:proofErr w:type="gramStart"/>
      <w:r w:rsidRPr="00CE4F9E">
        <w:rPr>
          <w:rFonts w:ascii="Times New Roman" w:eastAsia="Times New Roman" w:hAnsi="Times New Roman" w:cs="Times New Roman"/>
          <w:kern w:val="0"/>
          <w14:ligatures w14:val="none"/>
        </w:rPr>
        <w:t>low density</w:t>
      </w:r>
      <w:proofErr w:type="gramEnd"/>
      <w:r w:rsidRPr="00CE4F9E">
        <w:rPr>
          <w:rFonts w:ascii="Times New Roman" w:eastAsia="Times New Roman" w:hAnsi="Times New Roman" w:cs="Times New Roman"/>
          <w:kern w:val="0"/>
          <w14:ligatures w14:val="none"/>
        </w:rPr>
        <w:t xml:space="preserve"> residential areas. Prediction intervals generated from the model overestimate zinc concentrations, especially for industrial and high traffic locations (Fig. 4.77). Rainfall and season also seem to play a role: samples where zinc was overestimated had low 14-day cumulative rainfall (Fig. 4.79, bottom left), and the most over-estimated samples occurred in summer in high-traffic areas. This indicates the possibility of low mobilization of zinc to outfalls during collection of some samples.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One of the challenges of fitting zinc models is that a major contributor, galvanized metals, are found in localized hotspots that are difficult to categorize across a landscape. Galvanized materials may be more prevalent in commercial and industrial areas, but residential areas can also be sources of galvanized metal. Currently, there are no remote sensing tools that can distinguish galvanized metal surfaces from non-galvanized surfaces, although this capability may be available in the future. A spatial predictor layer for galvanized surfaces will likely be a game-changer for modeling zinc concentrations in stormwater. For now, the Stormwater Heatmap zinc layer can serve to highlight areas where zinc is likely to have higher concentrations, but numeric estimates may be high.</w:t>
      </w:r>
    </w:p>
    <w:p w:rsidR="00CE4F9E" w:rsidRPr="00CE4F9E" w:rsidRDefault="00CE4F9E" w:rsidP="00CE4F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4F9E">
        <w:rPr>
          <w:rFonts w:ascii="Times New Roman" w:eastAsia="Times New Roman" w:hAnsi="Times New Roman" w:cs="Times New Roman"/>
          <w:b/>
          <w:bCs/>
          <w:kern w:val="0"/>
          <w14:ligatures w14:val="none"/>
        </w:rPr>
        <w:t>Total Kjeldahl Nitrogen</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i/>
          <w:iCs/>
          <w:kern w:val="0"/>
          <w14:ligatures w14:val="none"/>
        </w:rPr>
        <w:t xml:space="preserve">Spatial predictor model: ln </w:t>
      </w:r>
      <w:r w:rsidRPr="00CE4F9E">
        <w:rPr>
          <w:rFonts w:ascii="Times New Roman" w:eastAsia="Times New Roman" w:hAnsi="Times New Roman" w:cs="Times New Roman"/>
          <w:kern w:val="0"/>
          <w14:ligatures w14:val="none"/>
        </w:rPr>
        <w:t>(TKN)</w:t>
      </w:r>
      <w:r w:rsidRPr="00CE4F9E">
        <w:rPr>
          <w:rFonts w:ascii="Times New Roman" w:eastAsia="Times New Roman" w:hAnsi="Times New Roman" w:cs="Times New Roman"/>
          <w:i/>
          <w:iCs/>
          <w:kern w:val="0"/>
          <w14:ligatures w14:val="none"/>
        </w:rPr>
        <w:t xml:space="preserve"> = f </w:t>
      </w:r>
      <w:r w:rsidRPr="00CE4F9E">
        <w:rPr>
          <w:rFonts w:ascii="Times New Roman" w:eastAsia="Times New Roman" w:hAnsi="Times New Roman" w:cs="Times New Roman"/>
          <w:kern w:val="0"/>
          <w14:ligatures w14:val="none"/>
        </w:rPr>
        <w:t xml:space="preserve">(14-day </w:t>
      </w:r>
      <w:proofErr w:type="spellStart"/>
      <w:r w:rsidRPr="00CE4F9E">
        <w:rPr>
          <w:rFonts w:ascii="Times New Roman" w:eastAsia="Times New Roman" w:hAnsi="Times New Roman" w:cs="Times New Roman"/>
          <w:kern w:val="0"/>
          <w14:ligatures w14:val="none"/>
        </w:rPr>
        <w:t>precip</w:t>
      </w:r>
      <w:proofErr w:type="spellEnd"/>
      <w:r w:rsidRPr="00CE4F9E">
        <w:rPr>
          <w:rFonts w:ascii="Times New Roman" w:eastAsia="Times New Roman" w:hAnsi="Times New Roman" w:cs="Times New Roman"/>
          <w:kern w:val="0"/>
          <w14:ligatures w14:val="none"/>
        </w:rPr>
        <w:t xml:space="preserve">, summer,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devAge2)</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TKN represents the sum of total organic nitrogen (nitrogen bound to carbon from living organisms), ammonia and ammonium. Its primary sources into stormwater are from plant debris (Jani et al., 2020), road runoff (Ma et al., 2021), pet waste, chemical fertilizers, leaking sewers and soil erosion (Carey et al., 2013). The nitrogen components of TKN are positively correlated with total rainfall and </w:t>
      </w:r>
      <w:proofErr w:type="spellStart"/>
      <w:r w:rsidRPr="00CE4F9E">
        <w:rPr>
          <w:rFonts w:ascii="Times New Roman" w:eastAsia="Times New Roman" w:hAnsi="Times New Roman" w:cs="Times New Roman"/>
          <w:kern w:val="0"/>
          <w14:ligatures w14:val="none"/>
        </w:rPr>
        <w:t>antecedant</w:t>
      </w:r>
      <w:proofErr w:type="spellEnd"/>
      <w:r w:rsidRPr="00CE4F9E">
        <w:rPr>
          <w:rFonts w:ascii="Times New Roman" w:eastAsia="Times New Roman" w:hAnsi="Times New Roman" w:cs="Times New Roman"/>
          <w:kern w:val="0"/>
          <w14:ligatures w14:val="none"/>
        </w:rPr>
        <w:t xml:space="preserve"> dry period (Jani et al, 2020).</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During frequentist model fitting, we determined that the spatial predictor model for TKN is a clear improvement over the land use category model, with an AIC value almost four points lower than that of the categorical land use model. Furthermore, error bars around the spatial predictor model covariates were much smaller than error bars around covariates from the land use category model (Fig.4.56). Approximately 10% of samples analyzed for TKN were non-detect. Regression on order statistics (ROS) were used during frequentist model fitting to generate TKN values below the detection limit, utilizing the data distribution for each location.</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lastRenderedPageBreak/>
        <w:t>In the Bayesian model fitting, we used a built-in censored data function from the brms package (</w:t>
      </w:r>
      <w:proofErr w:type="spellStart"/>
      <w:r w:rsidRPr="00CE4F9E">
        <w:rPr>
          <w:rFonts w:ascii="Times New Roman" w:eastAsia="Times New Roman" w:hAnsi="Times New Roman" w:cs="Times New Roman"/>
          <w:kern w:val="0"/>
          <w14:ligatures w14:val="none"/>
        </w:rPr>
        <w:t>Buerkner</w:t>
      </w:r>
      <w:proofErr w:type="spellEnd"/>
      <w:r w:rsidRPr="00CE4F9E">
        <w:rPr>
          <w:rFonts w:ascii="Times New Roman" w:eastAsia="Times New Roman" w:hAnsi="Times New Roman" w:cs="Times New Roman"/>
          <w:kern w:val="0"/>
          <w14:ligatures w14:val="none"/>
        </w:rPr>
        <w:t xml:space="preserve">, 2017) to address the censored data points. In data plots, we see a large spread in TKN values at all three Snohomish County location (e.g., Fig. 4.54; Fig. 4.59). This intra-location </w:t>
      </w:r>
      <w:proofErr w:type="spellStart"/>
      <w:r w:rsidRPr="00CE4F9E">
        <w:rPr>
          <w:rFonts w:ascii="Times New Roman" w:eastAsia="Times New Roman" w:hAnsi="Times New Roman" w:cs="Times New Roman"/>
          <w:kern w:val="0"/>
          <w14:ligatures w14:val="none"/>
        </w:rPr>
        <w:t>variablity</w:t>
      </w:r>
      <w:proofErr w:type="spellEnd"/>
      <w:r w:rsidRPr="00CE4F9E">
        <w:rPr>
          <w:rFonts w:ascii="Times New Roman" w:eastAsia="Times New Roman" w:hAnsi="Times New Roman" w:cs="Times New Roman"/>
          <w:kern w:val="0"/>
          <w14:ligatures w14:val="none"/>
        </w:rPr>
        <w:t xml:space="preserve"> in TKN coincides with low-traffic locations (Fig. 4.60, top left), and may be caused by variability in the timing of plant debris that is swept into storm drains in less urban areas. Additionally, two samples from Tacoma watersheds had abnormally low detection limits while the remaining samples from these watersheds had much higher TKN values, resulting in a wide spread of data points for the two Tacoma watersheds (see Fig. 4.50).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calculated RSR for the Bayesian TKN model is 0.79, indicating an unsatisfactory model. However, the large spread in TKN values in five of the 14 fitting locations is a clear contributor to the high RSR value. Because the Stormwater Heatmap links chemicals of concern to </w:t>
      </w:r>
      <w:r w:rsidRPr="00CE4F9E">
        <w:rPr>
          <w:rFonts w:ascii="Times New Roman" w:eastAsia="Times New Roman" w:hAnsi="Times New Roman" w:cs="Times New Roman"/>
          <w:i/>
          <w:iCs/>
          <w:kern w:val="0"/>
          <w14:ligatures w14:val="none"/>
        </w:rPr>
        <w:t>spatial</w:t>
      </w:r>
      <w:r w:rsidRPr="00CE4F9E">
        <w:rPr>
          <w:rFonts w:ascii="Times New Roman" w:eastAsia="Times New Roman" w:hAnsi="Times New Roman" w:cs="Times New Roman"/>
          <w:kern w:val="0"/>
          <w14:ligatures w14:val="none"/>
        </w:rPr>
        <w:t xml:space="preserve"> landscape predictors (rather than temporal ones), we think that the high RSR is not reflective of the model's utility in this context.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Location-specific intercepts arising from the nested structure of the model's random effects showed little variability between locations (Fig. 4.62), indicating that we might expect the TKN model to fit well at new locations.</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The TKN model is relatively robust to changes in the model structure. Removing influential data points (2 for TKN, one of which was randomly generated for a censored data point) resulted in a moderate impact to the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xml:space="preserve"> coefficient, which changed by 5.8%. Changing the variance structure resulted in a small impact to the coefficient for </w:t>
      </w:r>
      <w:proofErr w:type="spellStart"/>
      <w:r w:rsidRPr="00CE4F9E">
        <w:rPr>
          <w:rFonts w:ascii="Times New Roman" w:eastAsia="Times New Roman" w:hAnsi="Times New Roman" w:cs="Times New Roman"/>
          <w:kern w:val="0"/>
          <w14:ligatures w14:val="none"/>
        </w:rPr>
        <w:t>sqrt_traffic</w:t>
      </w:r>
      <w:proofErr w:type="spellEnd"/>
      <w:r w:rsidRPr="00CE4F9E">
        <w:rPr>
          <w:rFonts w:ascii="Times New Roman" w:eastAsia="Times New Roman" w:hAnsi="Times New Roman" w:cs="Times New Roman"/>
          <w:kern w:val="0"/>
          <w14:ligatures w14:val="none"/>
        </w:rPr>
        <w:t xml:space="preserve"> (3.2% change) and little impact to the other coefficients. Removing the random effects nesting structure from the model had a moderate effect on the coefficients (up to 5.4% change).</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Model validation was performed using TKN data from 10 outfalls. Nine of these catchments were located in high-traffic roads/ highways, while the remaining catchment was centered on a high-traffic bridge but also included the surrounding high-density residential area. The model prediction intervals overlap the validation data very nicely, indicating good fit of the model to the validation data (Fig. 4.81). These results are promising, but additional data in commercial, industrial and low-density residential areas would be valuable for validating model fit in a variety of environments. </w:t>
      </w:r>
    </w:p>
    <w:p w:rsidR="00CE4F9E" w:rsidRPr="00CE4F9E" w:rsidRDefault="00CE4F9E" w:rsidP="00CE4F9E">
      <w:pPr>
        <w:spacing w:before="100" w:beforeAutospacing="1" w:after="100" w:afterAutospacing="1" w:line="240" w:lineRule="auto"/>
        <w:rPr>
          <w:rFonts w:ascii="Times New Roman" w:eastAsia="Times New Roman" w:hAnsi="Times New Roman" w:cs="Times New Roman"/>
          <w:kern w:val="0"/>
          <w14:ligatures w14:val="none"/>
        </w:rPr>
      </w:pPr>
      <w:r w:rsidRPr="00CE4F9E">
        <w:rPr>
          <w:rFonts w:ascii="Times New Roman" w:eastAsia="Times New Roman" w:hAnsi="Times New Roman" w:cs="Times New Roman"/>
          <w:kern w:val="0"/>
          <w14:ligatures w14:val="none"/>
        </w:rPr>
        <w:t xml:space="preserve">In general, we think the TKN model is a solid improvement over land use category models, and can be relied upon to show locations of high TKN in the Puget Sound Basin. The model also has been shown to provide reliable predictions for TKN magnitude at new (but mostly high-traffic roadway) locations. </w:t>
      </w:r>
    </w:p>
    <w:p w:rsidR="002C5824" w:rsidRDefault="002C5824"/>
    <w:sectPr w:rsidR="002C5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9E"/>
    <w:rsid w:val="00096C4F"/>
    <w:rsid w:val="001122D1"/>
    <w:rsid w:val="001854E4"/>
    <w:rsid w:val="001C02BC"/>
    <w:rsid w:val="002C5824"/>
    <w:rsid w:val="00372FC6"/>
    <w:rsid w:val="005F4D9C"/>
    <w:rsid w:val="008B0C37"/>
    <w:rsid w:val="00CE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A6B1117-3A45-864E-A413-1F6AE43E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4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E4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4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E4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F9E"/>
    <w:rPr>
      <w:rFonts w:eastAsiaTheme="majorEastAsia" w:cstheme="majorBidi"/>
      <w:color w:val="272727" w:themeColor="text1" w:themeTint="D8"/>
    </w:rPr>
  </w:style>
  <w:style w:type="paragraph" w:styleId="Title">
    <w:name w:val="Title"/>
    <w:basedOn w:val="Normal"/>
    <w:next w:val="Normal"/>
    <w:link w:val="TitleChar"/>
    <w:uiPriority w:val="10"/>
    <w:qFormat/>
    <w:rsid w:val="00CE4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F9E"/>
    <w:pPr>
      <w:spacing w:before="160"/>
      <w:jc w:val="center"/>
    </w:pPr>
    <w:rPr>
      <w:i/>
      <w:iCs/>
      <w:color w:val="404040" w:themeColor="text1" w:themeTint="BF"/>
    </w:rPr>
  </w:style>
  <w:style w:type="character" w:customStyle="1" w:styleId="QuoteChar">
    <w:name w:val="Quote Char"/>
    <w:basedOn w:val="DefaultParagraphFont"/>
    <w:link w:val="Quote"/>
    <w:uiPriority w:val="29"/>
    <w:rsid w:val="00CE4F9E"/>
    <w:rPr>
      <w:i/>
      <w:iCs/>
      <w:color w:val="404040" w:themeColor="text1" w:themeTint="BF"/>
    </w:rPr>
  </w:style>
  <w:style w:type="paragraph" w:styleId="ListParagraph">
    <w:name w:val="List Paragraph"/>
    <w:basedOn w:val="Normal"/>
    <w:uiPriority w:val="34"/>
    <w:qFormat/>
    <w:rsid w:val="00CE4F9E"/>
    <w:pPr>
      <w:ind w:left="720"/>
      <w:contextualSpacing/>
    </w:pPr>
  </w:style>
  <w:style w:type="character" w:styleId="IntenseEmphasis">
    <w:name w:val="Intense Emphasis"/>
    <w:basedOn w:val="DefaultParagraphFont"/>
    <w:uiPriority w:val="21"/>
    <w:qFormat/>
    <w:rsid w:val="00CE4F9E"/>
    <w:rPr>
      <w:i/>
      <w:iCs/>
      <w:color w:val="2F5496" w:themeColor="accent1" w:themeShade="BF"/>
    </w:rPr>
  </w:style>
  <w:style w:type="paragraph" w:styleId="IntenseQuote">
    <w:name w:val="Intense Quote"/>
    <w:basedOn w:val="Normal"/>
    <w:next w:val="Normal"/>
    <w:link w:val="IntenseQuoteChar"/>
    <w:uiPriority w:val="30"/>
    <w:qFormat/>
    <w:rsid w:val="00CE4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F9E"/>
    <w:rPr>
      <w:i/>
      <w:iCs/>
      <w:color w:val="2F5496" w:themeColor="accent1" w:themeShade="BF"/>
    </w:rPr>
  </w:style>
  <w:style w:type="character" w:styleId="IntenseReference">
    <w:name w:val="Intense Reference"/>
    <w:basedOn w:val="DefaultParagraphFont"/>
    <w:uiPriority w:val="32"/>
    <w:qFormat/>
    <w:rsid w:val="00CE4F9E"/>
    <w:rPr>
      <w:b/>
      <w:bCs/>
      <w:smallCaps/>
      <w:color w:val="2F5496" w:themeColor="accent1" w:themeShade="BF"/>
      <w:spacing w:val="5"/>
    </w:rPr>
  </w:style>
  <w:style w:type="paragraph" w:styleId="NormalWeb">
    <w:name w:val="Normal (Web)"/>
    <w:basedOn w:val="Normal"/>
    <w:uiPriority w:val="99"/>
    <w:semiHidden/>
    <w:unhideWhenUsed/>
    <w:rsid w:val="00CE4F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E4F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3479</Words>
  <Characters>19836</Characters>
  <Application>Microsoft Office Word</Application>
  <DocSecurity>0</DocSecurity>
  <Lines>165</Lines>
  <Paragraphs>46</Paragraphs>
  <ScaleCrop>false</ScaleCrop>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Jennings</dc:creator>
  <cp:keywords/>
  <dc:description/>
  <cp:lastModifiedBy>Eva Jennings</cp:lastModifiedBy>
  <cp:revision>1</cp:revision>
  <dcterms:created xsi:type="dcterms:W3CDTF">2026-06-01T21:45:00Z</dcterms:created>
  <dcterms:modified xsi:type="dcterms:W3CDTF">2026-06-01T21:46:00Z</dcterms:modified>
</cp:coreProperties>
</file>