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color w:val="1F3A5F"/>
          <w:sz w:val="48"/>
          <w:szCs w:val="48"/>
        </w:rPr>
        <w:t xml:space="preserve">Core Web Vitals as a Business Metric</w:t>
      </w:r>
    </w:p>
    <w:p>
      <w:pPr>
        <w:spacing w:after="140" w:line="312"/>
      </w:pPr>
      <w:r>
        <w:rPr>
          <w:rFonts w:ascii="Calibri" w:cs="Calibri" w:eastAsia="Calibri" w:hAnsi="Calibri"/>
          <w:b/>
          <w:bCs/>
          <w:sz w:val="22"/>
          <w:szCs w:val="22"/>
        </w:rPr>
        <w:t xml:space="preserve">What Founders, CTOs and Digital Leaders Should Know About Website Performance in 2026</w:t>
      </w:r>
    </w:p>
    <w:p>
      <w:pPr>
        <w:spacing w:after="140" w:line="312"/>
      </w:pPr>
      <w:r>
        <w:rPr>
          <w:rFonts w:ascii="Calibri" w:cs="Calibri" w:eastAsia="Calibri" w:hAnsi="Calibri"/>
          <w:i/>
          <w:iCs/>
          <w:sz w:val="22"/>
          <w:szCs w:val="22"/>
        </w:rPr>
        <w:t xml:space="preserve">October 2026 | For founders, CTOs, product and marketing leaders in the USA, UK and Europe</w:t>
      </w:r>
    </w:p>
    <w:p>
      <w:pPr>
        <w:pStyle w:val="Heading1"/>
        <w:spacing w:after="120" w:before="320"/>
      </w:pPr>
      <w:r>
        <w:rPr>
          <w:rFonts w:ascii="Calibri" w:cs="Calibri" w:eastAsia="Calibri" w:hAnsi="Calibri"/>
          <w:b/>
          <w:bCs/>
          <w:color w:val="1F3A5F"/>
          <w:sz w:val="30"/>
          <w:szCs w:val="30"/>
        </w:rPr>
        <w:t xml:space="preserve">Key takeaways</w:t>
      </w:r>
    </w:p>
    <w:p>
      <w:pPr>
        <w:pStyle w:val="ListParagraph"/>
        <w:numPr>
          <w:ilvl w:val="0"/>
          <w:numId w:val="2"/>
        </w:numPr>
        <w:spacing w:after="80" w:line="300"/>
      </w:pPr>
      <w:r>
        <w:rPr>
          <w:rFonts w:ascii="Calibri" w:cs="Calibri" w:eastAsia="Calibri" w:hAnsi="Calibri"/>
          <w:sz w:val="22"/>
          <w:szCs w:val="22"/>
        </w:rPr>
        <w:t xml:space="preserve">Core Web Vitals measure three things real visitors notice: how fast the main content loads, how quickly the page responds and how stable the layout is.</w:t>
      </w:r>
    </w:p>
    <w:p>
      <w:pPr>
        <w:pStyle w:val="ListParagraph"/>
        <w:numPr>
          <w:ilvl w:val="0"/>
          <w:numId w:val="2"/>
        </w:numPr>
        <w:spacing w:after="80" w:line="300"/>
      </w:pPr>
      <w:r>
        <w:rPr>
          <w:rFonts w:ascii="Calibri" w:cs="Calibri" w:eastAsia="Calibri" w:hAnsi="Calibri"/>
          <w:sz w:val="22"/>
          <w:szCs w:val="22"/>
        </w:rPr>
        <w:t xml:space="preserve">The HTTP Archive's Web Almanac 2025 found that 48% of mobile websites and 56% of desktop websites passed all three metrics, so many competitors still have room to improve.</w:t>
      </w:r>
    </w:p>
    <w:p>
      <w:pPr>
        <w:pStyle w:val="ListParagraph"/>
        <w:numPr>
          <w:ilvl w:val="0"/>
          <w:numId w:val="2"/>
        </w:numPr>
        <w:spacing w:after="80" w:line="300"/>
      </w:pPr>
      <w:r>
        <w:rPr>
          <w:rFonts w:ascii="Calibri" w:cs="Calibri" w:eastAsia="Calibri" w:hAnsi="Calibri"/>
          <w:sz w:val="22"/>
          <w:szCs w:val="22"/>
        </w:rPr>
        <w:t xml:space="preserve">Published case studies link better Core Web Vitals to better sales, but results vary by site and are not guaranteed.</w:t>
      </w:r>
    </w:p>
    <w:p>
      <w:pPr>
        <w:pStyle w:val="ListParagraph"/>
        <w:numPr>
          <w:ilvl w:val="0"/>
          <w:numId w:val="2"/>
        </w:numPr>
        <w:spacing w:after="80" w:line="300"/>
      </w:pPr>
      <w:r>
        <w:rPr>
          <w:rFonts w:ascii="Calibri" w:cs="Calibri" w:eastAsia="Calibri" w:hAnsi="Calibri"/>
          <w:sz w:val="22"/>
          <w:szCs w:val="22"/>
        </w:rPr>
        <w:t xml:space="preserve">Google uses Core Web Vitals in ranking, yet good scores do not guarantee high rankings. Relevance and content quality still come first.</w:t>
      </w:r>
    </w:p>
    <w:p>
      <w:pPr>
        <w:pStyle w:val="Heading1"/>
        <w:spacing w:after="120" w:before="320"/>
      </w:pPr>
      <w:r>
        <w:rPr>
          <w:rFonts w:ascii="Calibri" w:cs="Calibri" w:eastAsia="Calibri" w:hAnsi="Calibri"/>
          <w:b/>
          <w:bCs/>
          <w:color w:val="1F3A5F"/>
          <w:sz w:val="30"/>
          <w:szCs w:val="30"/>
        </w:rPr>
        <w:t xml:space="preserve">1. Introduction</w:t>
      </w:r>
    </w:p>
    <w:p>
      <w:pPr>
        <w:spacing w:after="140" w:line="312"/>
      </w:pPr>
      <w:r>
        <w:rPr>
          <w:rFonts w:ascii="Calibri" w:cs="Calibri" w:eastAsia="Calibri" w:hAnsi="Calibri"/>
          <w:sz w:val="22"/>
          <w:szCs w:val="22"/>
        </w:rPr>
        <w:t xml:space="preserve">A website is often the first and sometimes the only place where a customer meets a business. For a software-as-a-service company it is the product's front door. For an online retailer it is the shop. For a professional services firm it is the sales team that never sleeps. Yet website performance is still treated by many leadership teams as a technical detail that engineers will deal with eventually.</w:t>
      </w:r>
    </w:p>
    <w:p>
      <w:pPr>
        <w:spacing w:after="140" w:line="312"/>
      </w:pPr>
      <w:r>
        <w:rPr>
          <w:rFonts w:ascii="Calibri" w:cs="Calibri" w:eastAsia="Calibri" w:hAnsi="Calibri"/>
          <w:sz w:val="22"/>
          <w:szCs w:val="22"/>
        </w:rPr>
        <w:t xml:space="preserve">Core Web Vitals are one of the clearest attempts to turn that technical detail into something measurable. Introduced by Google, they are a small set of user-centred metrics that describe loading speed, responsiveness and visual stability, measured on real visitors rather than in a laboratory. Because Google publishes the definitions, the thresholds and the underlying public dataset, they have become a common language between engineers, marketers and executives.</w:t>
      </w:r>
    </w:p>
    <w:p>
      <w:pPr>
        <w:spacing w:after="140" w:line="312"/>
      </w:pPr>
      <w:r>
        <w:rPr>
          <w:rFonts w:ascii="Calibri" w:cs="Calibri" w:eastAsia="Calibri" w:hAnsi="Calibri"/>
          <w:sz w:val="22"/>
          <w:szCs w:val="22"/>
        </w:rPr>
        <w:t xml:space="preserve">The topic deserves attention for three reasons. First, the data suggests that performance is far from a solved problem: according to the HTTP Archive's Web Almanac 2025, fewer than half of mobile websites passed all three metrics. Second, Google states that Core Web Vitals are used by its ranking systems, which links performance to search visibility. Third, a small number of well-documented experiments connect faster pages with commercial outcomes such as sales and lead generation.</w:t>
      </w:r>
    </w:p>
    <w:p>
      <w:pPr>
        <w:spacing w:after="140" w:line="312"/>
      </w:pPr>
      <w:r>
        <w:rPr>
          <w:rFonts w:ascii="Calibri" w:cs="Calibri" w:eastAsia="Calibri" w:hAnsi="Calibri"/>
          <w:sz w:val="22"/>
          <w:szCs w:val="22"/>
        </w:rPr>
        <w:t xml:space="preserve">At the same time, the subject attracts exaggeration. Claims that a specific score will double revenue or secure first-page rankings are not supported by the evidence. Google itself cautions that good scores do not guarantee good rankings, and published business results come from specific companies in specific circumstances.</w:t>
      </w:r>
    </w:p>
    <w:p>
      <w:pPr>
        <w:spacing w:after="140" w:line="312"/>
      </w:pPr>
      <w:r>
        <w:rPr>
          <w:rFonts w:ascii="Calibri" w:cs="Calibri" w:eastAsia="Calibri" w:hAnsi="Calibri"/>
          <w:sz w:val="22"/>
          <w:szCs w:val="22"/>
        </w:rPr>
        <w:t xml:space="preserve">This paper takes a measured view for decision-makers in the United States, the United Kingdom and Europe. It explains what the metrics mean, sets out the business opportunities and the limitations, describes how performance is engineered in practice, presents dated statistics from primary or clearly identified sources, and closes with practical recommendations. It does not promise outcomes, and forecasts, estimates and opinions are kept distinct from reported facts.</w:t>
      </w:r>
    </w:p>
    <w:p>
      <w:pPr>
        <w:pStyle w:val="Heading1"/>
        <w:spacing w:after="120" w:before="320"/>
      </w:pPr>
      <w:r>
        <w:rPr>
          <w:rFonts w:ascii="Calibri" w:cs="Calibri" w:eastAsia="Calibri" w:hAnsi="Calibri"/>
          <w:b/>
          <w:bCs/>
          <w:color w:val="1F3A5F"/>
          <w:sz w:val="30"/>
          <w:szCs w:val="30"/>
        </w:rPr>
        <w:t xml:space="preserve">2. Understanding Core Web Vitals</w:t>
      </w:r>
    </w:p>
    <w:p>
      <w:pPr>
        <w:spacing w:after="140" w:line="312"/>
      </w:pPr>
      <w:r>
        <w:rPr>
          <w:rFonts w:ascii="Calibri" w:cs="Calibri" w:eastAsia="Calibri" w:hAnsi="Calibri"/>
          <w:b/>
          <w:bCs/>
          <w:sz w:val="22"/>
          <w:szCs w:val="22"/>
        </w:rPr>
        <w:t xml:space="preserve">Core Web Vitals</w:t>
      </w:r>
      <w:r>
        <w:rPr>
          <w:rFonts w:ascii="Calibri" w:cs="Calibri" w:eastAsia="Calibri" w:hAnsi="Calibri"/>
          <w:sz w:val="22"/>
          <w:szCs w:val="22"/>
        </w:rPr>
        <w:t xml:space="preserve"> are three metrics defined by Google and documented on web.dev. Each captures a different part of the visitor's experience.</w:t>
      </w:r>
    </w:p>
    <w:p>
      <w:pPr>
        <w:pStyle w:val="ListParagraph"/>
        <w:numPr>
          <w:ilvl w:val="0"/>
          <w:numId w:val="2"/>
        </w:numPr>
        <w:spacing w:after="80" w:line="300"/>
      </w:pPr>
      <w:r>
        <w:rPr>
          <w:rFonts w:ascii="Calibri" w:cs="Calibri" w:eastAsia="Calibri" w:hAnsi="Calibri"/>
          <w:b/>
          <w:bCs/>
          <w:sz w:val="22"/>
          <w:szCs w:val="22"/>
        </w:rPr>
        <w:t xml:space="preserve">Largest Contentful Paint (LCP)</w:t>
      </w:r>
      <w:r>
        <w:rPr>
          <w:rFonts w:ascii="Calibri" w:cs="Calibri" w:eastAsia="Calibri" w:hAnsi="Calibri"/>
          <w:sz w:val="22"/>
          <w:szCs w:val="22"/>
        </w:rPr>
        <w:t xml:space="preserve"> measures how long it takes for the largest visible element, usually a hero image or main block of text, to appear. It is a proxy for the moment a visitor feels that the page has loaded. A good LCP is 2.5 seconds or less.</w:t>
      </w:r>
    </w:p>
    <w:p>
      <w:pPr>
        <w:pStyle w:val="ListParagraph"/>
        <w:numPr>
          <w:ilvl w:val="0"/>
          <w:numId w:val="2"/>
        </w:numPr>
        <w:spacing w:after="80" w:line="300"/>
      </w:pPr>
      <w:r>
        <w:rPr>
          <w:rFonts w:ascii="Calibri" w:cs="Calibri" w:eastAsia="Calibri" w:hAnsi="Calibri"/>
          <w:b/>
          <w:bCs/>
          <w:sz w:val="22"/>
          <w:szCs w:val="22"/>
        </w:rPr>
        <w:t xml:space="preserve">Interaction to Next Paint (INP)</w:t>
      </w:r>
      <w:r>
        <w:rPr>
          <w:rFonts w:ascii="Calibri" w:cs="Calibri" w:eastAsia="Calibri" w:hAnsi="Calibri"/>
          <w:sz w:val="22"/>
          <w:szCs w:val="22"/>
        </w:rPr>
        <w:t xml:space="preserve"> measures how quickly the page responds when a visitor clicks, taps or types. A good INP is 200 milliseconds or less. INP replaced the earlier First Input Delay metric as a Core Web Vital on 12 March 2024, and it looks at responsiveness across the whole visit rather than only the first interaction.</w:t>
      </w:r>
    </w:p>
    <w:p>
      <w:pPr>
        <w:pStyle w:val="ListParagraph"/>
        <w:numPr>
          <w:ilvl w:val="0"/>
          <w:numId w:val="2"/>
        </w:numPr>
        <w:spacing w:after="80" w:line="300"/>
      </w:pPr>
      <w:r>
        <w:rPr>
          <w:rFonts w:ascii="Calibri" w:cs="Calibri" w:eastAsia="Calibri" w:hAnsi="Calibri"/>
          <w:b/>
          <w:bCs/>
          <w:sz w:val="22"/>
          <w:szCs w:val="22"/>
        </w:rPr>
        <w:t xml:space="preserve">Cumulative Layout Shift (CLS)</w:t>
      </w:r>
      <w:r>
        <w:rPr>
          <w:rFonts w:ascii="Calibri" w:cs="Calibri" w:eastAsia="Calibri" w:hAnsi="Calibri"/>
          <w:sz w:val="22"/>
          <w:szCs w:val="22"/>
        </w:rPr>
        <w:t xml:space="preserve"> measures how much the page content moves unexpectedly while loading, such as a button jumping just as someone tries to press it. A good CLS is 0.1 or less.</w:t>
      </w:r>
    </w:p>
    <w:p>
      <w:pPr>
        <w:spacing w:after="140" w:line="312"/>
      </w:pPr>
      <w:r>
        <w:rPr>
          <w:rFonts w:ascii="Calibri" w:cs="Calibri" w:eastAsia="Calibri" w:hAnsi="Calibri"/>
          <w:sz w:val="22"/>
          <w:szCs w:val="22"/>
        </w:rPr>
        <w:t xml:space="preserve">Google also defines poor ranges, which are an LCP above 4 seconds, an INP above 500 milliseconds and a CLS above 0.25. Values in between are classed as needing improvement.</w:t>
      </w:r>
    </w:p>
    <w:p>
      <w:pPr>
        <w:spacing w:after="140" w:line="312"/>
      </w:pPr>
      <w:r>
        <w:rPr>
          <w:rFonts w:ascii="Calibri" w:cs="Calibri" w:eastAsia="Calibri" w:hAnsi="Calibri"/>
          <w:sz w:val="22"/>
          <w:szCs w:val="22"/>
        </w:rPr>
        <w:t xml:space="preserve">Several further terms help in reading performance reports.</w:t>
      </w:r>
    </w:p>
    <w:p>
      <w:pPr>
        <w:pStyle w:val="ListParagraph"/>
        <w:numPr>
          <w:ilvl w:val="0"/>
          <w:numId w:val="2"/>
        </w:numPr>
        <w:spacing w:after="80" w:line="300"/>
      </w:pPr>
      <w:r>
        <w:rPr>
          <w:rFonts w:ascii="Calibri" w:cs="Calibri" w:eastAsia="Calibri" w:hAnsi="Calibri"/>
          <w:b/>
          <w:bCs/>
          <w:sz w:val="22"/>
          <w:szCs w:val="22"/>
        </w:rPr>
        <w:t xml:space="preserve">Field data and lab data.</w:t>
      </w:r>
      <w:r>
        <w:rPr>
          <w:rFonts w:ascii="Calibri" w:cs="Calibri" w:eastAsia="Calibri" w:hAnsi="Calibri"/>
          <w:sz w:val="22"/>
          <w:szCs w:val="22"/>
        </w:rPr>
        <w:t xml:space="preserve"> Field data records what real visitors experienced and is collected in the Chrome User Experience Report (CrUX). Lab data comes from simulated tests, such as Lighthouse. Lab tests are useful for diagnosing problems, but field data is what the Core Web Vitals assessment uses.</w:t>
      </w:r>
    </w:p>
    <w:p>
      <w:pPr>
        <w:pStyle w:val="ListParagraph"/>
        <w:numPr>
          <w:ilvl w:val="0"/>
          <w:numId w:val="2"/>
        </w:numPr>
        <w:spacing w:after="80" w:line="300"/>
      </w:pPr>
      <w:r>
        <w:rPr>
          <w:rFonts w:ascii="Calibri" w:cs="Calibri" w:eastAsia="Calibri" w:hAnsi="Calibri"/>
          <w:b/>
          <w:bCs/>
          <w:sz w:val="22"/>
          <w:szCs w:val="22"/>
        </w:rPr>
        <w:t xml:space="preserve">The 75th percentile.</w:t>
      </w:r>
      <w:r>
        <w:rPr>
          <w:rFonts w:ascii="Calibri" w:cs="Calibri" w:eastAsia="Calibri" w:hAnsi="Calibri"/>
          <w:sz w:val="22"/>
          <w:szCs w:val="22"/>
        </w:rPr>
        <w:t xml:space="preserve"> A page passes a metric when at least three out of four page loads meet the good threshold. A site can have a fast average and still fail because a quarter of visits are slow.</w:t>
      </w:r>
    </w:p>
    <w:p>
      <w:pPr>
        <w:pStyle w:val="ListParagraph"/>
        <w:numPr>
          <w:ilvl w:val="0"/>
          <w:numId w:val="2"/>
        </w:numPr>
        <w:spacing w:after="80" w:line="300"/>
      </w:pPr>
      <w:r>
        <w:rPr>
          <w:rFonts w:ascii="Calibri" w:cs="Calibri" w:eastAsia="Calibri" w:hAnsi="Calibri"/>
          <w:b/>
          <w:bCs/>
          <w:sz w:val="22"/>
          <w:szCs w:val="22"/>
        </w:rPr>
        <w:t xml:space="preserve">Origin.</w:t>
      </w:r>
      <w:r>
        <w:rPr>
          <w:rFonts w:ascii="Calibri" w:cs="Calibri" w:eastAsia="Calibri" w:hAnsi="Calibri"/>
          <w:sz w:val="22"/>
          <w:szCs w:val="22"/>
        </w:rPr>
        <w:t xml:space="preserve"> In CrUX, an origin is a whole website (for example a domain), as opposed to a single page.</w:t>
      </w:r>
    </w:p>
    <w:p>
      <w:pPr>
        <w:pStyle w:val="ListParagraph"/>
        <w:numPr>
          <w:ilvl w:val="0"/>
          <w:numId w:val="2"/>
        </w:numPr>
        <w:spacing w:after="80" w:line="300"/>
      </w:pPr>
      <w:r>
        <w:rPr>
          <w:rFonts w:ascii="Calibri" w:cs="Calibri" w:eastAsia="Calibri" w:hAnsi="Calibri"/>
          <w:b/>
          <w:bCs/>
          <w:sz w:val="22"/>
          <w:szCs w:val="22"/>
        </w:rPr>
        <w:t xml:space="preserve">Third-party scripts.</w:t>
      </w:r>
      <w:r>
        <w:rPr>
          <w:rFonts w:ascii="Calibri" w:cs="Calibri" w:eastAsia="Calibri" w:hAnsi="Calibri"/>
          <w:sz w:val="22"/>
          <w:szCs w:val="22"/>
        </w:rPr>
        <w:t xml:space="preserve"> Code loaded from outside services, such as advertising, analytics, chat widgets and consent tools. These can add delay that the site's own developers do not control.</w:t>
      </w:r>
    </w:p>
    <w:p>
      <w:pPr>
        <w:pStyle w:val="ListParagraph"/>
        <w:numPr>
          <w:ilvl w:val="0"/>
          <w:numId w:val="2"/>
        </w:numPr>
        <w:spacing w:after="80" w:line="300"/>
      </w:pPr>
      <w:r>
        <w:rPr>
          <w:rFonts w:ascii="Calibri" w:cs="Calibri" w:eastAsia="Calibri" w:hAnsi="Calibri"/>
          <w:b/>
          <w:bCs/>
          <w:sz w:val="22"/>
          <w:szCs w:val="22"/>
        </w:rPr>
        <w:t xml:space="preserve">Edge delivery.</w:t>
      </w:r>
      <w:r>
        <w:rPr>
          <w:rFonts w:ascii="Calibri" w:cs="Calibri" w:eastAsia="Calibri" w:hAnsi="Calibri"/>
          <w:sz w:val="22"/>
          <w:szCs w:val="22"/>
        </w:rPr>
        <w:t xml:space="preserve"> Serving content from servers close to the visitor, usually through a content delivery network, to reduce the time before the first byte arrives.</w:t>
      </w:r>
    </w:p>
    <w:p>
      <w:pPr>
        <w:spacing w:after="140" w:line="312"/>
      </w:pPr>
      <w:r>
        <w:rPr>
          <w:rFonts w:ascii="Calibri" w:cs="Calibri" w:eastAsia="Calibri" w:hAnsi="Calibri"/>
          <w:sz w:val="22"/>
          <w:szCs w:val="22"/>
        </w:rPr>
        <w:t xml:space="preserve">One point is easy to miss. The three metrics are assessed separately for mobile and desktop. A business that checks its site mainly on a fast office laptop may therefore see better results than most of its customers do on phones.</w:t>
      </w:r>
    </w:p>
    <w:p>
      <w:pPr>
        <w:pStyle w:val="Heading1"/>
        <w:spacing w:after="120" w:before="320"/>
      </w:pPr>
      <w:r>
        <w:rPr>
          <w:rFonts w:ascii="Calibri" w:cs="Calibri" w:eastAsia="Calibri" w:hAnsi="Calibri"/>
          <w:b/>
          <w:bCs/>
          <w:color w:val="1F3A5F"/>
          <w:sz w:val="30"/>
          <w:szCs w:val="30"/>
        </w:rPr>
        <w:t xml:space="preserve">3. The Business Case: Opportunities</w:t>
      </w:r>
    </w:p>
    <w:p>
      <w:pPr>
        <w:spacing w:after="140" w:line="312"/>
      </w:pPr>
      <w:r>
        <w:rPr>
          <w:rFonts w:ascii="Calibri" w:cs="Calibri" w:eastAsia="Calibri" w:hAnsi="Calibri"/>
          <w:sz w:val="22"/>
          <w:szCs w:val="22"/>
        </w:rPr>
        <w:t xml:space="preserve">The case for investing in performance rests on four sources of potential value. None is automatic, and each should be tested against a company's own data.</w:t>
      </w:r>
    </w:p>
    <w:p>
      <w:pPr>
        <w:spacing w:after="140" w:line="312"/>
      </w:pPr>
      <w:r>
        <w:rPr>
          <w:rFonts w:ascii="Calibri" w:cs="Calibri" w:eastAsia="Calibri" w:hAnsi="Calibri"/>
          <w:b/>
          <w:bCs/>
          <w:sz w:val="22"/>
          <w:szCs w:val="22"/>
        </w:rPr>
        <w:t xml:space="preserve">Conversion and revenue.</w:t>
      </w:r>
      <w:r>
        <w:rPr>
          <w:rFonts w:ascii="Calibri" w:cs="Calibri" w:eastAsia="Calibri" w:hAnsi="Calibri"/>
          <w:sz w:val="22"/>
          <w:szCs w:val="22"/>
        </w:rPr>
        <w:t xml:space="preserve"> The strongest evidence comes from controlled tests. Google's web.dev published a case study of Vodafone Italy, which ran an A/B test on a landing page. The version optimised for Web Vitals had a 31% better LCP in the field and produced 8% more sales, a 15% better lead-to-visit rate and an 11% better cart-to-visit rate. A later web.dev case study on the online retailer Rakuten 24 reported that its Core Web Vitals work was associated with a 53.37% increase in revenue per visitor and a 33.13% increase in conversion rate, according to secondary reports of that study. These are individual companies with their own audiences and starting points, so they illustrate what is possible rather than what to expect.</w:t>
      </w:r>
    </w:p>
    <w:p>
      <w:pPr>
        <w:spacing w:after="140" w:line="312"/>
      </w:pPr>
      <w:r>
        <w:rPr>
          <w:rFonts w:ascii="Calibri" w:cs="Calibri" w:eastAsia="Calibri" w:hAnsi="Calibri"/>
          <w:b/>
          <w:bCs/>
          <w:sz w:val="22"/>
          <w:szCs w:val="22"/>
        </w:rPr>
        <w:t xml:space="preserve">Search visibility.</w:t>
      </w:r>
      <w:r>
        <w:rPr>
          <w:rFonts w:ascii="Calibri" w:cs="Calibri" w:eastAsia="Calibri" w:hAnsi="Calibri"/>
          <w:sz w:val="22"/>
          <w:szCs w:val="22"/>
        </w:rPr>
        <w:t xml:space="preserve"> Google's documentation says that its ranking systems use Core Web Vitals and that the company recommends site owners achieve good scores for success in Search. The same documentation is clear on limits: good scores in reports do not guarantee top rankings, and a good page experience does not override having relevant, helpful content. Performance is therefore best seen as one supporting factor. It may matter more when several pages are similarly relevant, which Google's guidance suggests, but it does not replace content strategy.</w:t>
      </w:r>
    </w:p>
    <w:p>
      <w:pPr>
        <w:spacing w:after="140" w:line="312"/>
      </w:pPr>
      <w:r>
        <w:rPr>
          <w:rFonts w:ascii="Calibri" w:cs="Calibri" w:eastAsia="Calibri" w:hAnsi="Calibri"/>
          <w:b/>
          <w:bCs/>
          <w:sz w:val="22"/>
          <w:szCs w:val="22"/>
        </w:rPr>
        <w:t xml:space="preserve">A competitive gap that remains open.</w:t>
      </w:r>
      <w:r>
        <w:rPr>
          <w:rFonts w:ascii="Calibri" w:cs="Calibri" w:eastAsia="Calibri" w:hAnsi="Calibri"/>
          <w:sz w:val="22"/>
          <w:szCs w:val="22"/>
        </w:rPr>
        <w:t xml:space="preserve"> Because fewer than half of mobile sites pass all three metrics, a company that reaches good scores may be ahead of many competitors on user experience. This is an observation about the market, and the advantage depends on whether a company's direct rivals are among the sites that pass.</w:t>
      </w:r>
    </w:p>
    <w:p>
      <w:pPr>
        <w:spacing w:after="140" w:line="312"/>
      </w:pPr>
      <w:r>
        <w:rPr>
          <w:rFonts w:ascii="Calibri" w:cs="Calibri" w:eastAsia="Calibri" w:hAnsi="Calibri"/>
          <w:b/>
          <w:bCs/>
          <w:sz w:val="22"/>
          <w:szCs w:val="22"/>
        </w:rPr>
        <w:t xml:space="preserve">Better decisions through measurement.</w:t>
      </w:r>
      <w:r>
        <w:rPr>
          <w:rFonts w:ascii="Calibri" w:cs="Calibri" w:eastAsia="Calibri" w:hAnsi="Calibri"/>
          <w:sz w:val="22"/>
          <w:szCs w:val="22"/>
        </w:rPr>
        <w:t xml:space="preserve"> Core Web Vitals give teams shared, public thresholds. A marketing leader can ask whether landing pages meet them, a product leader can ask which template causes layout shifts, and an engineering leader can set budgets and track regressions after each release. Having a common benchmark may reduce debate about whether a site is "fast enough."</w:t>
      </w:r>
    </w:p>
    <w:p>
      <w:pPr>
        <w:spacing w:after="140" w:line="312"/>
      </w:pPr>
      <w:r>
        <w:rPr>
          <w:rFonts w:ascii="Calibri" w:cs="Calibri" w:eastAsia="Calibri" w:hAnsi="Calibri"/>
          <w:b/>
          <w:bCs/>
          <w:sz w:val="22"/>
          <w:szCs w:val="22"/>
        </w:rPr>
        <w:t xml:space="preserve">Potential efficiency benefits.</w:t>
      </w:r>
      <w:r>
        <w:rPr>
          <w:rFonts w:ascii="Calibri" w:cs="Calibri" w:eastAsia="Calibri" w:hAnsi="Calibri"/>
          <w:sz w:val="22"/>
          <w:szCs w:val="22"/>
        </w:rPr>
        <w:t xml:space="preserve"> Lighter pages, fewer unnecessary scripts and better caching can reduce wasted data transfer and simplify maintenance. This is a reasoned expectation rather than a measured result in the sources cited here, and the size of any saving will vary.</w:t>
      </w:r>
    </w:p>
    <w:p>
      <w:pPr>
        <w:spacing w:after="140" w:line="312"/>
      </w:pPr>
      <w:r>
        <w:rPr>
          <w:rFonts w:ascii="Calibri" w:cs="Calibri" w:eastAsia="Calibri" w:hAnsi="Calibri"/>
          <w:sz w:val="22"/>
          <w:szCs w:val="22"/>
        </w:rPr>
        <w:t xml:space="preserve">These opportunities suggest that performance work may be one of the more measurable parts of digital strategy. The limitations below explain why it should be approached with discipline rather than enthusiasm alone.</w:t>
      </w:r>
    </w:p>
    <w:p>
      <w:pPr>
        <w:pStyle w:val="Heading1"/>
        <w:spacing w:after="120" w:before="320"/>
      </w:pPr>
      <w:r>
        <w:rPr>
          <w:rFonts w:ascii="Calibri" w:cs="Calibri" w:eastAsia="Calibri" w:hAnsi="Calibri"/>
          <w:b/>
          <w:bCs/>
          <w:color w:val="1F3A5F"/>
          <w:sz w:val="30"/>
          <w:szCs w:val="30"/>
        </w:rPr>
        <w:t xml:space="preserve">4. Risks and Limitations</w:t>
      </w:r>
    </w:p>
    <w:p>
      <w:pPr>
        <w:spacing w:after="140" w:line="312"/>
      </w:pPr>
      <w:r>
        <w:rPr>
          <w:rFonts w:ascii="Calibri" w:cs="Calibri" w:eastAsia="Calibri" w:hAnsi="Calibri"/>
          <w:sz w:val="22"/>
          <w:szCs w:val="22"/>
        </w:rPr>
        <w:t xml:space="preserve">A balanced assessment must examine what the evidence does not show.</w:t>
      </w:r>
    </w:p>
    <w:p>
      <w:pPr>
        <w:spacing w:after="140" w:line="312"/>
      </w:pPr>
      <w:r>
        <w:rPr>
          <w:rFonts w:ascii="Calibri" w:cs="Calibri" w:eastAsia="Calibri" w:hAnsi="Calibri"/>
          <w:b/>
          <w:bCs/>
          <w:sz w:val="22"/>
          <w:szCs w:val="22"/>
        </w:rPr>
        <w:t xml:space="preserve">Case studies are not forecasts.</w:t>
      </w:r>
      <w:r>
        <w:rPr>
          <w:rFonts w:ascii="Calibri" w:cs="Calibri" w:eastAsia="Calibri" w:hAnsi="Calibri"/>
          <w:sz w:val="22"/>
          <w:szCs w:val="22"/>
        </w:rPr>
        <w:t xml:space="preserve"> The Vodafone and Rakuten 24 results are specific to the pages, audiences and offers tested. A site that already loads quickly may gain little from further work, and a site with a weak offer will not be rescued by speed. Published case studies also tend to describe successes, so readers should be cautious about assuming a typical outcome.</w:t>
      </w:r>
    </w:p>
    <w:p>
      <w:pPr>
        <w:spacing w:after="140" w:line="312"/>
      </w:pPr>
      <w:r>
        <w:rPr>
          <w:rFonts w:ascii="Calibri" w:cs="Calibri" w:eastAsia="Calibri" w:hAnsi="Calibri"/>
          <w:b/>
          <w:bCs/>
          <w:sz w:val="22"/>
          <w:szCs w:val="22"/>
        </w:rPr>
        <w:t xml:space="preserve">Ranking benefits are modest and uncertain.</w:t>
      </w:r>
      <w:r>
        <w:rPr>
          <w:rFonts w:ascii="Calibri" w:cs="Calibri" w:eastAsia="Calibri" w:hAnsi="Calibri"/>
          <w:sz w:val="22"/>
          <w:szCs w:val="22"/>
        </w:rPr>
        <w:t xml:space="preserve"> Google states that good Core Web Vitals do not guarantee good rankings and that there is more to page experience than the scores. Businesses that invest solely for ranking reasons risk disappointment. Google has also said that chasing a perfect score for search reasons alone may not be the best use of time, according to trade-press reports of its documentation.</w:t>
      </w:r>
    </w:p>
    <w:p>
      <w:pPr>
        <w:spacing w:after="140" w:line="312"/>
      </w:pPr>
      <w:r>
        <w:rPr>
          <w:rFonts w:ascii="Calibri" w:cs="Calibri" w:eastAsia="Calibri" w:hAnsi="Calibri"/>
          <w:b/>
          <w:bCs/>
          <w:sz w:val="22"/>
          <w:szCs w:val="22"/>
        </w:rPr>
        <w:t xml:space="preserve">Metrics can be gamed or misread.</w:t>
      </w:r>
      <w:r>
        <w:rPr>
          <w:rFonts w:ascii="Calibri" w:cs="Calibri" w:eastAsia="Calibri" w:hAnsi="Calibri"/>
          <w:sz w:val="22"/>
          <w:szCs w:val="22"/>
        </w:rPr>
        <w:t xml:space="preserve"> Teams can improve lab scores through techniques that do not help real visitors, or optimise the home page while ignoring pages that earn revenue. The Web Almanac 2025 found that 45% of mobile home pages and 56% of secondary pages had good scores, so the home page is not a reliable stand-in for the whole site.</w:t>
      </w:r>
    </w:p>
    <w:p>
      <w:pPr>
        <w:spacing w:after="140" w:line="312"/>
      </w:pPr>
      <w:r>
        <w:rPr>
          <w:rFonts w:ascii="Calibri" w:cs="Calibri" w:eastAsia="Calibri" w:hAnsi="Calibri"/>
          <w:b/>
          <w:bCs/>
          <w:sz w:val="22"/>
          <w:szCs w:val="22"/>
        </w:rPr>
        <w:t xml:space="preserve">Third-party scripts create tension.</w:t>
      </w:r>
      <w:r>
        <w:rPr>
          <w:rFonts w:ascii="Calibri" w:cs="Calibri" w:eastAsia="Calibri" w:hAnsi="Calibri"/>
          <w:sz w:val="22"/>
          <w:szCs w:val="22"/>
        </w:rPr>
        <w:t xml:space="preserve"> Marketing, analytics, advertising and consent tools often add scripts that slow loading or delay responses. Removing them may improve scores but also reduce measurement or revenue features. Organisations operating under privacy rules in the United Kingdom and the European Union must keep legally required consent mechanisms. The practical issue is governance: deciding which scripts are worth their performance cost and loading them carefully.</w:t>
      </w:r>
    </w:p>
    <w:p>
      <w:pPr>
        <w:spacing w:after="140" w:line="312"/>
      </w:pPr>
      <w:r>
        <w:rPr>
          <w:rFonts w:ascii="Calibri" w:cs="Calibri" w:eastAsia="Calibri" w:hAnsi="Calibri"/>
          <w:b/>
          <w:bCs/>
          <w:sz w:val="22"/>
          <w:szCs w:val="22"/>
        </w:rPr>
        <w:t xml:space="preserve">Regression risk.</w:t>
      </w:r>
      <w:r>
        <w:rPr>
          <w:rFonts w:ascii="Calibri" w:cs="Calibri" w:eastAsia="Calibri" w:hAnsi="Calibri"/>
          <w:sz w:val="22"/>
          <w:szCs w:val="22"/>
        </w:rPr>
        <w:t xml:space="preserve"> Performance is not a one-off project. New features, new tags, redesigns and content changes can quickly undo earlier gains. Without monitoring and clear ownership, a site that passes in one quarter may fail in the next.</w:t>
      </w:r>
    </w:p>
    <w:p>
      <w:pPr>
        <w:spacing w:after="140" w:line="312"/>
      </w:pPr>
      <w:r>
        <w:rPr>
          <w:rFonts w:ascii="Calibri" w:cs="Calibri" w:eastAsia="Calibri" w:hAnsi="Calibri"/>
          <w:b/>
          <w:bCs/>
          <w:sz w:val="22"/>
          <w:szCs w:val="22"/>
        </w:rPr>
        <w:t xml:space="preserve">Cost and opportunity cost.</w:t>
      </w:r>
      <w:r>
        <w:rPr>
          <w:rFonts w:ascii="Calibri" w:cs="Calibri" w:eastAsia="Calibri" w:hAnsi="Calibri"/>
          <w:sz w:val="22"/>
          <w:szCs w:val="22"/>
        </w:rPr>
        <w:t xml:space="preserve"> Engineering time spent on performance is not spent on features or content. For some businesses, a poor conversion rate is caused by pricing, trust or product-market fit rather than speed. Leaders should confirm that performance is a bottleneck before committing large budgets.</w:t>
      </w:r>
    </w:p>
    <w:p>
      <w:pPr>
        <w:spacing w:after="140" w:line="312"/>
      </w:pPr>
      <w:r>
        <w:rPr>
          <w:rFonts w:ascii="Calibri" w:cs="Calibri" w:eastAsia="Calibri" w:hAnsi="Calibri"/>
          <w:b/>
          <w:bCs/>
          <w:sz w:val="22"/>
          <w:szCs w:val="22"/>
        </w:rPr>
        <w:t xml:space="preserve">Measurement complexity.</w:t>
      </w:r>
      <w:r>
        <w:rPr>
          <w:rFonts w:ascii="Calibri" w:cs="Calibri" w:eastAsia="Calibri" w:hAnsi="Calibri"/>
          <w:sz w:val="22"/>
          <w:szCs w:val="22"/>
        </w:rPr>
        <w:t xml:space="preserve"> Field data takes time to update and may not exist for low-traffic pages, while lab tools can produce different numbers from run to run. Teams need to understand what each tool measures and avoid treating a single test as definitive.</w:t>
      </w:r>
    </w:p>
    <w:p>
      <w:pPr>
        <w:spacing w:after="140" w:line="312"/>
      </w:pPr>
      <w:r>
        <w:rPr>
          <w:rFonts w:ascii="Calibri" w:cs="Calibri" w:eastAsia="Calibri" w:hAnsi="Calibri"/>
          <w:b/>
          <w:bCs/>
          <w:sz w:val="22"/>
          <w:szCs w:val="22"/>
        </w:rPr>
        <w:t xml:space="preserve">Moving standards.</w:t>
      </w:r>
      <w:r>
        <w:rPr>
          <w:rFonts w:ascii="Calibri" w:cs="Calibri" w:eastAsia="Calibri" w:hAnsi="Calibri"/>
          <w:sz w:val="22"/>
          <w:szCs w:val="22"/>
        </w:rPr>
        <w:t xml:space="preserve"> Google changed a Core Web Vital in 2024 when INP replaced First Input Delay. Further changes are possible, so targets set today may need review.</w:t>
      </w:r>
    </w:p>
    <w:p>
      <w:pPr>
        <w:spacing w:after="140" w:line="312"/>
      </w:pPr>
      <w:r>
        <w:rPr>
          <w:rFonts w:ascii="Calibri" w:cs="Calibri" w:eastAsia="Calibri" w:hAnsi="Calibri"/>
          <w:sz w:val="22"/>
          <w:szCs w:val="22"/>
        </w:rPr>
        <w:t xml:space="preserve">None of these points argues against performance work. They argue for testing assumptions, measuring real outcomes and treating Core Web Vitals as one input among many.</w:t>
      </w:r>
    </w:p>
    <w:p>
      <w:pPr>
        <w:pStyle w:val="Heading1"/>
        <w:spacing w:after="120" w:before="320"/>
      </w:pPr>
      <w:r>
        <w:rPr>
          <w:rFonts w:ascii="Calibri" w:cs="Calibri" w:eastAsia="Calibri" w:hAnsi="Calibri"/>
          <w:b/>
          <w:bCs/>
          <w:color w:val="1F3A5F"/>
          <w:sz w:val="30"/>
          <w:szCs w:val="30"/>
        </w:rPr>
        <w:t xml:space="preserve">5. How Performance Is Engineered</w:t>
      </w:r>
    </w:p>
    <w:p>
      <w:pPr>
        <w:spacing w:after="140" w:line="312"/>
      </w:pPr>
      <w:r>
        <w:rPr>
          <w:rFonts w:ascii="Calibri" w:cs="Calibri" w:eastAsia="Calibri" w:hAnsi="Calibri"/>
          <w:sz w:val="22"/>
          <w:szCs w:val="22"/>
        </w:rPr>
        <w:t xml:space="preserve">Performance is delivered through a chain of decisions, from hosting to design to governance. The following overview describes common practice. It reflects industry guidance and reasoned analysis, not a guarantee that any technique will work on a given site.</w:t>
      </w:r>
    </w:p>
    <w:p>
      <w:pPr>
        <w:spacing w:after="140" w:line="312"/>
      </w:pPr>
      <w:r>
        <w:rPr>
          <w:rFonts w:ascii="Calibri" w:cs="Calibri" w:eastAsia="Calibri" w:hAnsi="Calibri"/>
          <w:b/>
          <w:bCs/>
          <w:sz w:val="22"/>
          <w:szCs w:val="22"/>
        </w:rPr>
        <w:t xml:space="preserve">Establish a baseline with real-user data.</w:t>
      </w:r>
      <w:r>
        <w:rPr>
          <w:rFonts w:ascii="Calibri" w:cs="Calibri" w:eastAsia="Calibri" w:hAnsi="Calibri"/>
          <w:sz w:val="22"/>
          <w:szCs w:val="22"/>
        </w:rPr>
        <w:t xml:space="preserve"> The first step is to read the field data in the CrUX-based reports available through Google's tools, and to separate mobile from desktop and revenue pages from low-value pages. Lab tools then help diagnose why a page is slow.</w:t>
      </w:r>
    </w:p>
    <w:p>
      <w:pPr>
        <w:spacing w:after="140" w:line="312"/>
      </w:pPr>
      <w:r>
        <w:rPr>
          <w:rFonts w:ascii="Calibri" w:cs="Calibri" w:eastAsia="Calibri" w:hAnsi="Calibri"/>
          <w:b/>
          <w:bCs/>
          <w:sz w:val="22"/>
          <w:szCs w:val="22"/>
        </w:rPr>
        <w:t xml:space="preserve">Improve loading (LCP).</w:t>
      </w:r>
      <w:r>
        <w:rPr>
          <w:rFonts w:ascii="Calibri" w:cs="Calibri" w:eastAsia="Calibri" w:hAnsi="Calibri"/>
          <w:sz w:val="22"/>
          <w:szCs w:val="22"/>
        </w:rPr>
        <w:t xml:space="preserve"> Common causes of a slow LCP include slow server responses, large or unoptimised images and resources that block rendering. Typical responses are caching and edge delivery, modern image formats served at the size actually displayed, and careful prioritisation of the main visible element. Practitioner guidance also warns against hiding or lazy-loading the main image in ways that delay it.</w:t>
      </w:r>
    </w:p>
    <w:p>
      <w:pPr>
        <w:spacing w:after="140" w:line="312"/>
      </w:pPr>
      <w:r>
        <w:rPr>
          <w:rFonts w:ascii="Calibri" w:cs="Calibri" w:eastAsia="Calibri" w:hAnsi="Calibri"/>
          <w:b/>
          <w:bCs/>
          <w:sz w:val="22"/>
          <w:szCs w:val="22"/>
        </w:rPr>
        <w:t xml:space="preserve">Improve responsiveness (INP).</w:t>
      </w:r>
      <w:r>
        <w:rPr>
          <w:rFonts w:ascii="Calibri" w:cs="Calibri" w:eastAsia="Calibri" w:hAnsi="Calibri"/>
          <w:sz w:val="22"/>
          <w:szCs w:val="22"/>
        </w:rPr>
        <w:t xml:space="preserve"> Slow responses are often caused by heavy JavaScript running on the main thread, so interactions queue behind other work. Typical responses include shipping less code, splitting large scripts, deferring non-essential work and reviewing third-party tags.</w:t>
      </w:r>
    </w:p>
    <w:p>
      <w:pPr>
        <w:spacing w:after="140" w:line="312"/>
      </w:pPr>
      <w:r>
        <w:rPr>
          <w:rFonts w:ascii="Calibri" w:cs="Calibri" w:eastAsia="Calibri" w:hAnsi="Calibri"/>
          <w:b/>
          <w:bCs/>
          <w:sz w:val="22"/>
          <w:szCs w:val="22"/>
        </w:rPr>
        <w:t xml:space="preserve">Improve stability (CLS).</w:t>
      </w:r>
      <w:r>
        <w:rPr>
          <w:rFonts w:ascii="Calibri" w:cs="Calibri" w:eastAsia="Calibri" w:hAnsi="Calibri"/>
          <w:sz w:val="22"/>
          <w:szCs w:val="22"/>
        </w:rPr>
        <w:t xml:space="preserve"> Layout shifts usually come from images or embeds without reserved space, late-loading fonts and content injected above existing content. Reserving space and loading late content predictably helps.</w:t>
      </w:r>
    </w:p>
    <w:p>
      <w:pPr>
        <w:spacing w:after="140" w:line="312"/>
      </w:pPr>
      <w:r>
        <w:rPr>
          <w:rFonts w:ascii="Calibri" w:cs="Calibri" w:eastAsia="Calibri" w:hAnsi="Calibri"/>
          <w:b/>
          <w:bCs/>
          <w:sz w:val="22"/>
          <w:szCs w:val="22"/>
        </w:rPr>
        <w:t xml:space="preserve">Govern third-party code.</w:t>
      </w:r>
      <w:r>
        <w:rPr>
          <w:rFonts w:ascii="Calibri" w:cs="Calibri" w:eastAsia="Calibri" w:hAnsi="Calibri"/>
          <w:sz w:val="22"/>
          <w:szCs w:val="22"/>
        </w:rPr>
        <w:t xml:space="preserve"> A simple register of every external script, with an owner, a purpose and an estimated cost, gives teams a basis for deciding what stays. Scripts can be loaded later or only where needed.</w:t>
      </w:r>
    </w:p>
    <w:p>
      <w:pPr>
        <w:spacing w:after="140" w:line="312"/>
      </w:pPr>
      <w:r>
        <w:rPr>
          <w:rFonts w:ascii="Calibri" w:cs="Calibri" w:eastAsia="Calibri" w:hAnsi="Calibri"/>
          <w:b/>
          <w:bCs/>
          <w:sz w:val="22"/>
          <w:szCs w:val="22"/>
        </w:rPr>
        <w:t xml:space="preserve">Set budgets and monitor continuously.</w:t>
      </w:r>
      <w:r>
        <w:rPr>
          <w:rFonts w:ascii="Calibri" w:cs="Calibri" w:eastAsia="Calibri" w:hAnsi="Calibri"/>
          <w:sz w:val="22"/>
          <w:szCs w:val="22"/>
        </w:rPr>
        <w:t xml:space="preserve"> A performance budget defines limits, such as page weight or target metric values, that new work must respect. Automated tests in the deployment process and ongoing real-user monitoring help detect regressions early.</w:t>
      </w:r>
    </w:p>
    <w:p>
      <w:pPr>
        <w:spacing w:after="140" w:line="312"/>
      </w:pPr>
      <w:r>
        <w:rPr>
          <w:rFonts w:ascii="Calibri" w:cs="Calibri" w:eastAsia="Calibri" w:hAnsi="Calibri"/>
          <w:b/>
          <w:bCs/>
          <w:sz w:val="22"/>
          <w:szCs w:val="22"/>
        </w:rPr>
        <w:t xml:space="preserve">Connect the work to business metrics.</w:t>
      </w:r>
      <w:r>
        <w:rPr>
          <w:rFonts w:ascii="Calibri" w:cs="Calibri" w:eastAsia="Calibri" w:hAnsi="Calibri"/>
          <w:sz w:val="22"/>
          <w:szCs w:val="22"/>
        </w:rPr>
        <w:t xml:space="preserve"> Teams should record conversion, lead and engagement metrics alongside Core Web Vitals so that the effect of changes can be judged. Where traffic allows, an A/B test provides the clearest evidence, as the Vodafone case study illustrates.</w:t>
      </w:r>
    </w:p>
    <w:p>
      <w:pPr>
        <w:spacing w:after="140" w:line="312"/>
      </w:pPr>
      <w:r>
        <w:rPr>
          <w:rFonts w:ascii="Calibri" w:cs="Calibri" w:eastAsia="Calibri" w:hAnsi="Calibri"/>
          <w:b/>
          <w:bCs/>
          <w:sz w:val="22"/>
          <w:szCs w:val="22"/>
        </w:rPr>
        <w:t xml:space="preserve">Involve the right roles.</w:t>
      </w:r>
      <w:r>
        <w:rPr>
          <w:rFonts w:ascii="Calibri" w:cs="Calibri" w:eastAsia="Calibri" w:hAnsi="Calibri"/>
          <w:sz w:val="22"/>
          <w:szCs w:val="22"/>
        </w:rPr>
        <w:t xml:space="preserve"> Performance sits across disciplines. Engineers control code and infrastructure, designers influence images and layout, marketers control tags, and legal or compliance teams influence consent tools. A shared owner reduces the chance that each group optimises its own area at the expense of the whole.</w:t>
      </w:r>
    </w:p>
    <w:p>
      <w:pPr>
        <w:pStyle w:val="Heading1"/>
        <w:spacing w:after="120" w:before="320"/>
      </w:pPr>
      <w:r>
        <w:rPr>
          <w:rFonts w:ascii="Calibri" w:cs="Calibri" w:eastAsia="Calibri" w:hAnsi="Calibri"/>
          <w:b/>
          <w:bCs/>
          <w:color w:val="1F3A5F"/>
          <w:sz w:val="30"/>
          <w:szCs w:val="30"/>
        </w:rPr>
        <w:t xml:space="preserve">6. Key Data</w:t>
      </w:r>
    </w:p>
    <w:p>
      <w:pPr>
        <w:pStyle w:val="Heading2"/>
        <w:spacing w:after="100" w:before="220"/>
      </w:pPr>
      <w:r>
        <w:rPr>
          <w:rFonts w:ascii="Calibri" w:cs="Calibri" w:eastAsia="Calibri" w:hAnsi="Calibri"/>
          <w:b/>
          <w:bCs/>
          <w:color w:val="2C5282"/>
          <w:sz w:val="25"/>
          <w:szCs w:val="25"/>
        </w:rPr>
        <w:t xml:space="preserve">6.1 Key statistics</w:t>
      </w:r>
    </w:p>
    <w:p>
      <w:pPr>
        <w:spacing w:after="140" w:line="312"/>
      </w:pPr>
      <w:r>
        <w:rPr>
          <w:rFonts w:ascii="Calibri" w:cs="Calibri" w:eastAsia="Calibri" w:hAnsi="Calibri"/>
          <w:sz w:val="22"/>
          <w:szCs w:val="22"/>
        </w:rPr>
        <w:t xml:space="preserve">The table gathers the main figures used in this paper. Each has a source and period, and the type column separates facts from case-study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4"/>
        <w:gridCol w:w="2825"/>
        <w:gridCol w:w="2596"/>
        <w:gridCol w:w="981"/>
        <w:gridCol w:w="1032"/>
      </w:tblGrid>
      <w:tr>
        <w:trPr>
          <w:cantSplit/>
          <w:tblHeader/>
        </w:trPr>
        <w:tc>
          <w:tcPr>
            <w:tcW w:type="dxa" w:w="2204"/>
            <w:tcBorders>
              <w:top w:val="single" w:color="C4CCD6" w:sz="4"/>
              <w:left w:val="single" w:color="C4CCD6" w:sz="4"/>
              <w:bottom w:val="single" w:color="C4CCD6" w:sz="4"/>
              <w:right w:val="single" w:color="C4CCD6" w:sz="4"/>
            </w:tcBorders>
            <w:shd w:fill="1F3A5F" w:color="auto" w:val="clear"/>
            <w:tcMar>
              <w:top w:type="dxa" w:w="60"/>
              <w:left w:type="dxa" w:w="90"/>
              <w:bottom w:type="dxa" w:w="60"/>
              <w:right w:type="dxa" w:w="90"/>
            </w:tcMar>
          </w:tcPr>
          <w:p>
            <w:r>
              <w:rPr>
                <w:rFonts w:ascii="Calibri" w:cs="Calibri" w:eastAsia="Calibri" w:hAnsi="Calibri"/>
                <w:b/>
                <w:bCs/>
                <w:color w:val="FFFFFF"/>
                <w:sz w:val="17"/>
                <w:szCs w:val="17"/>
              </w:rPr>
              <w:t xml:space="preserve">Metric</w:t>
            </w:r>
          </w:p>
        </w:tc>
        <w:tc>
          <w:tcPr>
            <w:tcW w:type="dxa" w:w="2825"/>
            <w:tcBorders>
              <w:top w:val="single" w:color="C4CCD6" w:sz="4"/>
              <w:left w:val="single" w:color="C4CCD6" w:sz="4"/>
              <w:bottom w:val="single" w:color="C4CCD6" w:sz="4"/>
              <w:right w:val="single" w:color="C4CCD6" w:sz="4"/>
            </w:tcBorders>
            <w:shd w:fill="1F3A5F" w:color="auto" w:val="clear"/>
            <w:tcMar>
              <w:top w:type="dxa" w:w="60"/>
              <w:left w:type="dxa" w:w="90"/>
              <w:bottom w:type="dxa" w:w="60"/>
              <w:right w:type="dxa" w:w="90"/>
            </w:tcMar>
          </w:tcPr>
          <w:p>
            <w:r>
              <w:rPr>
                <w:rFonts w:ascii="Calibri" w:cs="Calibri" w:eastAsia="Calibri" w:hAnsi="Calibri"/>
                <w:b/>
                <w:bCs/>
                <w:color w:val="FFFFFF"/>
                <w:sz w:val="17"/>
                <w:szCs w:val="17"/>
              </w:rPr>
              <w:t xml:space="preserve">Value</w:t>
            </w:r>
          </w:p>
        </w:tc>
        <w:tc>
          <w:tcPr>
            <w:tcW w:type="dxa" w:w="2596"/>
            <w:tcBorders>
              <w:top w:val="single" w:color="C4CCD6" w:sz="4"/>
              <w:left w:val="single" w:color="C4CCD6" w:sz="4"/>
              <w:bottom w:val="single" w:color="C4CCD6" w:sz="4"/>
              <w:right w:val="single" w:color="C4CCD6" w:sz="4"/>
            </w:tcBorders>
            <w:shd w:fill="1F3A5F" w:color="auto" w:val="clear"/>
            <w:tcMar>
              <w:top w:type="dxa" w:w="60"/>
              <w:left w:type="dxa" w:w="90"/>
              <w:bottom w:type="dxa" w:w="60"/>
              <w:right w:type="dxa" w:w="90"/>
            </w:tcMar>
          </w:tcPr>
          <w:p>
            <w:r>
              <w:rPr>
                <w:rFonts w:ascii="Calibri" w:cs="Calibri" w:eastAsia="Calibri" w:hAnsi="Calibri"/>
                <w:b/>
                <w:bCs/>
                <w:color w:val="FFFFFF"/>
                <w:sz w:val="17"/>
                <w:szCs w:val="17"/>
              </w:rPr>
              <w:t xml:space="preserve">Source</w:t>
            </w:r>
          </w:p>
        </w:tc>
        <w:tc>
          <w:tcPr>
            <w:tcW w:type="dxa" w:w="981"/>
            <w:tcBorders>
              <w:top w:val="single" w:color="C4CCD6" w:sz="4"/>
              <w:left w:val="single" w:color="C4CCD6" w:sz="4"/>
              <w:bottom w:val="single" w:color="C4CCD6" w:sz="4"/>
              <w:right w:val="single" w:color="C4CCD6" w:sz="4"/>
            </w:tcBorders>
            <w:shd w:fill="1F3A5F" w:color="auto" w:val="clear"/>
            <w:tcMar>
              <w:top w:type="dxa" w:w="60"/>
              <w:left w:type="dxa" w:w="90"/>
              <w:bottom w:type="dxa" w:w="60"/>
              <w:right w:type="dxa" w:w="90"/>
            </w:tcMar>
          </w:tcPr>
          <w:p>
            <w:r>
              <w:rPr>
                <w:rFonts w:ascii="Calibri" w:cs="Calibri" w:eastAsia="Calibri" w:hAnsi="Calibri"/>
                <w:b/>
                <w:bCs/>
                <w:color w:val="FFFFFF"/>
                <w:sz w:val="17"/>
                <w:szCs w:val="17"/>
              </w:rPr>
              <w:t xml:space="preserve">Date</w:t>
            </w:r>
          </w:p>
        </w:tc>
        <w:tc>
          <w:tcPr>
            <w:tcW w:type="dxa" w:w="1032"/>
            <w:tcBorders>
              <w:top w:val="single" w:color="C4CCD6" w:sz="4"/>
              <w:left w:val="single" w:color="C4CCD6" w:sz="4"/>
              <w:bottom w:val="single" w:color="C4CCD6" w:sz="4"/>
              <w:right w:val="single" w:color="C4CCD6" w:sz="4"/>
            </w:tcBorders>
            <w:shd w:fill="1F3A5F" w:color="auto" w:val="clear"/>
            <w:tcMar>
              <w:top w:type="dxa" w:w="60"/>
              <w:left w:type="dxa" w:w="90"/>
              <w:bottom w:type="dxa" w:w="60"/>
              <w:right w:type="dxa" w:w="90"/>
            </w:tcMar>
          </w:tcPr>
          <w:p>
            <w:r>
              <w:rPr>
                <w:rFonts w:ascii="Calibri" w:cs="Calibri" w:eastAsia="Calibri" w:hAnsi="Calibri"/>
                <w:b/>
                <w:bCs/>
                <w:color w:val="FFFFFF"/>
                <w:sz w:val="17"/>
                <w:szCs w:val="17"/>
              </w:rPr>
              <w:t xml:space="preserve">Type</w:t>
            </w:r>
          </w:p>
        </w:tc>
      </w:tr>
      <w:tr>
        <w:trPr>
          <w:cantSplit/>
          <w:tblHeader w:val="false"/>
        </w:trPr>
        <w:tc>
          <w:tcPr>
            <w:tcW w:type="dxa" w:w="2204"/>
            <w:tcBorders>
              <w:top w:val="single" w:color="C4CCD6" w:sz="4"/>
              <w:left w:val="single" w:color="C4CCD6" w:sz="4"/>
              <w:bottom w:val="single" w:color="C4CCD6" w:sz="4"/>
              <w:right w:val="single" w:color="C4CCD6" w:sz="4"/>
            </w:tcBorders>
            <w:tcMar>
              <w:top w:type="dxa" w:w="60"/>
              <w:left w:type="dxa" w:w="90"/>
              <w:bottom w:type="dxa" w:w="60"/>
              <w:right w:type="dxa" w:w="90"/>
            </w:tcMar>
          </w:tcPr>
          <w:p>
            <w:r>
              <w:rPr>
                <w:rFonts w:ascii="Calibri" w:cs="Calibri" w:eastAsia="Calibri" w:hAnsi="Calibri"/>
                <w:b w:val="false"/>
                <w:bCs w:val="false"/>
                <w:color w:val="222222"/>
                <w:sz w:val="17"/>
                <w:szCs w:val="17"/>
              </w:rPr>
              <w:t xml:space="preserve">Good LCP threshold</w:t>
            </w:r>
          </w:p>
        </w:tc>
        <w:tc>
          <w:tcPr>
            <w:tcW w:type="dxa" w:w="2825"/>
            <w:tcBorders>
              <w:top w:val="single" w:color="C4CCD6" w:sz="4"/>
              <w:left w:val="single" w:color="C4CCD6" w:sz="4"/>
              <w:bottom w:val="single" w:color="C4CCD6" w:sz="4"/>
              <w:right w:val="single" w:color="C4CCD6" w:sz="4"/>
            </w:tcBorders>
            <w:tcMar>
              <w:top w:type="dxa" w:w="60"/>
              <w:left w:type="dxa" w:w="90"/>
              <w:bottom w:type="dxa" w:w="60"/>
              <w:right w:type="dxa" w:w="90"/>
            </w:tcMar>
          </w:tcPr>
          <w:p>
            <w:r>
              <w:rPr>
                <w:rFonts w:ascii="Calibri" w:cs="Calibri" w:eastAsia="Calibri" w:hAnsi="Calibri"/>
                <w:b w:val="false"/>
                <w:bCs w:val="false"/>
                <w:color w:val="222222"/>
                <w:sz w:val="17"/>
                <w:szCs w:val="17"/>
              </w:rPr>
              <w:t xml:space="preserve">2.5 seconds or less</w:t>
            </w:r>
          </w:p>
        </w:tc>
        <w:tc>
          <w:tcPr>
            <w:tcW w:type="dxa" w:w="2596"/>
            <w:tcBorders>
              <w:top w:val="single" w:color="C4CCD6" w:sz="4"/>
              <w:left w:val="single" w:color="C4CCD6" w:sz="4"/>
              <w:bottom w:val="single" w:color="C4CCD6" w:sz="4"/>
              <w:right w:val="single" w:color="C4CCD6" w:sz="4"/>
            </w:tcBorders>
            <w:tcMar>
              <w:top w:type="dxa" w:w="60"/>
              <w:left w:type="dxa" w:w="90"/>
              <w:bottom w:type="dxa" w:w="60"/>
              <w:right w:type="dxa" w:w="90"/>
            </w:tcMar>
          </w:tcPr>
          <w:p>
            <w:r>
              <w:rPr>
                <w:rFonts w:ascii="Calibri" w:cs="Calibri" w:eastAsia="Calibri" w:hAnsi="Calibri"/>
                <w:b w:val="false"/>
                <w:bCs w:val="false"/>
                <w:color w:val="222222"/>
                <w:sz w:val="17"/>
                <w:szCs w:val="17"/>
              </w:rPr>
              <w:t xml:space="preserve">Google, web.dev</w:t>
            </w:r>
          </w:p>
        </w:tc>
        <w:tc>
          <w:tcPr>
            <w:tcW w:type="dxa" w:w="981"/>
            <w:tcBorders>
              <w:top w:val="single" w:color="C4CCD6" w:sz="4"/>
              <w:left w:val="single" w:color="C4CCD6" w:sz="4"/>
              <w:bottom w:val="single" w:color="C4CCD6" w:sz="4"/>
              <w:right w:val="single" w:color="C4CCD6" w:sz="4"/>
            </w:tcBorders>
            <w:tcMar>
              <w:top w:type="dxa" w:w="60"/>
              <w:left w:type="dxa" w:w="90"/>
              <w:bottom w:type="dxa" w:w="60"/>
              <w:right w:type="dxa" w:w="90"/>
            </w:tcMar>
          </w:tcPr>
          <w:p>
            <w:r>
              <w:rPr>
                <w:rFonts w:ascii="Calibri" w:cs="Calibri" w:eastAsia="Calibri" w:hAnsi="Calibri"/>
                <w:b w:val="false"/>
                <w:bCs w:val="false"/>
                <w:color w:val="222222"/>
                <w:sz w:val="17"/>
                <w:szCs w:val="17"/>
              </w:rPr>
              <w:t xml:space="preserve">Current guidance</w:t>
            </w:r>
          </w:p>
        </w:tc>
        <w:tc>
          <w:tcPr>
            <w:tcW w:type="dxa" w:w="1032"/>
            <w:tcBorders>
              <w:top w:val="single" w:color="C4CCD6" w:sz="4"/>
              <w:left w:val="single" w:color="C4CCD6" w:sz="4"/>
              <w:bottom w:val="single" w:color="C4CCD6" w:sz="4"/>
              <w:right w:val="single" w:color="C4CCD6" w:sz="4"/>
            </w:tcBorders>
            <w:tcMar>
              <w:top w:type="dxa" w:w="60"/>
              <w:left w:type="dxa" w:w="90"/>
              <w:bottom w:type="dxa" w:w="60"/>
              <w:right w:type="dxa" w:w="90"/>
            </w:tcMar>
          </w:tcPr>
          <w:p>
            <w:r>
              <w:rPr>
                <w:rFonts w:ascii="Calibri" w:cs="Calibri" w:eastAsia="Calibri" w:hAnsi="Calibri"/>
                <w:b w:val="false"/>
                <w:bCs w:val="false"/>
                <w:color w:val="222222"/>
                <w:sz w:val="17"/>
                <w:szCs w:val="17"/>
              </w:rPr>
              <w:t xml:space="preserve">Fact</w:t>
            </w:r>
          </w:p>
        </w:tc>
      </w:tr>
      <w:tr>
        <w:trPr>
          <w:cantSplit/>
          <w:tblHeader w:val="false"/>
        </w:trPr>
        <w:tc>
          <w:tcPr>
            <w:tcW w:type="dxa" w:w="2204"/>
            <w:tcBorders>
              <w:top w:val="single" w:color="C4CCD6" w:sz="4"/>
              <w:left w:val="single" w:color="C4CCD6" w:sz="4"/>
              <w:bottom w:val="single" w:color="C4CCD6" w:sz="4"/>
              <w:right w:val="single" w:color="C4CCD6" w:sz="4"/>
            </w:tcBorders>
            <w:shd w:fill="F1F4F8" w:color="auto" w:val="clear"/>
            <w:tcMar>
              <w:top w:type="dxa" w:w="60"/>
              <w:left w:type="dxa" w:w="90"/>
              <w:bottom w:type="dxa" w:w="60"/>
              <w:right w:type="dxa" w:w="90"/>
            </w:tcMar>
          </w:tcPr>
          <w:p>
            <w:r>
              <w:rPr>
                <w:rFonts w:ascii="Calibri" w:cs="Calibri" w:eastAsia="Calibri" w:hAnsi="Calibri"/>
                <w:b w:val="false"/>
                <w:bCs w:val="false"/>
                <w:color w:val="222222"/>
                <w:sz w:val="17"/>
                <w:szCs w:val="17"/>
              </w:rPr>
              <w:t xml:space="preserve">Good INP threshold</w:t>
            </w:r>
          </w:p>
        </w:tc>
        <w:tc>
          <w:tcPr>
            <w:tcW w:type="dxa" w:w="2825"/>
            <w:tcBorders>
              <w:top w:val="single" w:color="C4CCD6" w:sz="4"/>
              <w:left w:val="single" w:color="C4CCD6" w:sz="4"/>
              <w:bottom w:val="single" w:color="C4CCD6" w:sz="4"/>
              <w:right w:val="single" w:color="C4CCD6" w:sz="4"/>
            </w:tcBorders>
            <w:shd w:fill="F1F4F8" w:color="auto" w:val="clear"/>
            <w:tcMar>
              <w:top w:type="dxa" w:w="60"/>
              <w:left w:type="dxa" w:w="90"/>
              <w:bottom w:type="dxa" w:w="60"/>
              <w:right w:type="dxa" w:w="90"/>
            </w:tcMar>
          </w:tcPr>
          <w:p>
            <w:r>
              <w:rPr>
                <w:rFonts w:ascii="Calibri" w:cs="Calibri" w:eastAsia="Calibri" w:hAnsi="Calibri"/>
                <w:b w:val="false"/>
                <w:bCs w:val="false"/>
                <w:color w:val="222222"/>
                <w:sz w:val="17"/>
                <w:szCs w:val="17"/>
              </w:rPr>
              <w:t xml:space="preserve">200 milliseconds or less</w:t>
            </w:r>
          </w:p>
        </w:tc>
        <w:tc>
          <w:tcPr>
            <w:tcW w:type="dxa" w:w="2596"/>
            <w:tcBorders>
              <w:top w:val="single" w:color="C4CCD6" w:sz="4"/>
              <w:left w:val="single" w:color="C4CCD6" w:sz="4"/>
              <w:bottom w:val="single" w:color="C4CCD6" w:sz="4"/>
              <w:right w:val="single" w:color="C4CCD6" w:sz="4"/>
            </w:tcBorders>
            <w:shd w:fill="F1F4F8" w:color="auto" w:val="clear"/>
            <w:tcMar>
              <w:top w:type="dxa" w:w="60"/>
              <w:left w:type="dxa" w:w="90"/>
              <w:bottom w:type="dxa" w:w="60"/>
              <w:right w:type="dxa" w:w="90"/>
            </w:tcMar>
          </w:tcPr>
          <w:p>
            <w:r>
              <w:rPr>
                <w:rFonts w:ascii="Calibri" w:cs="Calibri" w:eastAsia="Calibri" w:hAnsi="Calibri"/>
                <w:b w:val="false"/>
                <w:bCs w:val="false"/>
                <w:color w:val="222222"/>
                <w:sz w:val="17"/>
                <w:szCs w:val="17"/>
              </w:rPr>
              <w:t xml:space="preserve">Google, web.dev</w:t>
            </w:r>
          </w:p>
        </w:tc>
        <w:tc>
          <w:tcPr>
            <w:tcW w:type="dxa" w:w="981"/>
            <w:tcBorders>
              <w:top w:val="single" w:color="C4CCD6" w:sz="4"/>
              <w:left w:val="single" w:color="C4CCD6" w:sz="4"/>
              <w:bottom w:val="single" w:color="C4CCD6" w:sz="4"/>
              <w:right w:val="single" w:color="C4CCD6" w:sz="4"/>
            </w:tcBorders>
            <w:shd w:fill="F1F4F8" w:color="auto" w:val="clear"/>
            <w:tcMar>
              <w:top w:type="dxa" w:w="60"/>
              <w:left w:type="dxa" w:w="90"/>
              <w:bottom w:type="dxa" w:w="60"/>
              <w:right w:type="dxa" w:w="90"/>
            </w:tcMar>
          </w:tcPr>
          <w:p>
            <w:r>
              <w:rPr>
                <w:rFonts w:ascii="Calibri" w:cs="Calibri" w:eastAsia="Calibri" w:hAnsi="Calibri"/>
                <w:b w:val="false"/>
                <w:bCs w:val="false"/>
                <w:color w:val="222222"/>
                <w:sz w:val="17"/>
                <w:szCs w:val="17"/>
              </w:rPr>
              <w:t xml:space="preserve">Current guidance</w:t>
            </w:r>
          </w:p>
        </w:tc>
        <w:tc>
          <w:tcPr>
            <w:tcW w:type="dxa" w:w="1032"/>
            <w:tcBorders>
              <w:top w:val="single" w:color="C4CCD6" w:sz="4"/>
              <w:left w:val="single" w:color="C4CCD6" w:sz="4"/>
              <w:bottom w:val="single" w:color="C4CCD6" w:sz="4"/>
              <w:right w:val="single" w:color="C4CCD6" w:sz="4"/>
            </w:tcBorders>
            <w:shd w:fill="F1F4F8" w:color="auto" w:val="clear"/>
            <w:tcMar>
              <w:top w:type="dxa" w:w="60"/>
              <w:left w:type="dxa" w:w="90"/>
              <w:bottom w:type="dxa" w:w="60"/>
              <w:right w:type="dxa" w:w="90"/>
            </w:tcMar>
          </w:tcPr>
          <w:p>
            <w:r>
              <w:rPr>
                <w:rFonts w:ascii="Calibri" w:cs="Calibri" w:eastAsia="Calibri" w:hAnsi="Calibri"/>
                <w:b w:val="false"/>
                <w:bCs w:val="false"/>
                <w:color w:val="222222"/>
                <w:sz w:val="17"/>
                <w:szCs w:val="17"/>
              </w:rPr>
              <w:t xml:space="preserve">Fact</w:t>
            </w:r>
          </w:p>
        </w:tc>
      </w:tr>
      <w:tr>
        <w:trPr>
          <w:cantSplit/>
          <w:tblHeader w:val="false"/>
        </w:trPr>
        <w:tc>
          <w:tcPr>
            <w:tcW w:type="dxa" w:w="2204"/>
            <w:tcBorders>
              <w:top w:val="single" w:color="C4CCD6" w:sz="4"/>
              <w:left w:val="single" w:color="C4CCD6" w:sz="4"/>
              <w:bottom w:val="single" w:color="C4CCD6" w:sz="4"/>
              <w:right w:val="single" w:color="C4CCD6" w:sz="4"/>
            </w:tcBorders>
            <w:tcMar>
              <w:top w:type="dxa" w:w="60"/>
              <w:left w:type="dxa" w:w="90"/>
              <w:bottom w:type="dxa" w:w="60"/>
              <w:right w:type="dxa" w:w="90"/>
            </w:tcMar>
          </w:tcPr>
          <w:p>
            <w:r>
              <w:rPr>
                <w:rFonts w:ascii="Calibri" w:cs="Calibri" w:eastAsia="Calibri" w:hAnsi="Calibri"/>
                <w:b w:val="false"/>
                <w:bCs w:val="false"/>
                <w:color w:val="222222"/>
                <w:sz w:val="17"/>
                <w:szCs w:val="17"/>
              </w:rPr>
              <w:t xml:space="preserve">Good CLS threshold</w:t>
            </w:r>
          </w:p>
        </w:tc>
        <w:tc>
          <w:tcPr>
            <w:tcW w:type="dxa" w:w="2825"/>
            <w:tcBorders>
              <w:top w:val="single" w:color="C4CCD6" w:sz="4"/>
              <w:left w:val="single" w:color="C4CCD6" w:sz="4"/>
              <w:bottom w:val="single" w:color="C4CCD6" w:sz="4"/>
              <w:right w:val="single" w:color="C4CCD6" w:sz="4"/>
            </w:tcBorders>
            <w:tcMar>
              <w:top w:type="dxa" w:w="60"/>
              <w:left w:type="dxa" w:w="90"/>
              <w:bottom w:type="dxa" w:w="60"/>
              <w:right w:type="dxa" w:w="90"/>
            </w:tcMar>
          </w:tcPr>
          <w:p>
            <w:r>
              <w:rPr>
                <w:rFonts w:ascii="Calibri" w:cs="Calibri" w:eastAsia="Calibri" w:hAnsi="Calibri"/>
                <w:b w:val="false"/>
                <w:bCs w:val="false"/>
                <w:color w:val="222222"/>
                <w:sz w:val="17"/>
                <w:szCs w:val="17"/>
              </w:rPr>
              <w:t xml:space="preserve">0.1 or less</w:t>
            </w:r>
          </w:p>
        </w:tc>
        <w:tc>
          <w:tcPr>
            <w:tcW w:type="dxa" w:w="2596"/>
            <w:tcBorders>
              <w:top w:val="single" w:color="C4CCD6" w:sz="4"/>
              <w:left w:val="single" w:color="C4CCD6" w:sz="4"/>
              <w:bottom w:val="single" w:color="C4CCD6" w:sz="4"/>
              <w:right w:val="single" w:color="C4CCD6" w:sz="4"/>
            </w:tcBorders>
            <w:tcMar>
              <w:top w:type="dxa" w:w="60"/>
              <w:left w:type="dxa" w:w="90"/>
              <w:bottom w:type="dxa" w:w="60"/>
              <w:right w:type="dxa" w:w="90"/>
            </w:tcMar>
          </w:tcPr>
          <w:p>
            <w:r>
              <w:rPr>
                <w:rFonts w:ascii="Calibri" w:cs="Calibri" w:eastAsia="Calibri" w:hAnsi="Calibri"/>
                <w:b w:val="false"/>
                <w:bCs w:val="false"/>
                <w:color w:val="222222"/>
                <w:sz w:val="17"/>
                <w:szCs w:val="17"/>
              </w:rPr>
              <w:t xml:space="preserve">Google, web.dev</w:t>
            </w:r>
          </w:p>
        </w:tc>
        <w:tc>
          <w:tcPr>
            <w:tcW w:type="dxa" w:w="981"/>
            <w:tcBorders>
              <w:top w:val="single" w:color="C4CCD6" w:sz="4"/>
              <w:left w:val="single" w:color="C4CCD6" w:sz="4"/>
              <w:bottom w:val="single" w:color="C4CCD6" w:sz="4"/>
              <w:right w:val="single" w:color="C4CCD6" w:sz="4"/>
            </w:tcBorders>
            <w:tcMar>
              <w:top w:type="dxa" w:w="60"/>
              <w:left w:type="dxa" w:w="90"/>
              <w:bottom w:type="dxa" w:w="60"/>
              <w:right w:type="dxa" w:w="90"/>
            </w:tcMar>
          </w:tcPr>
          <w:p>
            <w:r>
              <w:rPr>
                <w:rFonts w:ascii="Calibri" w:cs="Calibri" w:eastAsia="Calibri" w:hAnsi="Calibri"/>
                <w:b w:val="false"/>
                <w:bCs w:val="false"/>
                <w:color w:val="222222"/>
                <w:sz w:val="17"/>
                <w:szCs w:val="17"/>
              </w:rPr>
              <w:t xml:space="preserve">Current guidance</w:t>
            </w:r>
          </w:p>
        </w:tc>
        <w:tc>
          <w:tcPr>
            <w:tcW w:type="dxa" w:w="1032"/>
            <w:tcBorders>
              <w:top w:val="single" w:color="C4CCD6" w:sz="4"/>
              <w:left w:val="single" w:color="C4CCD6" w:sz="4"/>
              <w:bottom w:val="single" w:color="C4CCD6" w:sz="4"/>
              <w:right w:val="single" w:color="C4CCD6" w:sz="4"/>
            </w:tcBorders>
            <w:tcMar>
              <w:top w:type="dxa" w:w="60"/>
              <w:left w:type="dxa" w:w="90"/>
              <w:bottom w:type="dxa" w:w="60"/>
              <w:right w:type="dxa" w:w="90"/>
            </w:tcMar>
          </w:tcPr>
          <w:p>
            <w:r>
              <w:rPr>
                <w:rFonts w:ascii="Calibri" w:cs="Calibri" w:eastAsia="Calibri" w:hAnsi="Calibri"/>
                <w:b w:val="false"/>
                <w:bCs w:val="false"/>
                <w:color w:val="222222"/>
                <w:sz w:val="17"/>
                <w:szCs w:val="17"/>
              </w:rPr>
              <w:t xml:space="preserve">Fact</w:t>
            </w:r>
          </w:p>
        </w:tc>
      </w:tr>
      <w:tr>
        <w:trPr>
          <w:cantSplit/>
          <w:tblHeader w:val="false"/>
        </w:trPr>
        <w:tc>
          <w:tcPr>
            <w:tcW w:type="dxa" w:w="2204"/>
            <w:tcBorders>
              <w:top w:val="single" w:color="C4CCD6" w:sz="4"/>
              <w:left w:val="single" w:color="C4CCD6" w:sz="4"/>
              <w:bottom w:val="single" w:color="C4CCD6" w:sz="4"/>
              <w:right w:val="single" w:color="C4CCD6" w:sz="4"/>
            </w:tcBorders>
            <w:shd w:fill="F1F4F8" w:color="auto" w:val="clear"/>
            <w:tcMar>
              <w:top w:type="dxa" w:w="60"/>
              <w:left w:type="dxa" w:w="90"/>
              <w:bottom w:type="dxa" w:w="60"/>
              <w:right w:type="dxa" w:w="90"/>
            </w:tcMar>
          </w:tcPr>
          <w:p>
            <w:r>
              <w:rPr>
                <w:rFonts w:ascii="Calibri" w:cs="Calibri" w:eastAsia="Calibri" w:hAnsi="Calibri"/>
                <w:b w:val="false"/>
                <w:bCs w:val="false"/>
                <w:color w:val="222222"/>
                <w:sz w:val="17"/>
                <w:szCs w:val="17"/>
              </w:rPr>
              <w:t xml:space="preserve">INP replaced First Input Delay</w:t>
            </w:r>
          </w:p>
        </w:tc>
        <w:tc>
          <w:tcPr>
            <w:tcW w:type="dxa" w:w="2825"/>
            <w:tcBorders>
              <w:top w:val="single" w:color="C4CCD6" w:sz="4"/>
              <w:left w:val="single" w:color="C4CCD6" w:sz="4"/>
              <w:bottom w:val="single" w:color="C4CCD6" w:sz="4"/>
              <w:right w:val="single" w:color="C4CCD6" w:sz="4"/>
            </w:tcBorders>
            <w:shd w:fill="F1F4F8" w:color="auto" w:val="clear"/>
            <w:tcMar>
              <w:top w:type="dxa" w:w="60"/>
              <w:left w:type="dxa" w:w="90"/>
              <w:bottom w:type="dxa" w:w="60"/>
              <w:right w:type="dxa" w:w="90"/>
            </w:tcMar>
          </w:tcPr>
          <w:p>
            <w:r>
              <w:rPr>
                <w:rFonts w:ascii="Calibri" w:cs="Calibri" w:eastAsia="Calibri" w:hAnsi="Calibri"/>
                <w:b w:val="false"/>
                <w:bCs w:val="false"/>
                <w:color w:val="222222"/>
                <w:sz w:val="17"/>
                <w:szCs w:val="17"/>
              </w:rPr>
              <w:t xml:space="preserve">12 March 2024</w:t>
            </w:r>
          </w:p>
        </w:tc>
        <w:tc>
          <w:tcPr>
            <w:tcW w:type="dxa" w:w="2596"/>
            <w:tcBorders>
              <w:top w:val="single" w:color="C4CCD6" w:sz="4"/>
              <w:left w:val="single" w:color="C4CCD6" w:sz="4"/>
              <w:bottom w:val="single" w:color="C4CCD6" w:sz="4"/>
              <w:right w:val="single" w:color="C4CCD6" w:sz="4"/>
            </w:tcBorders>
            <w:shd w:fill="F1F4F8" w:color="auto" w:val="clear"/>
            <w:tcMar>
              <w:top w:type="dxa" w:w="60"/>
              <w:left w:type="dxa" w:w="90"/>
              <w:bottom w:type="dxa" w:w="60"/>
              <w:right w:type="dxa" w:w="90"/>
            </w:tcMar>
          </w:tcPr>
          <w:p>
            <w:r>
              <w:rPr>
                <w:rFonts w:ascii="Calibri" w:cs="Calibri" w:eastAsia="Calibri" w:hAnsi="Calibri"/>
                <w:b w:val="false"/>
                <w:bCs w:val="false"/>
                <w:color w:val="222222"/>
                <w:sz w:val="17"/>
                <w:szCs w:val="17"/>
              </w:rPr>
              <w:t xml:space="preserve">Google, web.dev</w:t>
            </w:r>
          </w:p>
        </w:tc>
        <w:tc>
          <w:tcPr>
            <w:tcW w:type="dxa" w:w="981"/>
            <w:tcBorders>
              <w:top w:val="single" w:color="C4CCD6" w:sz="4"/>
              <w:left w:val="single" w:color="C4CCD6" w:sz="4"/>
              <w:bottom w:val="single" w:color="C4CCD6" w:sz="4"/>
              <w:right w:val="single" w:color="C4CCD6" w:sz="4"/>
            </w:tcBorders>
            <w:shd w:fill="F1F4F8" w:color="auto" w:val="clear"/>
            <w:tcMar>
              <w:top w:type="dxa" w:w="60"/>
              <w:left w:type="dxa" w:w="90"/>
              <w:bottom w:type="dxa" w:w="60"/>
              <w:right w:type="dxa" w:w="90"/>
            </w:tcMar>
          </w:tcPr>
          <w:p>
            <w:r>
              <w:rPr>
                <w:rFonts w:ascii="Calibri" w:cs="Calibri" w:eastAsia="Calibri" w:hAnsi="Calibri"/>
                <w:b w:val="false"/>
                <w:bCs w:val="false"/>
                <w:color w:val="222222"/>
                <w:sz w:val="17"/>
                <w:szCs w:val="17"/>
              </w:rPr>
              <w:t xml:space="preserve">2024</w:t>
            </w:r>
          </w:p>
        </w:tc>
        <w:tc>
          <w:tcPr>
            <w:tcW w:type="dxa" w:w="1032"/>
            <w:tcBorders>
              <w:top w:val="single" w:color="C4CCD6" w:sz="4"/>
              <w:left w:val="single" w:color="C4CCD6" w:sz="4"/>
              <w:bottom w:val="single" w:color="C4CCD6" w:sz="4"/>
              <w:right w:val="single" w:color="C4CCD6" w:sz="4"/>
            </w:tcBorders>
            <w:shd w:fill="F1F4F8" w:color="auto" w:val="clear"/>
            <w:tcMar>
              <w:top w:type="dxa" w:w="60"/>
              <w:left w:type="dxa" w:w="90"/>
              <w:bottom w:type="dxa" w:w="60"/>
              <w:right w:type="dxa" w:w="90"/>
            </w:tcMar>
          </w:tcPr>
          <w:p>
            <w:r>
              <w:rPr>
                <w:rFonts w:ascii="Calibri" w:cs="Calibri" w:eastAsia="Calibri" w:hAnsi="Calibri"/>
                <w:b w:val="false"/>
                <w:bCs w:val="false"/>
                <w:color w:val="222222"/>
                <w:sz w:val="17"/>
                <w:szCs w:val="17"/>
              </w:rPr>
              <w:t xml:space="preserve">Fact</w:t>
            </w:r>
          </w:p>
        </w:tc>
      </w:tr>
      <w:tr>
        <w:trPr>
          <w:cantSplit/>
          <w:tblHeader w:val="false"/>
        </w:trPr>
        <w:tc>
          <w:tcPr>
            <w:tcW w:type="dxa" w:w="2204"/>
            <w:tcBorders>
              <w:top w:val="single" w:color="C4CCD6" w:sz="4"/>
              <w:left w:val="single" w:color="C4CCD6" w:sz="4"/>
              <w:bottom w:val="single" w:color="C4CCD6" w:sz="4"/>
              <w:right w:val="single" w:color="C4CCD6" w:sz="4"/>
            </w:tcBorders>
            <w:tcMar>
              <w:top w:type="dxa" w:w="60"/>
              <w:left w:type="dxa" w:w="90"/>
              <w:bottom w:type="dxa" w:w="60"/>
              <w:right w:type="dxa" w:w="90"/>
            </w:tcMar>
          </w:tcPr>
          <w:p>
            <w:r>
              <w:rPr>
                <w:rFonts w:ascii="Calibri" w:cs="Calibri" w:eastAsia="Calibri" w:hAnsi="Calibri"/>
                <w:b w:val="false"/>
                <w:bCs w:val="false"/>
                <w:color w:val="222222"/>
                <w:sz w:val="17"/>
                <w:szCs w:val="17"/>
              </w:rPr>
              <w:t xml:space="preserve">Mobile sites passing all three</w:t>
            </w:r>
          </w:p>
        </w:tc>
        <w:tc>
          <w:tcPr>
            <w:tcW w:type="dxa" w:w="2825"/>
            <w:tcBorders>
              <w:top w:val="single" w:color="C4CCD6" w:sz="4"/>
              <w:left w:val="single" w:color="C4CCD6" w:sz="4"/>
              <w:bottom w:val="single" w:color="C4CCD6" w:sz="4"/>
              <w:right w:val="single" w:color="C4CCD6" w:sz="4"/>
            </w:tcBorders>
            <w:tcMar>
              <w:top w:type="dxa" w:w="60"/>
              <w:left w:type="dxa" w:w="90"/>
              <w:bottom w:type="dxa" w:w="60"/>
              <w:right w:type="dxa" w:w="90"/>
            </w:tcMar>
          </w:tcPr>
          <w:p>
            <w:r>
              <w:rPr>
                <w:rFonts w:ascii="Calibri" w:cs="Calibri" w:eastAsia="Calibri" w:hAnsi="Calibri"/>
                <w:b w:val="false"/>
                <w:bCs w:val="false"/>
                <w:color w:val="222222"/>
                <w:sz w:val="17"/>
                <w:szCs w:val="17"/>
              </w:rPr>
              <w:t xml:space="preserve">48%</w:t>
            </w:r>
          </w:p>
        </w:tc>
        <w:tc>
          <w:tcPr>
            <w:tcW w:type="dxa" w:w="2596"/>
            <w:tcBorders>
              <w:top w:val="single" w:color="C4CCD6" w:sz="4"/>
              <w:left w:val="single" w:color="C4CCD6" w:sz="4"/>
              <w:bottom w:val="single" w:color="C4CCD6" w:sz="4"/>
              <w:right w:val="single" w:color="C4CCD6" w:sz="4"/>
            </w:tcBorders>
            <w:tcMar>
              <w:top w:type="dxa" w:w="60"/>
              <w:left w:type="dxa" w:w="90"/>
              <w:bottom w:type="dxa" w:w="60"/>
              <w:right w:type="dxa" w:w="90"/>
            </w:tcMar>
          </w:tcPr>
          <w:p>
            <w:r>
              <w:rPr>
                <w:rFonts w:ascii="Calibri" w:cs="Calibri" w:eastAsia="Calibri" w:hAnsi="Calibri"/>
                <w:b w:val="false"/>
                <w:bCs w:val="false"/>
                <w:color w:val="222222"/>
                <w:sz w:val="17"/>
                <w:szCs w:val="17"/>
              </w:rPr>
              <w:t xml:space="preserve">HTTP Archive, Web Almanac 2025</w:t>
            </w:r>
          </w:p>
        </w:tc>
        <w:tc>
          <w:tcPr>
            <w:tcW w:type="dxa" w:w="981"/>
            <w:tcBorders>
              <w:top w:val="single" w:color="C4CCD6" w:sz="4"/>
              <w:left w:val="single" w:color="C4CCD6" w:sz="4"/>
              <w:bottom w:val="single" w:color="C4CCD6" w:sz="4"/>
              <w:right w:val="single" w:color="C4CCD6" w:sz="4"/>
            </w:tcBorders>
            <w:tcMar>
              <w:top w:type="dxa" w:w="60"/>
              <w:left w:type="dxa" w:w="90"/>
              <w:bottom w:type="dxa" w:w="60"/>
              <w:right w:type="dxa" w:w="90"/>
            </w:tcMar>
          </w:tcPr>
          <w:p>
            <w:r>
              <w:rPr>
                <w:rFonts w:ascii="Calibri" w:cs="Calibri" w:eastAsia="Calibri" w:hAnsi="Calibri"/>
                <w:b w:val="false"/>
                <w:bCs w:val="false"/>
                <w:color w:val="222222"/>
                <w:sz w:val="17"/>
                <w:szCs w:val="17"/>
              </w:rPr>
              <w:t xml:space="preserve">CrUX July 2025</w:t>
            </w:r>
          </w:p>
        </w:tc>
        <w:tc>
          <w:tcPr>
            <w:tcW w:type="dxa" w:w="1032"/>
            <w:tcBorders>
              <w:top w:val="single" w:color="C4CCD6" w:sz="4"/>
              <w:left w:val="single" w:color="C4CCD6" w:sz="4"/>
              <w:bottom w:val="single" w:color="C4CCD6" w:sz="4"/>
              <w:right w:val="single" w:color="C4CCD6" w:sz="4"/>
            </w:tcBorders>
            <w:tcMar>
              <w:top w:type="dxa" w:w="60"/>
              <w:left w:type="dxa" w:w="90"/>
              <w:bottom w:type="dxa" w:w="60"/>
              <w:right w:type="dxa" w:w="90"/>
            </w:tcMar>
          </w:tcPr>
          <w:p>
            <w:r>
              <w:rPr>
                <w:rFonts w:ascii="Calibri" w:cs="Calibri" w:eastAsia="Calibri" w:hAnsi="Calibri"/>
                <w:b w:val="false"/>
                <w:bCs w:val="false"/>
                <w:color w:val="222222"/>
                <w:sz w:val="17"/>
                <w:szCs w:val="17"/>
              </w:rPr>
              <w:t xml:space="preserve">Fact</w:t>
            </w:r>
          </w:p>
        </w:tc>
      </w:tr>
      <w:tr>
        <w:trPr>
          <w:cantSplit/>
          <w:tblHeader w:val="false"/>
        </w:trPr>
        <w:tc>
          <w:tcPr>
            <w:tcW w:type="dxa" w:w="2204"/>
            <w:tcBorders>
              <w:top w:val="single" w:color="C4CCD6" w:sz="4"/>
              <w:left w:val="single" w:color="C4CCD6" w:sz="4"/>
              <w:bottom w:val="single" w:color="C4CCD6" w:sz="4"/>
              <w:right w:val="single" w:color="C4CCD6" w:sz="4"/>
            </w:tcBorders>
            <w:shd w:fill="F1F4F8" w:color="auto" w:val="clear"/>
            <w:tcMar>
              <w:top w:type="dxa" w:w="60"/>
              <w:left w:type="dxa" w:w="90"/>
              <w:bottom w:type="dxa" w:w="60"/>
              <w:right w:type="dxa" w:w="90"/>
            </w:tcMar>
          </w:tcPr>
          <w:p>
            <w:r>
              <w:rPr>
                <w:rFonts w:ascii="Calibri" w:cs="Calibri" w:eastAsia="Calibri" w:hAnsi="Calibri"/>
                <w:b w:val="false"/>
                <w:bCs w:val="false"/>
                <w:color w:val="222222"/>
                <w:sz w:val="17"/>
                <w:szCs w:val="17"/>
              </w:rPr>
              <w:t xml:space="preserve">Desktop sites passing all three</w:t>
            </w:r>
          </w:p>
        </w:tc>
        <w:tc>
          <w:tcPr>
            <w:tcW w:type="dxa" w:w="2825"/>
            <w:tcBorders>
              <w:top w:val="single" w:color="C4CCD6" w:sz="4"/>
              <w:left w:val="single" w:color="C4CCD6" w:sz="4"/>
              <w:bottom w:val="single" w:color="C4CCD6" w:sz="4"/>
              <w:right w:val="single" w:color="C4CCD6" w:sz="4"/>
            </w:tcBorders>
            <w:shd w:fill="F1F4F8" w:color="auto" w:val="clear"/>
            <w:tcMar>
              <w:top w:type="dxa" w:w="60"/>
              <w:left w:type="dxa" w:w="90"/>
              <w:bottom w:type="dxa" w:w="60"/>
              <w:right w:type="dxa" w:w="90"/>
            </w:tcMar>
          </w:tcPr>
          <w:p>
            <w:r>
              <w:rPr>
                <w:rFonts w:ascii="Calibri" w:cs="Calibri" w:eastAsia="Calibri" w:hAnsi="Calibri"/>
                <w:b w:val="false"/>
                <w:bCs w:val="false"/>
                <w:color w:val="222222"/>
                <w:sz w:val="17"/>
                <w:szCs w:val="17"/>
              </w:rPr>
              <w:t xml:space="preserve">56%</w:t>
            </w:r>
          </w:p>
        </w:tc>
        <w:tc>
          <w:tcPr>
            <w:tcW w:type="dxa" w:w="2596"/>
            <w:tcBorders>
              <w:top w:val="single" w:color="C4CCD6" w:sz="4"/>
              <w:left w:val="single" w:color="C4CCD6" w:sz="4"/>
              <w:bottom w:val="single" w:color="C4CCD6" w:sz="4"/>
              <w:right w:val="single" w:color="C4CCD6" w:sz="4"/>
            </w:tcBorders>
            <w:shd w:fill="F1F4F8" w:color="auto" w:val="clear"/>
            <w:tcMar>
              <w:top w:type="dxa" w:w="60"/>
              <w:left w:type="dxa" w:w="90"/>
              <w:bottom w:type="dxa" w:w="60"/>
              <w:right w:type="dxa" w:w="90"/>
            </w:tcMar>
          </w:tcPr>
          <w:p>
            <w:r>
              <w:rPr>
                <w:rFonts w:ascii="Calibri" w:cs="Calibri" w:eastAsia="Calibri" w:hAnsi="Calibri"/>
                <w:b w:val="false"/>
                <w:bCs w:val="false"/>
                <w:color w:val="222222"/>
                <w:sz w:val="17"/>
                <w:szCs w:val="17"/>
              </w:rPr>
              <w:t xml:space="preserve">HTTP Archive, Web Almanac 2025</w:t>
            </w:r>
          </w:p>
        </w:tc>
        <w:tc>
          <w:tcPr>
            <w:tcW w:type="dxa" w:w="981"/>
            <w:tcBorders>
              <w:top w:val="single" w:color="C4CCD6" w:sz="4"/>
              <w:left w:val="single" w:color="C4CCD6" w:sz="4"/>
              <w:bottom w:val="single" w:color="C4CCD6" w:sz="4"/>
              <w:right w:val="single" w:color="C4CCD6" w:sz="4"/>
            </w:tcBorders>
            <w:shd w:fill="F1F4F8" w:color="auto" w:val="clear"/>
            <w:tcMar>
              <w:top w:type="dxa" w:w="60"/>
              <w:left w:type="dxa" w:w="90"/>
              <w:bottom w:type="dxa" w:w="60"/>
              <w:right w:type="dxa" w:w="90"/>
            </w:tcMar>
          </w:tcPr>
          <w:p>
            <w:r>
              <w:rPr>
                <w:rFonts w:ascii="Calibri" w:cs="Calibri" w:eastAsia="Calibri" w:hAnsi="Calibri"/>
                <w:b w:val="false"/>
                <w:bCs w:val="false"/>
                <w:color w:val="222222"/>
                <w:sz w:val="17"/>
                <w:szCs w:val="17"/>
              </w:rPr>
              <w:t xml:space="preserve">CrUX July 2025</w:t>
            </w:r>
          </w:p>
        </w:tc>
        <w:tc>
          <w:tcPr>
            <w:tcW w:type="dxa" w:w="1032"/>
            <w:tcBorders>
              <w:top w:val="single" w:color="C4CCD6" w:sz="4"/>
              <w:left w:val="single" w:color="C4CCD6" w:sz="4"/>
              <w:bottom w:val="single" w:color="C4CCD6" w:sz="4"/>
              <w:right w:val="single" w:color="C4CCD6" w:sz="4"/>
            </w:tcBorders>
            <w:shd w:fill="F1F4F8" w:color="auto" w:val="clear"/>
            <w:tcMar>
              <w:top w:type="dxa" w:w="60"/>
              <w:left w:type="dxa" w:w="90"/>
              <w:bottom w:type="dxa" w:w="60"/>
              <w:right w:type="dxa" w:w="90"/>
            </w:tcMar>
          </w:tcPr>
          <w:p>
            <w:r>
              <w:rPr>
                <w:rFonts w:ascii="Calibri" w:cs="Calibri" w:eastAsia="Calibri" w:hAnsi="Calibri"/>
                <w:b w:val="false"/>
                <w:bCs w:val="false"/>
                <w:color w:val="222222"/>
                <w:sz w:val="17"/>
                <w:szCs w:val="17"/>
              </w:rPr>
              <w:t xml:space="preserve">Fact</w:t>
            </w:r>
          </w:p>
        </w:tc>
      </w:tr>
      <w:tr>
        <w:trPr>
          <w:cantSplit/>
          <w:tblHeader w:val="false"/>
        </w:trPr>
        <w:tc>
          <w:tcPr>
            <w:tcW w:type="dxa" w:w="2204"/>
            <w:tcBorders>
              <w:top w:val="single" w:color="C4CCD6" w:sz="4"/>
              <w:left w:val="single" w:color="C4CCD6" w:sz="4"/>
              <w:bottom w:val="single" w:color="C4CCD6" w:sz="4"/>
              <w:right w:val="single" w:color="C4CCD6" w:sz="4"/>
            </w:tcBorders>
            <w:tcMar>
              <w:top w:type="dxa" w:w="60"/>
              <w:left w:type="dxa" w:w="90"/>
              <w:bottom w:type="dxa" w:w="60"/>
              <w:right w:type="dxa" w:w="90"/>
            </w:tcMar>
          </w:tcPr>
          <w:p>
            <w:r>
              <w:rPr>
                <w:rFonts w:ascii="Calibri" w:cs="Calibri" w:eastAsia="Calibri" w:hAnsi="Calibri"/>
                <w:b w:val="false"/>
                <w:bCs w:val="false"/>
                <w:color w:val="222222"/>
                <w:sz w:val="17"/>
                <w:szCs w:val="17"/>
              </w:rPr>
              <w:t xml:space="preserve">Mobile sites with good LCP / INP / CLS</w:t>
            </w:r>
          </w:p>
        </w:tc>
        <w:tc>
          <w:tcPr>
            <w:tcW w:type="dxa" w:w="2825"/>
            <w:tcBorders>
              <w:top w:val="single" w:color="C4CCD6" w:sz="4"/>
              <w:left w:val="single" w:color="C4CCD6" w:sz="4"/>
              <w:bottom w:val="single" w:color="C4CCD6" w:sz="4"/>
              <w:right w:val="single" w:color="C4CCD6" w:sz="4"/>
            </w:tcBorders>
            <w:tcMar>
              <w:top w:type="dxa" w:w="60"/>
              <w:left w:type="dxa" w:w="90"/>
              <w:bottom w:type="dxa" w:w="60"/>
              <w:right w:type="dxa" w:w="90"/>
            </w:tcMar>
          </w:tcPr>
          <w:p>
            <w:r>
              <w:rPr>
                <w:rFonts w:ascii="Calibri" w:cs="Calibri" w:eastAsia="Calibri" w:hAnsi="Calibri"/>
                <w:b w:val="false"/>
                <w:bCs w:val="false"/>
                <w:color w:val="222222"/>
                <w:sz w:val="17"/>
                <w:szCs w:val="17"/>
              </w:rPr>
              <w:t xml:space="preserve">62% / 77% / 81%</w:t>
            </w:r>
          </w:p>
        </w:tc>
        <w:tc>
          <w:tcPr>
            <w:tcW w:type="dxa" w:w="2596"/>
            <w:tcBorders>
              <w:top w:val="single" w:color="C4CCD6" w:sz="4"/>
              <w:left w:val="single" w:color="C4CCD6" w:sz="4"/>
              <w:bottom w:val="single" w:color="C4CCD6" w:sz="4"/>
              <w:right w:val="single" w:color="C4CCD6" w:sz="4"/>
            </w:tcBorders>
            <w:tcMar>
              <w:top w:type="dxa" w:w="60"/>
              <w:left w:type="dxa" w:w="90"/>
              <w:bottom w:type="dxa" w:w="60"/>
              <w:right w:type="dxa" w:w="90"/>
            </w:tcMar>
          </w:tcPr>
          <w:p>
            <w:r>
              <w:rPr>
                <w:rFonts w:ascii="Calibri" w:cs="Calibri" w:eastAsia="Calibri" w:hAnsi="Calibri"/>
                <w:b w:val="false"/>
                <w:bCs w:val="false"/>
                <w:color w:val="222222"/>
                <w:sz w:val="17"/>
                <w:szCs w:val="17"/>
              </w:rPr>
              <w:t xml:space="preserve">HTTP Archive, Web Almanac 2025</w:t>
            </w:r>
          </w:p>
        </w:tc>
        <w:tc>
          <w:tcPr>
            <w:tcW w:type="dxa" w:w="981"/>
            <w:tcBorders>
              <w:top w:val="single" w:color="C4CCD6" w:sz="4"/>
              <w:left w:val="single" w:color="C4CCD6" w:sz="4"/>
              <w:bottom w:val="single" w:color="C4CCD6" w:sz="4"/>
              <w:right w:val="single" w:color="C4CCD6" w:sz="4"/>
            </w:tcBorders>
            <w:tcMar>
              <w:top w:type="dxa" w:w="60"/>
              <w:left w:type="dxa" w:w="90"/>
              <w:bottom w:type="dxa" w:w="60"/>
              <w:right w:type="dxa" w:w="90"/>
            </w:tcMar>
          </w:tcPr>
          <w:p>
            <w:r>
              <w:rPr>
                <w:rFonts w:ascii="Calibri" w:cs="Calibri" w:eastAsia="Calibri" w:hAnsi="Calibri"/>
                <w:b w:val="false"/>
                <w:bCs w:val="false"/>
                <w:color w:val="222222"/>
                <w:sz w:val="17"/>
                <w:szCs w:val="17"/>
              </w:rPr>
              <w:t xml:space="preserve">CrUX July 2025</w:t>
            </w:r>
          </w:p>
        </w:tc>
        <w:tc>
          <w:tcPr>
            <w:tcW w:type="dxa" w:w="1032"/>
            <w:tcBorders>
              <w:top w:val="single" w:color="C4CCD6" w:sz="4"/>
              <w:left w:val="single" w:color="C4CCD6" w:sz="4"/>
              <w:bottom w:val="single" w:color="C4CCD6" w:sz="4"/>
              <w:right w:val="single" w:color="C4CCD6" w:sz="4"/>
            </w:tcBorders>
            <w:tcMar>
              <w:top w:type="dxa" w:w="60"/>
              <w:left w:type="dxa" w:w="90"/>
              <w:bottom w:type="dxa" w:w="60"/>
              <w:right w:type="dxa" w:w="90"/>
            </w:tcMar>
          </w:tcPr>
          <w:p>
            <w:r>
              <w:rPr>
                <w:rFonts w:ascii="Calibri" w:cs="Calibri" w:eastAsia="Calibri" w:hAnsi="Calibri"/>
                <w:b w:val="false"/>
                <w:bCs w:val="false"/>
                <w:color w:val="222222"/>
                <w:sz w:val="17"/>
                <w:szCs w:val="17"/>
              </w:rPr>
              <w:t xml:space="preserve">Fact</w:t>
            </w:r>
          </w:p>
        </w:tc>
      </w:tr>
      <w:tr>
        <w:trPr>
          <w:cantSplit/>
          <w:tblHeader w:val="false"/>
        </w:trPr>
        <w:tc>
          <w:tcPr>
            <w:tcW w:type="dxa" w:w="2204"/>
            <w:tcBorders>
              <w:top w:val="single" w:color="C4CCD6" w:sz="4"/>
              <w:left w:val="single" w:color="C4CCD6" w:sz="4"/>
              <w:bottom w:val="single" w:color="C4CCD6" w:sz="4"/>
              <w:right w:val="single" w:color="C4CCD6" w:sz="4"/>
            </w:tcBorders>
            <w:shd w:fill="F1F4F8" w:color="auto" w:val="clear"/>
            <w:tcMar>
              <w:top w:type="dxa" w:w="60"/>
              <w:left w:type="dxa" w:w="90"/>
              <w:bottom w:type="dxa" w:w="60"/>
              <w:right w:type="dxa" w:w="90"/>
            </w:tcMar>
          </w:tcPr>
          <w:p>
            <w:r>
              <w:rPr>
                <w:rFonts w:ascii="Calibri" w:cs="Calibri" w:eastAsia="Calibri" w:hAnsi="Calibri"/>
                <w:b w:val="false"/>
                <w:bCs w:val="false"/>
                <w:color w:val="222222"/>
                <w:sz w:val="17"/>
                <w:szCs w:val="17"/>
              </w:rPr>
              <w:t xml:space="preserve">Mobile home pages vs secondary pages passing</w:t>
            </w:r>
          </w:p>
        </w:tc>
        <w:tc>
          <w:tcPr>
            <w:tcW w:type="dxa" w:w="2825"/>
            <w:tcBorders>
              <w:top w:val="single" w:color="C4CCD6" w:sz="4"/>
              <w:left w:val="single" w:color="C4CCD6" w:sz="4"/>
              <w:bottom w:val="single" w:color="C4CCD6" w:sz="4"/>
              <w:right w:val="single" w:color="C4CCD6" w:sz="4"/>
            </w:tcBorders>
            <w:shd w:fill="F1F4F8" w:color="auto" w:val="clear"/>
            <w:tcMar>
              <w:top w:type="dxa" w:w="60"/>
              <w:left w:type="dxa" w:w="90"/>
              <w:bottom w:type="dxa" w:w="60"/>
              <w:right w:type="dxa" w:w="90"/>
            </w:tcMar>
          </w:tcPr>
          <w:p>
            <w:r>
              <w:rPr>
                <w:rFonts w:ascii="Calibri" w:cs="Calibri" w:eastAsia="Calibri" w:hAnsi="Calibri"/>
                <w:b w:val="false"/>
                <w:bCs w:val="false"/>
                <w:color w:val="222222"/>
                <w:sz w:val="17"/>
                <w:szCs w:val="17"/>
              </w:rPr>
              <w:t xml:space="preserve">45% vs 56%</w:t>
            </w:r>
          </w:p>
        </w:tc>
        <w:tc>
          <w:tcPr>
            <w:tcW w:type="dxa" w:w="2596"/>
            <w:tcBorders>
              <w:top w:val="single" w:color="C4CCD6" w:sz="4"/>
              <w:left w:val="single" w:color="C4CCD6" w:sz="4"/>
              <w:bottom w:val="single" w:color="C4CCD6" w:sz="4"/>
              <w:right w:val="single" w:color="C4CCD6" w:sz="4"/>
            </w:tcBorders>
            <w:shd w:fill="F1F4F8" w:color="auto" w:val="clear"/>
            <w:tcMar>
              <w:top w:type="dxa" w:w="60"/>
              <w:left w:type="dxa" w:w="90"/>
              <w:bottom w:type="dxa" w:w="60"/>
              <w:right w:type="dxa" w:w="90"/>
            </w:tcMar>
          </w:tcPr>
          <w:p>
            <w:r>
              <w:rPr>
                <w:rFonts w:ascii="Calibri" w:cs="Calibri" w:eastAsia="Calibri" w:hAnsi="Calibri"/>
                <w:b w:val="false"/>
                <w:bCs w:val="false"/>
                <w:color w:val="222222"/>
                <w:sz w:val="17"/>
                <w:szCs w:val="17"/>
              </w:rPr>
              <w:t xml:space="preserve">HTTP Archive, Web Almanac 2025 (via secondary reports)</w:t>
            </w:r>
          </w:p>
        </w:tc>
        <w:tc>
          <w:tcPr>
            <w:tcW w:type="dxa" w:w="981"/>
            <w:tcBorders>
              <w:top w:val="single" w:color="C4CCD6" w:sz="4"/>
              <w:left w:val="single" w:color="C4CCD6" w:sz="4"/>
              <w:bottom w:val="single" w:color="C4CCD6" w:sz="4"/>
              <w:right w:val="single" w:color="C4CCD6" w:sz="4"/>
            </w:tcBorders>
            <w:shd w:fill="F1F4F8" w:color="auto" w:val="clear"/>
            <w:tcMar>
              <w:top w:type="dxa" w:w="60"/>
              <w:left w:type="dxa" w:w="90"/>
              <w:bottom w:type="dxa" w:w="60"/>
              <w:right w:type="dxa" w:w="90"/>
            </w:tcMar>
          </w:tcPr>
          <w:p>
            <w:r>
              <w:rPr>
                <w:rFonts w:ascii="Calibri" w:cs="Calibri" w:eastAsia="Calibri" w:hAnsi="Calibri"/>
                <w:b w:val="false"/>
                <w:bCs w:val="false"/>
                <w:color w:val="222222"/>
                <w:sz w:val="17"/>
                <w:szCs w:val="17"/>
              </w:rPr>
              <w:t xml:space="preserve">CrUX July 2025</w:t>
            </w:r>
          </w:p>
        </w:tc>
        <w:tc>
          <w:tcPr>
            <w:tcW w:type="dxa" w:w="1032"/>
            <w:tcBorders>
              <w:top w:val="single" w:color="C4CCD6" w:sz="4"/>
              <w:left w:val="single" w:color="C4CCD6" w:sz="4"/>
              <w:bottom w:val="single" w:color="C4CCD6" w:sz="4"/>
              <w:right w:val="single" w:color="C4CCD6" w:sz="4"/>
            </w:tcBorders>
            <w:shd w:fill="F1F4F8" w:color="auto" w:val="clear"/>
            <w:tcMar>
              <w:top w:type="dxa" w:w="60"/>
              <w:left w:type="dxa" w:w="90"/>
              <w:bottom w:type="dxa" w:w="60"/>
              <w:right w:type="dxa" w:w="90"/>
            </w:tcMar>
          </w:tcPr>
          <w:p>
            <w:r>
              <w:rPr>
                <w:rFonts w:ascii="Calibri" w:cs="Calibri" w:eastAsia="Calibri" w:hAnsi="Calibri"/>
                <w:b w:val="false"/>
                <w:bCs w:val="false"/>
                <w:color w:val="222222"/>
                <w:sz w:val="17"/>
                <w:szCs w:val="17"/>
              </w:rPr>
              <w:t xml:space="preserve">Fact</w:t>
            </w:r>
          </w:p>
        </w:tc>
      </w:tr>
      <w:tr>
        <w:trPr>
          <w:cantSplit/>
          <w:tblHeader w:val="false"/>
        </w:trPr>
        <w:tc>
          <w:tcPr>
            <w:tcW w:type="dxa" w:w="2204"/>
            <w:tcBorders>
              <w:top w:val="single" w:color="C4CCD6" w:sz="4"/>
              <w:left w:val="single" w:color="C4CCD6" w:sz="4"/>
              <w:bottom w:val="single" w:color="C4CCD6" w:sz="4"/>
              <w:right w:val="single" w:color="C4CCD6" w:sz="4"/>
            </w:tcBorders>
            <w:tcMar>
              <w:top w:type="dxa" w:w="60"/>
              <w:left w:type="dxa" w:w="90"/>
              <w:bottom w:type="dxa" w:w="60"/>
              <w:right w:type="dxa" w:w="90"/>
            </w:tcMar>
          </w:tcPr>
          <w:p>
            <w:r>
              <w:rPr>
                <w:rFonts w:ascii="Calibri" w:cs="Calibri" w:eastAsia="Calibri" w:hAnsi="Calibri"/>
                <w:b w:val="false"/>
                <w:bCs w:val="false"/>
                <w:color w:val="222222"/>
                <w:sz w:val="17"/>
                <w:szCs w:val="17"/>
              </w:rPr>
              <w:t xml:space="preserve">Vodafone Italy: LCP improvement</w:t>
            </w:r>
          </w:p>
        </w:tc>
        <w:tc>
          <w:tcPr>
            <w:tcW w:type="dxa" w:w="2825"/>
            <w:tcBorders>
              <w:top w:val="single" w:color="C4CCD6" w:sz="4"/>
              <w:left w:val="single" w:color="C4CCD6" w:sz="4"/>
              <w:bottom w:val="single" w:color="C4CCD6" w:sz="4"/>
              <w:right w:val="single" w:color="C4CCD6" w:sz="4"/>
            </w:tcBorders>
            <w:tcMar>
              <w:top w:type="dxa" w:w="60"/>
              <w:left w:type="dxa" w:w="90"/>
              <w:bottom w:type="dxa" w:w="60"/>
              <w:right w:type="dxa" w:w="90"/>
            </w:tcMar>
          </w:tcPr>
          <w:p>
            <w:r>
              <w:rPr>
                <w:rFonts w:ascii="Calibri" w:cs="Calibri" w:eastAsia="Calibri" w:hAnsi="Calibri"/>
                <w:b w:val="false"/>
                <w:bCs w:val="false"/>
                <w:color w:val="222222"/>
                <w:sz w:val="17"/>
                <w:szCs w:val="17"/>
              </w:rPr>
              <w:t xml:space="preserve">31% better LCP; 8% more sales; 15% better lead-to-visit rate; 11% better cart-to-visit rate</w:t>
            </w:r>
          </w:p>
        </w:tc>
        <w:tc>
          <w:tcPr>
            <w:tcW w:type="dxa" w:w="2596"/>
            <w:tcBorders>
              <w:top w:val="single" w:color="C4CCD6" w:sz="4"/>
              <w:left w:val="single" w:color="C4CCD6" w:sz="4"/>
              <w:bottom w:val="single" w:color="C4CCD6" w:sz="4"/>
              <w:right w:val="single" w:color="C4CCD6" w:sz="4"/>
            </w:tcBorders>
            <w:tcMar>
              <w:top w:type="dxa" w:w="60"/>
              <w:left w:type="dxa" w:w="90"/>
              <w:bottom w:type="dxa" w:w="60"/>
              <w:right w:type="dxa" w:w="90"/>
            </w:tcMar>
          </w:tcPr>
          <w:p>
            <w:r>
              <w:rPr>
                <w:rFonts w:ascii="Calibri" w:cs="Calibri" w:eastAsia="Calibri" w:hAnsi="Calibri"/>
                <w:b w:val="false"/>
                <w:bCs w:val="false"/>
                <w:color w:val="222222"/>
                <w:sz w:val="17"/>
                <w:szCs w:val="17"/>
              </w:rPr>
              <w:t xml:space="preserve">Google, web.dev case study</w:t>
            </w:r>
          </w:p>
        </w:tc>
        <w:tc>
          <w:tcPr>
            <w:tcW w:type="dxa" w:w="981"/>
            <w:tcBorders>
              <w:top w:val="single" w:color="C4CCD6" w:sz="4"/>
              <w:left w:val="single" w:color="C4CCD6" w:sz="4"/>
              <w:bottom w:val="single" w:color="C4CCD6" w:sz="4"/>
              <w:right w:val="single" w:color="C4CCD6" w:sz="4"/>
            </w:tcBorders>
            <w:tcMar>
              <w:top w:type="dxa" w:w="60"/>
              <w:left w:type="dxa" w:w="90"/>
              <w:bottom w:type="dxa" w:w="60"/>
              <w:right w:type="dxa" w:w="90"/>
            </w:tcMar>
          </w:tcPr>
          <w:p>
            <w:r>
              <w:rPr>
                <w:rFonts w:ascii="Calibri" w:cs="Calibri" w:eastAsia="Calibri" w:hAnsi="Calibri"/>
                <w:b w:val="false"/>
                <w:bCs w:val="false"/>
                <w:color w:val="222222"/>
                <w:sz w:val="17"/>
                <w:szCs w:val="17"/>
              </w:rPr>
              <w:t xml:space="preserve">2021</w:t>
            </w:r>
          </w:p>
        </w:tc>
        <w:tc>
          <w:tcPr>
            <w:tcW w:type="dxa" w:w="1032"/>
            <w:tcBorders>
              <w:top w:val="single" w:color="C4CCD6" w:sz="4"/>
              <w:left w:val="single" w:color="C4CCD6" w:sz="4"/>
              <w:bottom w:val="single" w:color="C4CCD6" w:sz="4"/>
              <w:right w:val="single" w:color="C4CCD6" w:sz="4"/>
            </w:tcBorders>
            <w:tcMar>
              <w:top w:type="dxa" w:w="60"/>
              <w:left w:type="dxa" w:w="90"/>
              <w:bottom w:type="dxa" w:w="60"/>
              <w:right w:type="dxa" w:w="90"/>
            </w:tcMar>
          </w:tcPr>
          <w:p>
            <w:r>
              <w:rPr>
                <w:rFonts w:ascii="Calibri" w:cs="Calibri" w:eastAsia="Calibri" w:hAnsi="Calibri"/>
                <w:b w:val="false"/>
                <w:bCs w:val="false"/>
                <w:color w:val="222222"/>
                <w:sz w:val="17"/>
                <w:szCs w:val="17"/>
              </w:rPr>
              <w:t xml:space="preserve">Case-study result</w:t>
            </w:r>
          </w:p>
        </w:tc>
      </w:tr>
      <w:tr>
        <w:trPr>
          <w:cantSplit/>
          <w:tblHeader w:val="false"/>
        </w:trPr>
        <w:tc>
          <w:tcPr>
            <w:tcW w:type="dxa" w:w="2204"/>
            <w:tcBorders>
              <w:top w:val="single" w:color="C4CCD6" w:sz="4"/>
              <w:left w:val="single" w:color="C4CCD6" w:sz="4"/>
              <w:bottom w:val="single" w:color="C4CCD6" w:sz="4"/>
              <w:right w:val="single" w:color="C4CCD6" w:sz="4"/>
            </w:tcBorders>
            <w:shd w:fill="F1F4F8" w:color="auto" w:val="clear"/>
            <w:tcMar>
              <w:top w:type="dxa" w:w="60"/>
              <w:left w:type="dxa" w:w="90"/>
              <w:bottom w:type="dxa" w:w="60"/>
              <w:right w:type="dxa" w:w="90"/>
            </w:tcMar>
          </w:tcPr>
          <w:p>
            <w:r>
              <w:rPr>
                <w:rFonts w:ascii="Calibri" w:cs="Calibri" w:eastAsia="Calibri" w:hAnsi="Calibri"/>
                <w:b w:val="false"/>
                <w:bCs w:val="false"/>
                <w:color w:val="222222"/>
                <w:sz w:val="17"/>
                <w:szCs w:val="17"/>
              </w:rPr>
              <w:t xml:space="preserve">Rakuten 24: Core Web Vitals work</w:t>
            </w:r>
          </w:p>
        </w:tc>
        <w:tc>
          <w:tcPr>
            <w:tcW w:type="dxa" w:w="2825"/>
            <w:tcBorders>
              <w:top w:val="single" w:color="C4CCD6" w:sz="4"/>
              <w:left w:val="single" w:color="C4CCD6" w:sz="4"/>
              <w:bottom w:val="single" w:color="C4CCD6" w:sz="4"/>
              <w:right w:val="single" w:color="C4CCD6" w:sz="4"/>
            </w:tcBorders>
            <w:shd w:fill="F1F4F8" w:color="auto" w:val="clear"/>
            <w:tcMar>
              <w:top w:type="dxa" w:w="60"/>
              <w:left w:type="dxa" w:w="90"/>
              <w:bottom w:type="dxa" w:w="60"/>
              <w:right w:type="dxa" w:w="90"/>
            </w:tcMar>
          </w:tcPr>
          <w:p>
            <w:r>
              <w:rPr>
                <w:rFonts w:ascii="Calibri" w:cs="Calibri" w:eastAsia="Calibri" w:hAnsi="Calibri"/>
                <w:b w:val="false"/>
                <w:bCs w:val="false"/>
                <w:color w:val="222222"/>
                <w:sz w:val="17"/>
                <w:szCs w:val="17"/>
              </w:rPr>
              <w:t xml:space="preserve">53.37% higher revenue per visitor; 33.13% higher conversion rate</w:t>
            </w:r>
          </w:p>
        </w:tc>
        <w:tc>
          <w:tcPr>
            <w:tcW w:type="dxa" w:w="2596"/>
            <w:tcBorders>
              <w:top w:val="single" w:color="C4CCD6" w:sz="4"/>
              <w:left w:val="single" w:color="C4CCD6" w:sz="4"/>
              <w:bottom w:val="single" w:color="C4CCD6" w:sz="4"/>
              <w:right w:val="single" w:color="C4CCD6" w:sz="4"/>
            </w:tcBorders>
            <w:shd w:fill="F1F4F8" w:color="auto" w:val="clear"/>
            <w:tcMar>
              <w:top w:type="dxa" w:w="60"/>
              <w:left w:type="dxa" w:w="90"/>
              <w:bottom w:type="dxa" w:w="60"/>
              <w:right w:type="dxa" w:w="90"/>
            </w:tcMar>
          </w:tcPr>
          <w:p>
            <w:r>
              <w:rPr>
                <w:rFonts w:ascii="Calibri" w:cs="Calibri" w:eastAsia="Calibri" w:hAnsi="Calibri"/>
                <w:b w:val="false"/>
                <w:bCs w:val="false"/>
                <w:color w:val="222222"/>
                <w:sz w:val="17"/>
                <w:szCs w:val="17"/>
              </w:rPr>
              <w:t xml:space="preserve">Google, web.dev case study (via secondary reports)</w:t>
            </w:r>
          </w:p>
        </w:tc>
        <w:tc>
          <w:tcPr>
            <w:tcW w:type="dxa" w:w="981"/>
            <w:tcBorders>
              <w:top w:val="single" w:color="C4CCD6" w:sz="4"/>
              <w:left w:val="single" w:color="C4CCD6" w:sz="4"/>
              <w:bottom w:val="single" w:color="C4CCD6" w:sz="4"/>
              <w:right w:val="single" w:color="C4CCD6" w:sz="4"/>
            </w:tcBorders>
            <w:shd w:fill="F1F4F8" w:color="auto" w:val="clear"/>
            <w:tcMar>
              <w:top w:type="dxa" w:w="60"/>
              <w:left w:type="dxa" w:w="90"/>
              <w:bottom w:type="dxa" w:w="60"/>
              <w:right w:type="dxa" w:w="90"/>
            </w:tcMar>
          </w:tcPr>
          <w:p>
            <w:r>
              <w:rPr>
                <w:rFonts w:ascii="Calibri" w:cs="Calibri" w:eastAsia="Calibri" w:hAnsi="Calibri"/>
                <w:b w:val="false"/>
                <w:bCs w:val="false"/>
                <w:color w:val="222222"/>
                <w:sz w:val="17"/>
                <w:szCs w:val="17"/>
              </w:rPr>
              <w:t xml:space="preserve">2023</w:t>
            </w:r>
          </w:p>
        </w:tc>
        <w:tc>
          <w:tcPr>
            <w:tcW w:type="dxa" w:w="1032"/>
            <w:tcBorders>
              <w:top w:val="single" w:color="C4CCD6" w:sz="4"/>
              <w:left w:val="single" w:color="C4CCD6" w:sz="4"/>
              <w:bottom w:val="single" w:color="C4CCD6" w:sz="4"/>
              <w:right w:val="single" w:color="C4CCD6" w:sz="4"/>
            </w:tcBorders>
            <w:shd w:fill="F1F4F8" w:color="auto" w:val="clear"/>
            <w:tcMar>
              <w:top w:type="dxa" w:w="60"/>
              <w:left w:type="dxa" w:w="90"/>
              <w:bottom w:type="dxa" w:w="60"/>
              <w:right w:type="dxa" w:w="90"/>
            </w:tcMar>
          </w:tcPr>
          <w:p>
            <w:r>
              <w:rPr>
                <w:rFonts w:ascii="Calibri" w:cs="Calibri" w:eastAsia="Calibri" w:hAnsi="Calibri"/>
                <w:b w:val="false"/>
                <w:bCs w:val="false"/>
                <w:color w:val="222222"/>
                <w:sz w:val="17"/>
                <w:szCs w:val="17"/>
              </w:rPr>
              <w:t xml:space="preserve">Case-study result</w:t>
            </w:r>
          </w:p>
        </w:tc>
      </w:tr>
    </w:tbl>
    <w:p>
      <w:pPr>
        <w:spacing w:after="120"/>
      </w:pPr>
    </w:p>
    <w:p>
      <w:pPr>
        <w:pStyle w:val="Heading2"/>
        <w:spacing w:after="100" w:before="220"/>
      </w:pPr>
      <w:r>
        <w:rPr>
          <w:rFonts w:ascii="Calibri" w:cs="Calibri" w:eastAsia="Calibri" w:hAnsi="Calibri"/>
          <w:b/>
          <w:bCs/>
          <w:color w:val="2C5282"/>
          <w:sz w:val="25"/>
          <w:szCs w:val="25"/>
        </w:rPr>
        <w:t xml:space="preserve">6.2 Reading the data</w:t>
      </w:r>
    </w:p>
    <w:p>
      <w:pPr>
        <w:spacing w:after="140" w:line="312"/>
      </w:pPr>
      <w:r>
        <w:rPr>
          <w:rFonts w:ascii="Calibri" w:cs="Calibri" w:eastAsia="Calibri" w:hAnsi="Calibri"/>
          <w:sz w:val="22"/>
          <w:szCs w:val="22"/>
        </w:rPr>
        <w:t xml:space="preserve">Four cautions apply. First, pass rates are a snapshot: the Web Almanac figures use CrUX data from July 2025, and rates change over time. Second, the pass rate counts websites, not visitors, so a popular site and a small site count equally. Third, the Vodafone and Rakuten 24 results come from the companies' own tests and describe those pages only. Fourth, a metric that passes does not prove the experience is good. It shows that the measured loads met Google's thresholds at the 75th percentile.</w:t>
      </w:r>
    </w:p>
    <w:p>
      <w:pPr>
        <w:spacing w:after="140" w:line="312"/>
      </w:pPr>
      <w:r>
        <w:rPr>
          <w:rFonts w:ascii="Calibri" w:cs="Calibri" w:eastAsia="Calibri" w:hAnsi="Calibri"/>
          <w:sz w:val="22"/>
          <w:szCs w:val="22"/>
        </w:rPr>
        <w:t xml:space="preserve">The mobile and desktop gap deserves attention. Reports summarising the Web Almanac also note that desktop sites pass the INP metric far more often than mobile sites, which suggests that devices with less processing power expose responsiveness problems that desktop testing can hide. This figure comes from secondary reporting and should be confirmed in the Almanac itself before being quoted.</w:t>
      </w:r>
    </w:p>
    <w:p>
      <w:pPr>
        <w:pStyle w:val="Heading1"/>
        <w:spacing w:after="120" w:before="320"/>
      </w:pPr>
      <w:r>
        <w:rPr>
          <w:rFonts w:ascii="Calibri" w:cs="Calibri" w:eastAsia="Calibri" w:hAnsi="Calibri"/>
          <w:b/>
          <w:bCs/>
          <w:color w:val="1F3A5F"/>
          <w:sz w:val="30"/>
          <w:szCs w:val="30"/>
        </w:rPr>
        <w:t xml:space="preserve">7. Conclusion</w:t>
      </w:r>
    </w:p>
    <w:p>
      <w:pPr>
        <w:spacing w:after="140" w:line="312"/>
      </w:pPr>
      <w:r>
        <w:rPr>
          <w:rFonts w:ascii="Calibri" w:cs="Calibri" w:eastAsia="Calibri" w:hAnsi="Calibri"/>
          <w:sz w:val="22"/>
          <w:szCs w:val="22"/>
        </w:rPr>
        <w:t xml:space="preserve">The evidence supports a measured conclusion. Core Web Vitals give businesses a shared, public and evidence-based way to talk about website performance. The Web Almanac 2025 shows that fewer than half of mobile websites meet all three thresholds, so many organisations have scope to improve. Google's documentation confirms that the metrics are used in its ranking systems, while stating clearly that good scores neither guarantee rankings nor outweigh relevant content. Controlled tests such as Vodafone's show that better loading performance can accompany higher sales, though the result applies to one company's pages.</w:t>
      </w:r>
    </w:p>
    <w:p>
      <w:pPr>
        <w:spacing w:after="140" w:line="312"/>
      </w:pPr>
      <w:r>
        <w:rPr>
          <w:rFonts w:ascii="Calibri" w:cs="Calibri" w:eastAsia="Calibri" w:hAnsi="Calibri"/>
          <w:sz w:val="22"/>
          <w:szCs w:val="22"/>
        </w:rPr>
        <w:t xml:space="preserve">The practical lesson is to treat performance as a business discipline rather than a one-time technical fix. That means measuring real visitors, focusing on the pages that matter commercially, governing third-party code, monitoring after every release and connecting the work to conversion and lead data. It also means recognising limits: speed will not repair a weak offer, and no score can promise a ranking.</w:t>
      </w:r>
    </w:p>
    <w:p>
      <w:pPr>
        <w:spacing w:after="140" w:line="312"/>
      </w:pPr>
      <w:r>
        <w:rPr>
          <w:rFonts w:ascii="Calibri" w:cs="Calibri" w:eastAsia="Calibri" w:hAnsi="Calibri"/>
          <w:sz w:val="22"/>
          <w:szCs w:val="22"/>
        </w:rPr>
        <w:t xml:space="preserve">For founders, CTOs and digital leaders, the central question is not whether to chase a perfect score. It is whether slow or unstable pages are costing the business customers it could otherwise win, and how to find out with the company's own data.</w:t>
      </w:r>
    </w:p>
    <w:p>
      <w:pPr>
        <w:pStyle w:val="Heading1"/>
        <w:spacing w:after="120" w:before="320"/>
      </w:pPr>
      <w:r>
        <w:rPr>
          <w:rFonts w:ascii="Calibri" w:cs="Calibri" w:eastAsia="Calibri" w:hAnsi="Calibri"/>
          <w:b/>
          <w:bCs/>
          <w:color w:val="1F3A5F"/>
          <w:sz w:val="30"/>
          <w:szCs w:val="30"/>
        </w:rPr>
        <w:t xml:space="preserve">8. Practical Recommendations</w:t>
      </w:r>
    </w:p>
    <w:p>
      <w:pPr>
        <w:spacing w:after="140" w:line="312"/>
      </w:pPr>
      <w:r>
        <w:rPr>
          <w:rFonts w:ascii="Calibri" w:cs="Calibri" w:eastAsia="Calibri" w:hAnsi="Calibri"/>
          <w:sz w:val="22"/>
          <w:szCs w:val="22"/>
        </w:rPr>
        <w:t xml:space="preserve">These are general considerations for business decision-makers. They are not a guarantee of results, and they should be adapted to each site's audience, technology and legal obligations.</w:t>
      </w:r>
    </w:p>
    <w:p>
      <w:pPr>
        <w:pStyle w:val="ListParagraph"/>
        <w:numPr>
          <w:ilvl w:val="0"/>
          <w:numId w:val="3"/>
        </w:numPr>
        <w:spacing w:after="80" w:line="300"/>
      </w:pPr>
      <w:r>
        <w:rPr>
          <w:rFonts w:ascii="Calibri" w:cs="Calibri" w:eastAsia="Calibri" w:hAnsi="Calibri"/>
          <w:b/>
          <w:bCs/>
          <w:sz w:val="22"/>
          <w:szCs w:val="22"/>
        </w:rPr>
        <w:t xml:space="preserve">Start with real-user data.</w:t>
      </w:r>
      <w:r>
        <w:rPr>
          <w:rFonts w:ascii="Calibri" w:cs="Calibri" w:eastAsia="Calibri" w:hAnsi="Calibri"/>
          <w:sz w:val="22"/>
          <w:szCs w:val="22"/>
        </w:rPr>
        <w:t xml:space="preserve"> Review the Core Web Vitals report in Google Search Console and CrUX-based tools, split by mobile and desktop and by page type.</w:t>
      </w:r>
    </w:p>
    <w:p>
      <w:pPr>
        <w:pStyle w:val="ListParagraph"/>
        <w:numPr>
          <w:ilvl w:val="0"/>
          <w:numId w:val="3"/>
        </w:numPr>
        <w:spacing w:after="80" w:line="300"/>
      </w:pPr>
      <w:r>
        <w:rPr>
          <w:rFonts w:ascii="Calibri" w:cs="Calibri" w:eastAsia="Calibri" w:hAnsi="Calibri"/>
          <w:b/>
          <w:bCs/>
          <w:sz w:val="22"/>
          <w:szCs w:val="22"/>
        </w:rPr>
        <w:t xml:space="preserve">Prioritise revenue pages.</w:t>
      </w:r>
      <w:r>
        <w:rPr>
          <w:rFonts w:ascii="Calibri" w:cs="Calibri" w:eastAsia="Calibri" w:hAnsi="Calibri"/>
          <w:sz w:val="22"/>
          <w:szCs w:val="22"/>
        </w:rPr>
        <w:t xml:space="preserve"> Identify the pages that generate leads or sales, such as landing pages, product pages and checkout steps, and measure them individually.</w:t>
      </w:r>
    </w:p>
    <w:p>
      <w:pPr>
        <w:pStyle w:val="ListParagraph"/>
        <w:numPr>
          <w:ilvl w:val="0"/>
          <w:numId w:val="3"/>
        </w:numPr>
        <w:spacing w:after="80" w:line="300"/>
      </w:pPr>
      <w:r>
        <w:rPr>
          <w:rFonts w:ascii="Calibri" w:cs="Calibri" w:eastAsia="Calibri" w:hAnsi="Calibri"/>
          <w:b/>
          <w:bCs/>
          <w:sz w:val="22"/>
          <w:szCs w:val="22"/>
        </w:rPr>
        <w:t xml:space="preserve">Find the weakest metric first.</w:t>
      </w:r>
      <w:r>
        <w:rPr>
          <w:rFonts w:ascii="Calibri" w:cs="Calibri" w:eastAsia="Calibri" w:hAnsi="Calibri"/>
          <w:sz w:val="22"/>
          <w:szCs w:val="22"/>
        </w:rPr>
        <w:t xml:space="preserve"> Industry data suggests LCP is the metric most sites struggle with, but check your own results before assuming the same applies.</w:t>
      </w:r>
    </w:p>
    <w:p>
      <w:pPr>
        <w:pStyle w:val="ListParagraph"/>
        <w:numPr>
          <w:ilvl w:val="0"/>
          <w:numId w:val="3"/>
        </w:numPr>
        <w:spacing w:after="80" w:line="300"/>
      </w:pPr>
      <w:r>
        <w:rPr>
          <w:rFonts w:ascii="Calibri" w:cs="Calibri" w:eastAsia="Calibri" w:hAnsi="Calibri"/>
          <w:b/>
          <w:bCs/>
          <w:sz w:val="22"/>
          <w:szCs w:val="22"/>
        </w:rPr>
        <w:t xml:space="preserve">Audit third-party scripts.</w:t>
      </w:r>
      <w:r>
        <w:rPr>
          <w:rFonts w:ascii="Calibri" w:cs="Calibri" w:eastAsia="Calibri" w:hAnsi="Calibri"/>
          <w:sz w:val="22"/>
          <w:szCs w:val="22"/>
        </w:rPr>
        <w:t xml:space="preserve"> List every external tag, its owner, its purpose and its performance cost. Keep legally required consent tools, and load them carefully.</w:t>
      </w:r>
    </w:p>
    <w:p>
      <w:pPr>
        <w:pStyle w:val="ListParagraph"/>
        <w:numPr>
          <w:ilvl w:val="0"/>
          <w:numId w:val="3"/>
        </w:numPr>
        <w:spacing w:after="80" w:line="300"/>
      </w:pPr>
      <w:r>
        <w:rPr>
          <w:rFonts w:ascii="Calibri" w:cs="Calibri" w:eastAsia="Calibri" w:hAnsi="Calibri"/>
          <w:b/>
          <w:bCs/>
          <w:sz w:val="22"/>
          <w:szCs w:val="22"/>
        </w:rPr>
        <w:t xml:space="preserve">Set a performance budget.</w:t>
      </w:r>
      <w:r>
        <w:rPr>
          <w:rFonts w:ascii="Calibri" w:cs="Calibri" w:eastAsia="Calibri" w:hAnsi="Calibri"/>
          <w:sz w:val="22"/>
          <w:szCs w:val="22"/>
        </w:rPr>
        <w:t xml:space="preserve"> Define limits for page weight and metric targets, and build checks into the release process so regressions are caught before launch.</w:t>
      </w:r>
    </w:p>
    <w:p>
      <w:pPr>
        <w:pStyle w:val="ListParagraph"/>
        <w:numPr>
          <w:ilvl w:val="0"/>
          <w:numId w:val="3"/>
        </w:numPr>
        <w:spacing w:after="80" w:line="300"/>
      </w:pPr>
      <w:r>
        <w:rPr>
          <w:rFonts w:ascii="Calibri" w:cs="Calibri" w:eastAsia="Calibri" w:hAnsi="Calibri"/>
          <w:b/>
          <w:bCs/>
          <w:sz w:val="22"/>
          <w:szCs w:val="22"/>
        </w:rPr>
        <w:t xml:space="preserve">Test mobile on realistic devices.</w:t>
      </w:r>
      <w:r>
        <w:rPr>
          <w:rFonts w:ascii="Calibri" w:cs="Calibri" w:eastAsia="Calibri" w:hAnsi="Calibri"/>
          <w:sz w:val="22"/>
          <w:szCs w:val="22"/>
        </w:rPr>
        <w:t xml:space="preserve"> Do not rely on a fast office laptop. Use mid-range phones and real-user data.</w:t>
      </w:r>
    </w:p>
    <w:p>
      <w:pPr>
        <w:pStyle w:val="ListParagraph"/>
        <w:numPr>
          <w:ilvl w:val="0"/>
          <w:numId w:val="3"/>
        </w:numPr>
        <w:spacing w:after="80" w:line="300"/>
      </w:pPr>
      <w:r>
        <w:rPr>
          <w:rFonts w:ascii="Calibri" w:cs="Calibri" w:eastAsia="Calibri" w:hAnsi="Calibri"/>
          <w:b/>
          <w:bCs/>
          <w:sz w:val="22"/>
          <w:szCs w:val="22"/>
        </w:rPr>
        <w:t xml:space="preserve">Measure business impact.</w:t>
      </w:r>
      <w:r>
        <w:rPr>
          <w:rFonts w:ascii="Calibri" w:cs="Calibri" w:eastAsia="Calibri" w:hAnsi="Calibri"/>
          <w:sz w:val="22"/>
          <w:szCs w:val="22"/>
        </w:rPr>
        <w:t xml:space="preserve"> Track conversion, lead and engagement metrics alongside the vitals, and use A/B tests where traffic allows.</w:t>
      </w:r>
    </w:p>
    <w:p>
      <w:pPr>
        <w:pStyle w:val="ListParagraph"/>
        <w:numPr>
          <w:ilvl w:val="0"/>
          <w:numId w:val="3"/>
        </w:numPr>
        <w:spacing w:after="80" w:line="300"/>
      </w:pPr>
      <w:r>
        <w:rPr>
          <w:rFonts w:ascii="Calibri" w:cs="Calibri" w:eastAsia="Calibri" w:hAnsi="Calibri"/>
          <w:b/>
          <w:bCs/>
          <w:sz w:val="22"/>
          <w:szCs w:val="22"/>
        </w:rPr>
        <w:t xml:space="preserve">Keep content strategy in view.</w:t>
      </w:r>
      <w:r>
        <w:rPr>
          <w:rFonts w:ascii="Calibri" w:cs="Calibri" w:eastAsia="Calibri" w:hAnsi="Calibri"/>
          <w:sz w:val="22"/>
          <w:szCs w:val="22"/>
        </w:rPr>
        <w:t xml:space="preserve"> Treat performance as support for relevant, helpful content, not a substitute for it.</w:t>
      </w:r>
    </w:p>
    <w:p>
      <w:pPr>
        <w:pStyle w:val="ListParagraph"/>
        <w:numPr>
          <w:ilvl w:val="0"/>
          <w:numId w:val="3"/>
        </w:numPr>
        <w:spacing w:after="80" w:line="300"/>
      </w:pPr>
      <w:r>
        <w:rPr>
          <w:rFonts w:ascii="Calibri" w:cs="Calibri" w:eastAsia="Calibri" w:hAnsi="Calibri"/>
          <w:b/>
          <w:bCs/>
          <w:sz w:val="22"/>
          <w:szCs w:val="22"/>
        </w:rPr>
        <w:t xml:space="preserve">Assign ownership.</w:t>
      </w:r>
      <w:r>
        <w:rPr>
          <w:rFonts w:ascii="Calibri" w:cs="Calibri" w:eastAsia="Calibri" w:hAnsi="Calibri"/>
          <w:sz w:val="22"/>
          <w:szCs w:val="22"/>
        </w:rPr>
        <w:t xml:space="preserve"> Name one accountable owner and review results regularly with engineering, design, marketing and compliance.</w:t>
      </w:r>
    </w:p>
    <w:p>
      <w:pPr>
        <w:pStyle w:val="ListParagraph"/>
        <w:numPr>
          <w:ilvl w:val="0"/>
          <w:numId w:val="3"/>
        </w:numPr>
        <w:spacing w:after="80" w:line="300"/>
      </w:pPr>
      <w:r>
        <w:rPr>
          <w:rFonts w:ascii="Calibri" w:cs="Calibri" w:eastAsia="Calibri" w:hAnsi="Calibri"/>
          <w:b/>
          <w:bCs/>
          <w:sz w:val="22"/>
          <w:szCs w:val="22"/>
        </w:rPr>
        <w:t xml:space="preserve">Re-check the sources.</w:t>
      </w:r>
      <w:r>
        <w:rPr>
          <w:rFonts w:ascii="Calibri" w:cs="Calibri" w:eastAsia="Calibri" w:hAnsi="Calibri"/>
          <w:sz w:val="22"/>
          <w:szCs w:val="22"/>
        </w:rPr>
        <w:t xml:space="preserve"> Standards and pass rates change, so confirm thresholds and statistics at source, with their dates, before quoting them.</w:t>
      </w:r>
    </w:p>
    <w:p>
      <w:pPr>
        <w:pStyle w:val="Heading1"/>
        <w:spacing w:after="120" w:before="320"/>
      </w:pPr>
      <w:r>
        <w:rPr>
          <w:rFonts w:ascii="Calibri" w:cs="Calibri" w:eastAsia="Calibri" w:hAnsi="Calibri"/>
          <w:b/>
          <w:bCs/>
          <w:color w:val="1F3A5F"/>
          <w:sz w:val="30"/>
          <w:szCs w:val="30"/>
        </w:rPr>
        <w:t xml:space="preserve">Important information</w:t>
      </w:r>
    </w:p>
    <w:p>
      <w:pPr>
        <w:spacing w:after="140" w:line="312"/>
      </w:pPr>
      <w:r>
        <w:rPr>
          <w:rFonts w:ascii="Calibri" w:cs="Calibri" w:eastAsia="Calibri" w:hAnsi="Calibri"/>
          <w:sz w:val="22"/>
          <w:szCs w:val="22"/>
        </w:rPr>
        <w:t xml:space="preserve">This paper is for general information. It is not legal, tax or investment advice and does not promise any business result or search ranking. Statistics and case-study results are attributed to their sources and may not apply to another website. Figures should be verified against the original publications.</w:t>
      </w:r>
    </w:p>
    <w:p>
      <w:pPr>
        <w:pStyle w:val="Heading1"/>
        <w:spacing w:after="120" w:before="320"/>
      </w:pPr>
      <w:r>
        <w:rPr>
          <w:rFonts w:ascii="Calibri" w:cs="Calibri" w:eastAsia="Calibri" w:hAnsi="Calibri"/>
          <w:b/>
          <w:bCs/>
          <w:color w:val="1F3A5F"/>
          <w:sz w:val="30"/>
          <w:szCs w:val="30"/>
        </w:rPr>
        <w:t xml:space="preserve">References</w:t>
      </w:r>
    </w:p>
    <w:p>
      <w:pPr>
        <w:pStyle w:val="ListParagraph"/>
        <w:numPr>
          <w:ilvl w:val="0"/>
          <w:numId w:val="4"/>
        </w:numPr>
        <w:spacing w:after="80" w:line="300"/>
      </w:pPr>
      <w:r>
        <w:rPr>
          <w:rFonts w:ascii="Calibri" w:cs="Calibri" w:eastAsia="Calibri" w:hAnsi="Calibri"/>
          <w:sz w:val="22"/>
          <w:szCs w:val="22"/>
        </w:rPr>
        <w:t xml:space="preserve">Google. Web Vitals and Core Web Vitals thresholds. web.dev. https://web.dev/articles/vitals</w:t>
      </w:r>
    </w:p>
    <w:p>
      <w:pPr>
        <w:pStyle w:val="ListParagraph"/>
        <w:numPr>
          <w:ilvl w:val="0"/>
          <w:numId w:val="4"/>
        </w:numPr>
        <w:spacing w:after="80" w:line="300"/>
      </w:pPr>
      <w:r>
        <w:rPr>
          <w:rFonts w:ascii="Calibri" w:cs="Calibri" w:eastAsia="Calibri" w:hAnsi="Calibri"/>
          <w:sz w:val="22"/>
          <w:szCs w:val="22"/>
        </w:rPr>
        <w:t xml:space="preserve">Google. Interaction to Next Paint becomes a Core Web Vital on March 12. web.dev, 31 January 2024. https://web.dev/articles/inp</w:t>
      </w:r>
    </w:p>
    <w:p>
      <w:pPr>
        <w:pStyle w:val="ListParagraph"/>
        <w:numPr>
          <w:ilvl w:val="0"/>
          <w:numId w:val="4"/>
        </w:numPr>
        <w:spacing w:after="80" w:line="300"/>
      </w:pPr>
      <w:r>
        <w:rPr>
          <w:rFonts w:ascii="Calibri" w:cs="Calibri" w:eastAsia="Calibri" w:hAnsi="Calibri"/>
          <w:sz w:val="22"/>
          <w:szCs w:val="22"/>
        </w:rPr>
        <w:t xml:space="preserve">HTTP Archive. Web Almanac 2025, Performance chapter (CrUX data, July 2025; published January 2026). https://almanac.httparchive.org/en/2025/performance</w:t>
      </w:r>
    </w:p>
    <w:p>
      <w:pPr>
        <w:pStyle w:val="ListParagraph"/>
        <w:numPr>
          <w:ilvl w:val="0"/>
          <w:numId w:val="4"/>
        </w:numPr>
        <w:spacing w:after="80" w:line="300"/>
      </w:pPr>
      <w:r>
        <w:rPr>
          <w:rFonts w:ascii="Calibri" w:cs="Calibri" w:eastAsia="Calibri" w:hAnsi="Calibri"/>
          <w:sz w:val="22"/>
          <w:szCs w:val="22"/>
        </w:rPr>
        <w:t xml:space="preserve">Google. Vodafone: A 31% improvement in LCP increased sales by 8%. web.dev, 2021. https://web.dev/case-studies/vodafone</w:t>
      </w:r>
    </w:p>
    <w:p>
      <w:pPr>
        <w:pStyle w:val="ListParagraph"/>
        <w:numPr>
          <w:ilvl w:val="0"/>
          <w:numId w:val="4"/>
        </w:numPr>
        <w:spacing w:after="80" w:line="300"/>
      </w:pPr>
      <w:r>
        <w:rPr>
          <w:rFonts w:ascii="Calibri" w:cs="Calibri" w:eastAsia="Calibri" w:hAnsi="Calibri"/>
          <w:sz w:val="22"/>
          <w:szCs w:val="22"/>
        </w:rPr>
        <w:t xml:space="preserve">Google. The business impact of Core Web Vitals. web.dev. https://web.dev/case-studies/vitals-business-impact</w:t>
      </w:r>
    </w:p>
    <w:p>
      <w:pPr>
        <w:pStyle w:val="ListParagraph"/>
        <w:numPr>
          <w:ilvl w:val="0"/>
          <w:numId w:val="4"/>
        </w:numPr>
        <w:spacing w:after="80" w:line="300"/>
      </w:pPr>
      <w:r>
        <w:rPr>
          <w:rFonts w:ascii="Calibri" w:cs="Calibri" w:eastAsia="Calibri" w:hAnsi="Calibri"/>
          <w:sz w:val="22"/>
          <w:szCs w:val="22"/>
        </w:rPr>
        <w:t xml:space="preserve">Google. Rakuten 24 Core Web Vitals case study. web.dev, 2023 (figures reported via secondary summaries, for example https://wearemachina.com/insights/business-case-for-website-speed). Confirm at web.dev before quoting.</w:t>
      </w:r>
    </w:p>
    <w:p>
      <w:pPr>
        <w:pStyle w:val="ListParagraph"/>
        <w:numPr>
          <w:ilvl w:val="0"/>
          <w:numId w:val="4"/>
        </w:numPr>
        <w:spacing w:after="80" w:line="300"/>
      </w:pPr>
      <w:r>
        <w:rPr>
          <w:rFonts w:ascii="Calibri" w:cs="Calibri" w:eastAsia="Calibri" w:hAnsi="Calibri"/>
          <w:sz w:val="22"/>
          <w:szCs w:val="22"/>
        </w:rPr>
        <w:t xml:space="preserve">Google Search Central. The role of page experience in creating helpful content, April 2023. https://developers.google.com/search/blog/2023/04/page-experience-in-search</w:t>
      </w:r>
    </w:p>
    <w:p>
      <w:pPr>
        <w:pStyle w:val="ListParagraph"/>
        <w:numPr>
          <w:ilvl w:val="0"/>
          <w:numId w:val="4"/>
        </w:numPr>
        <w:spacing w:after="80" w:line="300"/>
      </w:pPr>
      <w:r>
        <w:rPr>
          <w:rFonts w:ascii="Calibri" w:cs="Calibri" w:eastAsia="Calibri" w:hAnsi="Calibri"/>
          <w:sz w:val="22"/>
          <w:szCs w:val="22"/>
        </w:rPr>
        <w:t xml:space="preserve">Google Search Central. Evaluating page experience for a better web, May 2020. https://developers.google.com/search/blog/2020/05/evaluating-page-experience</w:t>
      </w:r>
    </w:p>
    <w:p>
      <w:pPr>
        <w:pStyle w:val="ListParagraph"/>
        <w:numPr>
          <w:ilvl w:val="0"/>
          <w:numId w:val="4"/>
        </w:numPr>
        <w:spacing w:after="80" w:line="300"/>
      </w:pPr>
      <w:r>
        <w:rPr>
          <w:rFonts w:ascii="Calibri" w:cs="Calibri" w:eastAsia="Calibri" w:hAnsi="Calibri"/>
          <w:sz w:val="22"/>
          <w:szCs w:val="22"/>
        </w:rPr>
        <w:t xml:space="preserve">Search Engine Land. Google updates its page experience docs to clarify ranking signals, March 2024 (trade press reporting on Google documentation). https://searchengineland.com/google-updates-its-page-experience-docs-to-clarify-ranking-signals-438346</w:t>
      </w:r>
    </w:p>
    <w:p>
      <w:pPr>
        <w:pStyle w:val="ListParagraph"/>
        <w:numPr>
          <w:ilvl w:val="0"/>
          <w:numId w:val="4"/>
        </w:numPr>
        <w:spacing w:after="80" w:line="300"/>
      </w:pPr>
      <w:r>
        <w:rPr>
          <w:rFonts w:ascii="Calibri" w:cs="Calibri" w:eastAsia="Calibri" w:hAnsi="Calibri"/>
          <w:sz w:val="22"/>
          <w:szCs w:val="22"/>
        </w:rPr>
        <w:t xml:space="preserve">Secondary summaries of Web Almanac 2025, used to corroborate figures: https://siteqwality.com/blog/website-speed-crisis-2025/ and https://yassersoliman.com/blog/core-web-vitals-explained-marketers/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77777"/>
        <w:sz w:val="16"/>
        <w:szCs w:val="16"/>
      </w:rPr>
      <w:t xml:space="preserve">Core Web Vitals as a Business Metric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Web Vitals as a Business Metric</dc:title>
  <dc:creator>DiginixIT</dc:creator>
  <cp:lastModifiedBy>Un-named</cp:lastModifiedBy>
  <cp:revision>1</cp:revision>
  <dcterms:created xsi:type="dcterms:W3CDTF">2026-10-20T05:05:19.012Z</dcterms:created>
  <dcterms:modified xsi:type="dcterms:W3CDTF">2026-10-20T05:05:19.018Z</dcterms:modified>
</cp:coreProperties>
</file>

<file path=docProps/custom.xml><?xml version="1.0" encoding="utf-8"?>
<Properties xmlns="http://schemas.openxmlformats.org/officeDocument/2006/custom-properties" xmlns:vt="http://schemas.openxmlformats.org/officeDocument/2006/docPropsVTypes"/>
</file>