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757A" w:rsidRPr="009B663C" w:rsidRDefault="0005757A" w:rsidP="001D2DE1">
      <w:pPr>
        <w:spacing w:line="480" w:lineRule="auto"/>
        <w:jc w:val="both"/>
        <w:rPr>
          <w:color w:val="000000" w:themeColor="text1"/>
          <w:sz w:val="24"/>
          <w:szCs w:val="24"/>
        </w:rPr>
      </w:pPr>
      <w:bookmarkStart w:id="0" w:name="_GoBack"/>
      <w:bookmarkEnd w:id="0"/>
    </w:p>
    <w:p w:rsidR="0005757A" w:rsidRPr="008E598F" w:rsidRDefault="0005757A" w:rsidP="00DB1016">
      <w:pPr>
        <w:spacing w:after="240" w:line="480" w:lineRule="auto"/>
        <w:ind w:left="-144"/>
        <w:jc w:val="both"/>
        <w:rPr>
          <w:b/>
          <w:color w:val="000000" w:themeColor="text1"/>
          <w:sz w:val="28"/>
          <w:szCs w:val="28"/>
        </w:rPr>
      </w:pPr>
      <w:r w:rsidRPr="008E598F">
        <w:rPr>
          <w:b/>
          <w:color w:val="000000" w:themeColor="text1"/>
          <w:sz w:val="28"/>
          <w:szCs w:val="28"/>
        </w:rPr>
        <w:t>Does Depot- medroxyprogesterone acetate (DMPA) affect Ovary and Uterine tube of White Albino rat? A histopathological study.</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t>Sharma. S</w:t>
      </w:r>
      <w:r w:rsidRPr="009B663C">
        <w:rPr>
          <w:color w:val="000000" w:themeColor="text1"/>
          <w:sz w:val="24"/>
          <w:szCs w:val="24"/>
          <w:vertAlign w:val="superscript"/>
        </w:rPr>
        <w:t>1</w:t>
      </w:r>
      <w:r w:rsidRPr="009B663C">
        <w:rPr>
          <w:color w:val="000000" w:themeColor="text1"/>
          <w:sz w:val="24"/>
          <w:szCs w:val="24"/>
        </w:rPr>
        <w:t xml:space="preserve">*, </w:t>
      </w:r>
      <w:r w:rsidR="005D5313" w:rsidRPr="009B663C">
        <w:rPr>
          <w:color w:val="000000" w:themeColor="text1"/>
          <w:sz w:val="24"/>
          <w:szCs w:val="24"/>
        </w:rPr>
        <w:t>Shakya. T</w:t>
      </w:r>
      <w:r w:rsidR="005D5313" w:rsidRPr="009B663C">
        <w:rPr>
          <w:color w:val="000000" w:themeColor="text1"/>
          <w:sz w:val="24"/>
          <w:szCs w:val="24"/>
          <w:vertAlign w:val="superscript"/>
        </w:rPr>
        <w:t>2</w:t>
      </w:r>
      <w:proofErr w:type="gramStart"/>
      <w:r w:rsidR="005D5313" w:rsidRPr="009B663C">
        <w:rPr>
          <w:color w:val="000000" w:themeColor="text1"/>
          <w:sz w:val="24"/>
          <w:szCs w:val="24"/>
          <w:vertAlign w:val="subscript"/>
        </w:rPr>
        <w:t>,</w:t>
      </w:r>
      <w:r w:rsidR="005D5313" w:rsidRPr="009B663C">
        <w:rPr>
          <w:color w:val="000000" w:themeColor="text1"/>
          <w:sz w:val="24"/>
          <w:szCs w:val="24"/>
          <w:vertAlign w:val="superscript"/>
        </w:rPr>
        <w:t xml:space="preserve"> </w:t>
      </w:r>
      <w:r w:rsidR="00770652">
        <w:rPr>
          <w:color w:val="000000" w:themeColor="text1"/>
          <w:sz w:val="24"/>
          <w:szCs w:val="24"/>
          <w:vertAlign w:val="superscript"/>
        </w:rPr>
        <w:t xml:space="preserve"> </w:t>
      </w:r>
      <w:r w:rsidRPr="009B663C">
        <w:rPr>
          <w:color w:val="000000" w:themeColor="text1"/>
          <w:sz w:val="24"/>
          <w:szCs w:val="24"/>
        </w:rPr>
        <w:t>Koirala</w:t>
      </w:r>
      <w:proofErr w:type="gramEnd"/>
      <w:r w:rsidRPr="009B663C">
        <w:rPr>
          <w:color w:val="000000" w:themeColor="text1"/>
          <w:sz w:val="24"/>
          <w:szCs w:val="24"/>
        </w:rPr>
        <w:t>. S</w:t>
      </w:r>
      <w:r w:rsidRPr="009B663C">
        <w:rPr>
          <w:color w:val="000000" w:themeColor="text1"/>
          <w:sz w:val="24"/>
          <w:szCs w:val="24"/>
          <w:vertAlign w:val="superscript"/>
        </w:rPr>
        <w:t>2</w:t>
      </w:r>
      <w:r w:rsidRPr="009B663C">
        <w:rPr>
          <w:color w:val="000000" w:themeColor="text1"/>
          <w:sz w:val="24"/>
          <w:szCs w:val="24"/>
        </w:rPr>
        <w:t>, Baral.P</w:t>
      </w:r>
      <w:r w:rsidRPr="009B663C">
        <w:rPr>
          <w:color w:val="000000" w:themeColor="text1"/>
          <w:sz w:val="24"/>
          <w:szCs w:val="24"/>
          <w:vertAlign w:val="superscript"/>
        </w:rPr>
        <w:t>2</w:t>
      </w:r>
      <w:r w:rsidRPr="009B663C">
        <w:rPr>
          <w:color w:val="000000" w:themeColor="text1"/>
          <w:sz w:val="24"/>
          <w:szCs w:val="24"/>
        </w:rPr>
        <w:t>, Bajrachrya. M</w:t>
      </w:r>
      <w:r w:rsidRPr="009B663C">
        <w:rPr>
          <w:color w:val="000000" w:themeColor="text1"/>
          <w:sz w:val="24"/>
          <w:szCs w:val="24"/>
          <w:vertAlign w:val="superscript"/>
        </w:rPr>
        <w:t>1</w:t>
      </w:r>
      <w:r w:rsidRPr="009B663C">
        <w:rPr>
          <w:color w:val="000000" w:themeColor="text1"/>
          <w:sz w:val="24"/>
          <w:szCs w:val="24"/>
        </w:rPr>
        <w:t xml:space="preserve">, </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t>*corresponding author</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vertAlign w:val="superscript"/>
        </w:rPr>
        <w:t>1</w:t>
      </w:r>
      <w:r w:rsidRPr="009B663C">
        <w:rPr>
          <w:color w:val="000000" w:themeColor="text1"/>
          <w:sz w:val="24"/>
          <w:szCs w:val="24"/>
        </w:rPr>
        <w:t xml:space="preserve">Department of human anatomy, people’s dental college and hospital, Kathmandu, Nepal </w:t>
      </w:r>
    </w:p>
    <w:p w:rsidR="005D5313" w:rsidRPr="009B663C" w:rsidRDefault="005D5313" w:rsidP="001D2DE1">
      <w:pPr>
        <w:spacing w:line="480" w:lineRule="auto"/>
        <w:jc w:val="both"/>
        <w:rPr>
          <w:color w:val="000000" w:themeColor="text1"/>
          <w:sz w:val="24"/>
          <w:szCs w:val="24"/>
        </w:rPr>
      </w:pPr>
      <w:r w:rsidRPr="009B663C">
        <w:rPr>
          <w:rFonts w:cs="Times New Roman"/>
          <w:color w:val="000000" w:themeColor="text1"/>
          <w:sz w:val="24"/>
          <w:szCs w:val="24"/>
          <w:vertAlign w:val="superscript"/>
        </w:rPr>
        <w:t>2</w:t>
      </w:r>
      <w:r w:rsidRPr="009B663C">
        <w:rPr>
          <w:rFonts w:cs="Times New Roman"/>
          <w:color w:val="000000" w:themeColor="text1"/>
          <w:sz w:val="24"/>
          <w:szCs w:val="24"/>
        </w:rPr>
        <w:t>Department of Human anatomy, patan Academy of health sciences, Lalitpur, Nepal</w:t>
      </w:r>
    </w:p>
    <w:p w:rsidR="0005757A" w:rsidRPr="00DB1016" w:rsidRDefault="005D5313" w:rsidP="001D2DE1">
      <w:pPr>
        <w:spacing w:line="480" w:lineRule="auto"/>
        <w:jc w:val="both"/>
        <w:rPr>
          <w:rFonts w:cs="Times New Roman"/>
          <w:color w:val="000000" w:themeColor="text1"/>
          <w:sz w:val="24"/>
          <w:szCs w:val="24"/>
        </w:rPr>
      </w:pPr>
      <w:r w:rsidRPr="009B663C">
        <w:rPr>
          <w:rFonts w:cs="Times New Roman"/>
          <w:color w:val="000000" w:themeColor="text1"/>
          <w:sz w:val="24"/>
          <w:szCs w:val="24"/>
          <w:vertAlign w:val="superscript"/>
        </w:rPr>
        <w:t>3</w:t>
      </w:r>
      <w:r w:rsidR="0005757A" w:rsidRPr="009B663C">
        <w:rPr>
          <w:rFonts w:cs="Times New Roman"/>
          <w:color w:val="000000" w:themeColor="text1"/>
          <w:sz w:val="24"/>
          <w:szCs w:val="24"/>
        </w:rPr>
        <w:t>Department of Human Anatomy, B.P. Koirala Institute of Health Sciences, Dharan, Nepal</w:t>
      </w:r>
    </w:p>
    <w:p w:rsidR="0005757A" w:rsidRPr="009B663C" w:rsidRDefault="0005757A" w:rsidP="001D2DE1">
      <w:pPr>
        <w:spacing w:line="480" w:lineRule="auto"/>
        <w:jc w:val="both"/>
        <w:rPr>
          <w:b/>
          <w:color w:val="000000" w:themeColor="text1"/>
          <w:sz w:val="28"/>
          <w:szCs w:val="28"/>
        </w:rPr>
      </w:pPr>
      <w:r w:rsidRPr="009B663C">
        <w:rPr>
          <w:b/>
          <w:color w:val="000000" w:themeColor="text1"/>
          <w:sz w:val="28"/>
          <w:szCs w:val="28"/>
        </w:rPr>
        <w:t>Abstract</w:t>
      </w:r>
    </w:p>
    <w:p w:rsidR="005D5313" w:rsidRPr="009B663C" w:rsidRDefault="0005757A" w:rsidP="001D2DE1">
      <w:pPr>
        <w:spacing w:line="480" w:lineRule="auto"/>
        <w:jc w:val="both"/>
        <w:rPr>
          <w:color w:val="000000" w:themeColor="text1"/>
          <w:sz w:val="24"/>
          <w:szCs w:val="24"/>
        </w:rPr>
      </w:pPr>
      <w:r w:rsidRPr="009B663C">
        <w:rPr>
          <w:color w:val="000000" w:themeColor="text1"/>
          <w:sz w:val="24"/>
          <w:szCs w:val="24"/>
        </w:rPr>
        <w:t>Even though, progesterone is a hormone naturally produced by ovary, but whether the external progesterone is as beneficial as the natural for female? What alteration occurs due to their prolonged use in different organs of female reproductive tract? We aimed to observe the histopathological changes brought by the long term use of Depot-medroxyprogest</w:t>
      </w:r>
      <w:r w:rsidR="00580554">
        <w:rPr>
          <w:color w:val="000000" w:themeColor="text1"/>
          <w:sz w:val="24"/>
          <w:szCs w:val="24"/>
        </w:rPr>
        <w:t>erone acetate (DMPA)</w:t>
      </w:r>
      <w:r w:rsidRPr="009B663C">
        <w:rPr>
          <w:color w:val="000000" w:themeColor="text1"/>
          <w:sz w:val="24"/>
          <w:szCs w:val="24"/>
        </w:rPr>
        <w:t>, which is the highly popular and promoted contraceptive in developing countries, in reproductive tract of female rat particularly in ovary and Uterine tube. There were significant change</w:t>
      </w:r>
      <w:r w:rsidR="002F4DA2">
        <w:rPr>
          <w:color w:val="000000" w:themeColor="text1"/>
          <w:sz w:val="24"/>
          <w:szCs w:val="24"/>
        </w:rPr>
        <w:t>s</w:t>
      </w:r>
      <w:r w:rsidRPr="009B663C">
        <w:rPr>
          <w:color w:val="000000" w:themeColor="text1"/>
          <w:sz w:val="24"/>
          <w:szCs w:val="24"/>
        </w:rPr>
        <w:t xml:space="preserve"> in the </w:t>
      </w:r>
      <w:r w:rsidR="00BC3547">
        <w:rPr>
          <w:color w:val="000000" w:themeColor="text1"/>
          <w:sz w:val="24"/>
          <w:szCs w:val="24"/>
        </w:rPr>
        <w:t>histo-</w:t>
      </w:r>
      <w:r w:rsidRPr="009B663C">
        <w:rPr>
          <w:color w:val="000000" w:themeColor="text1"/>
          <w:sz w:val="24"/>
          <w:szCs w:val="24"/>
        </w:rPr>
        <w:t xml:space="preserve">morphology of ovary and uterine tube of experimental group rat compared to the control group. </w:t>
      </w:r>
      <w:r w:rsidR="009F46F0" w:rsidRPr="001E4828">
        <w:rPr>
          <w:color w:val="000000" w:themeColor="text1"/>
          <w:sz w:val="24"/>
          <w:szCs w:val="24"/>
        </w:rPr>
        <w:t>Histological changes</w:t>
      </w:r>
      <w:r w:rsidR="009F46F0" w:rsidRPr="009B663C">
        <w:rPr>
          <w:rFonts w:asciiTheme="majorHAnsi" w:hAnsiTheme="majorHAnsi"/>
          <w:color w:val="000000" w:themeColor="text1"/>
          <w:sz w:val="24"/>
          <w:szCs w:val="24"/>
        </w:rPr>
        <w:t xml:space="preserve"> </w:t>
      </w:r>
      <w:r w:rsidR="009F46F0" w:rsidRPr="001E4828">
        <w:rPr>
          <w:color w:val="000000" w:themeColor="text1"/>
          <w:sz w:val="24"/>
          <w:szCs w:val="24"/>
        </w:rPr>
        <w:t>such as</w:t>
      </w:r>
      <w:r w:rsidR="009F46F0" w:rsidRPr="009B663C">
        <w:rPr>
          <w:rFonts w:asciiTheme="majorHAnsi" w:hAnsiTheme="majorHAnsi"/>
          <w:b/>
          <w:color w:val="000000" w:themeColor="text1"/>
          <w:sz w:val="24"/>
          <w:szCs w:val="24"/>
        </w:rPr>
        <w:t xml:space="preserve"> </w:t>
      </w:r>
      <w:r w:rsidRPr="009B663C">
        <w:rPr>
          <w:color w:val="000000" w:themeColor="text1"/>
          <w:sz w:val="24"/>
          <w:szCs w:val="24"/>
        </w:rPr>
        <w:t xml:space="preserve">follicular atresia, medullary hemorrhage and atrophy of uterine tube </w:t>
      </w:r>
      <w:r w:rsidRPr="009B663C">
        <w:rPr>
          <w:color w:val="000000" w:themeColor="text1"/>
          <w:sz w:val="24"/>
          <w:szCs w:val="24"/>
        </w:rPr>
        <w:lastRenderedPageBreak/>
        <w:t>epithelium w</w:t>
      </w:r>
      <w:r w:rsidR="005909AA" w:rsidRPr="009B663C">
        <w:rPr>
          <w:color w:val="000000" w:themeColor="text1"/>
          <w:sz w:val="24"/>
          <w:szCs w:val="24"/>
        </w:rPr>
        <w:t>as</w:t>
      </w:r>
      <w:r w:rsidRPr="009B663C">
        <w:rPr>
          <w:color w:val="000000" w:themeColor="text1"/>
          <w:sz w:val="24"/>
          <w:szCs w:val="24"/>
        </w:rPr>
        <w:t xml:space="preserve"> seen in experimental group rat. In conclusion, long- term use of exogenous progesterone,</w:t>
      </w:r>
      <w:r w:rsidR="006F4076" w:rsidRPr="009B663C">
        <w:rPr>
          <w:color w:val="000000" w:themeColor="text1"/>
          <w:sz w:val="24"/>
          <w:szCs w:val="24"/>
        </w:rPr>
        <w:t xml:space="preserve"> </w:t>
      </w:r>
      <w:r w:rsidRPr="009B663C">
        <w:rPr>
          <w:color w:val="000000" w:themeColor="text1"/>
          <w:sz w:val="24"/>
          <w:szCs w:val="24"/>
        </w:rPr>
        <w:t>such as DMPA for contraception has adverse impact in Fe</w:t>
      </w:r>
      <w:r w:rsidR="00B21EBE" w:rsidRPr="009B663C">
        <w:rPr>
          <w:color w:val="000000" w:themeColor="text1"/>
          <w:sz w:val="24"/>
          <w:szCs w:val="24"/>
        </w:rPr>
        <w:t xml:space="preserve">male which outweigh the merits. </w:t>
      </w:r>
      <w:r w:rsidRPr="009B663C">
        <w:rPr>
          <w:color w:val="000000" w:themeColor="text1"/>
          <w:sz w:val="24"/>
          <w:szCs w:val="24"/>
        </w:rPr>
        <w:t>Instead of promoting these hormonal product, which in long period attenuate the health of female, other non-hormonal methods of contraception should be publicized along with their efficacy.</w:t>
      </w:r>
    </w:p>
    <w:p w:rsidR="005D5313" w:rsidRPr="009B663C" w:rsidRDefault="005D5313" w:rsidP="001D2DE1">
      <w:pPr>
        <w:spacing w:line="480" w:lineRule="auto"/>
        <w:jc w:val="both"/>
        <w:rPr>
          <w:color w:val="000000" w:themeColor="text1"/>
          <w:sz w:val="24"/>
          <w:szCs w:val="24"/>
        </w:rPr>
      </w:pPr>
      <w:r w:rsidRPr="0050313C">
        <w:rPr>
          <w:b/>
          <w:color w:val="000000" w:themeColor="text1"/>
          <w:sz w:val="28"/>
          <w:szCs w:val="28"/>
        </w:rPr>
        <w:t>Key words</w:t>
      </w:r>
      <w:r w:rsidRPr="009B663C">
        <w:rPr>
          <w:color w:val="000000" w:themeColor="text1"/>
          <w:sz w:val="24"/>
          <w:szCs w:val="24"/>
        </w:rPr>
        <w:t xml:space="preserve">: </w:t>
      </w:r>
      <w:r w:rsidR="00FE1030" w:rsidRPr="009B663C">
        <w:rPr>
          <w:color w:val="000000" w:themeColor="text1"/>
          <w:sz w:val="24"/>
          <w:szCs w:val="24"/>
        </w:rPr>
        <w:t>atresia, atrophy, hemorrhage, DMPA</w:t>
      </w:r>
      <w:r w:rsidR="00FE1030">
        <w:rPr>
          <w:color w:val="000000" w:themeColor="text1"/>
          <w:sz w:val="24"/>
          <w:szCs w:val="24"/>
        </w:rPr>
        <w:t>, follicular</w:t>
      </w:r>
      <w:r w:rsidRPr="009B663C">
        <w:rPr>
          <w:color w:val="000000" w:themeColor="text1"/>
          <w:sz w:val="24"/>
          <w:szCs w:val="24"/>
        </w:rPr>
        <w:t xml:space="preserve">. </w:t>
      </w:r>
      <w:r w:rsidR="0005757A" w:rsidRPr="009B663C">
        <w:rPr>
          <w:color w:val="000000" w:themeColor="text1"/>
          <w:sz w:val="24"/>
          <w:szCs w:val="24"/>
        </w:rPr>
        <w:t xml:space="preserve">  </w:t>
      </w:r>
    </w:p>
    <w:p w:rsidR="0005757A" w:rsidRPr="009B663C" w:rsidRDefault="0005757A" w:rsidP="001D2DE1">
      <w:pPr>
        <w:spacing w:line="480" w:lineRule="auto"/>
        <w:jc w:val="both"/>
        <w:rPr>
          <w:b/>
          <w:color w:val="000000" w:themeColor="text1"/>
          <w:sz w:val="28"/>
          <w:szCs w:val="28"/>
        </w:rPr>
      </w:pPr>
      <w:r w:rsidRPr="009B663C">
        <w:rPr>
          <w:b/>
          <w:color w:val="000000" w:themeColor="text1"/>
          <w:sz w:val="28"/>
          <w:szCs w:val="28"/>
        </w:rPr>
        <w:t>Introduction:</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t>Unintended pregnancies in low-and middle-income countries remain a serious obstetric problem and awareness and promotion of all types of family planning methods are inevitable in those areas.</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"author" : [ { "dropping-particle" : "", "family" : "Bakry", "given" : "Sayed", "non-dropping-particle" : "", "parse-names" : false, "suffix" : "" }, { "dropping-particle" : "", "family" : "Ahmed", "given" : "Hesham A", "non-dropping-particle" : "", "parse-names" : false, "suffix" : "" }, { "dropping-particle" : "", "family" : "Al-otaibi", "given" : "Mohammed Lafi", "non-dropping-particle" : "", "parse-names" : false, "suffix" : "" } ], "id" : "ITEM-1", "issue" : "1", "issued" : { "date-parts" : [ [ "2010" ] ] }, "page" : "1-12", "title" : "Prenatal Exposure to Medroxyprogesterone Acetate", "type" : "article-journal", "volume" : "2" }, "uris" : [ "http://www.mendeley.com/documents/?uuid=c116c649-d03f-4daf-b1e6-0f33cef9f0e5" ] } ], "mendeley" : { "formattedCitation" : "(1)", "plainTextFormattedCitation" : "(1)", "previouslyFormattedCitation" : "(1)"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(1)</w:t>
      </w:r>
      <w:r w:rsidRPr="009B663C">
        <w:rPr>
          <w:color w:val="000000" w:themeColor="text1"/>
          <w:sz w:val="24"/>
          <w:szCs w:val="24"/>
          <w:vertAlign w:val="superscript"/>
        </w:rPr>
        <w:fldChar w:fldCharType="end"/>
      </w:r>
      <w:r w:rsidRPr="009B663C">
        <w:rPr>
          <w:color w:val="000000" w:themeColor="text1"/>
          <w:sz w:val="24"/>
          <w:szCs w:val="24"/>
        </w:rPr>
        <w:t xml:space="preserve"> Family planning has been an important subject for population planners, couples and individuals because it aims for better health and because of its sociocultural benefits.</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"container-title" : "Who offset publication", "id" : "ITEM-1", "issue" : "6", "issued" : { "date-parts" : [ [ "1993" ] ] }, "page" : "677-689", "title" : "World Health Organization : Facts about once-a-moth injectable contraceptive: memorandum from WHO meeting In: Bulletin of World Health Organization.", "type" : "article-journal", "volume" : "71" }, "uris" : [ "http://www.mendeley.com/documents/?uuid=8357fefc-c5f4-4054-bb19-d401d3e1a0f1" ] } ], "mendeley" : { "formattedCitation" : "(2)", "plainTextFormattedCitation" : "(2)", "previouslyFormattedCitation" : "(2)"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(2)</w:t>
      </w:r>
      <w:r w:rsidRPr="009B663C">
        <w:rPr>
          <w:color w:val="000000" w:themeColor="text1"/>
          <w:sz w:val="24"/>
          <w:szCs w:val="24"/>
          <w:vertAlign w:val="superscript"/>
        </w:rPr>
        <w:fldChar w:fldCharType="end"/>
      </w:r>
      <w:r w:rsidRPr="009B663C">
        <w:rPr>
          <w:rFonts w:cs="AdvMINION-R"/>
          <w:color w:val="000000" w:themeColor="text1"/>
          <w:sz w:val="24"/>
          <w:szCs w:val="24"/>
        </w:rPr>
        <w:t>Depot medroxyprogesterone acetate (DMPA) is one of the most effective reversible contraceptives yet its use is not without side effects which was developed in 1954 as a treatment for endometriosis, and to prevent habitual or threatened abortions.</w:t>
      </w:r>
      <w:r w:rsidRPr="009B663C">
        <w:rPr>
          <w:rFonts w:cs="AdvMINION-R"/>
          <w:color w:val="000000" w:themeColor="text1"/>
          <w:sz w:val="24"/>
          <w:szCs w:val="24"/>
          <w:vertAlign w:val="superscript"/>
        </w:rPr>
        <w:fldChar w:fldCharType="begin" w:fldLock="1"/>
      </w:r>
      <w:r w:rsidRPr="009B663C">
        <w:rPr>
          <w:rFonts w:cs="AdvMINION-R"/>
          <w:color w:val="000000" w:themeColor="text1"/>
          <w:sz w:val="24"/>
          <w:szCs w:val="24"/>
          <w:vertAlign w:val="superscript"/>
        </w:rPr>
        <w:instrText>ADDIN CSL_CITATION { "citationItems" : [ { "id" : "ITEM-1", "itemData" : { "id" : "ITEM-1", "issued" : { "date-parts" : [ [ "0" ] ] }, "title" : "Speroff L, Darney PD. Injectable contraception. A Clinical Guide for Contraception. 4th ed. Philadelphia, PA: Lippincott Williams &amp; Wilkins; 2005:201\u2013220", "type" : "chapter" }, "uris" : [ "http://www.mendeley.com/documents/?uuid=3a75fcc6-a8cb-4d8a-97ec-5ccce6800c3c" ] } ], "mendeley" : { "formattedCitation" : "(3)", "plainTextFormattedCitation" : "(3)", "previouslyFormattedCitation" : "(3)" }, "properties" : { "noteIndex" : 0 }, "schema" : "https://github.com/citation-style-language/schema/raw/master/csl-citation.json" }</w:instrText>
      </w:r>
      <w:r w:rsidRPr="009B663C">
        <w:rPr>
          <w:rFonts w:cs="AdvMINION-R"/>
          <w:color w:val="000000" w:themeColor="text1"/>
          <w:sz w:val="24"/>
          <w:szCs w:val="24"/>
          <w:vertAlign w:val="superscript"/>
        </w:rPr>
        <w:fldChar w:fldCharType="separate"/>
      </w:r>
      <w:r w:rsidRPr="009B663C">
        <w:rPr>
          <w:rFonts w:cs="AdvMINION-R"/>
          <w:noProof/>
          <w:color w:val="000000" w:themeColor="text1"/>
          <w:sz w:val="24"/>
          <w:szCs w:val="24"/>
          <w:vertAlign w:val="superscript"/>
        </w:rPr>
        <w:t>(3)</w:t>
      </w:r>
      <w:r w:rsidRPr="009B663C">
        <w:rPr>
          <w:rFonts w:cs="AdvMINION-R"/>
          <w:color w:val="000000" w:themeColor="text1"/>
          <w:sz w:val="24"/>
          <w:szCs w:val="24"/>
          <w:vertAlign w:val="superscript"/>
        </w:rPr>
        <w:fldChar w:fldCharType="end"/>
      </w:r>
      <w:r w:rsidRPr="009B663C">
        <w:rPr>
          <w:color w:val="000000" w:themeColor="text1"/>
          <w:sz w:val="24"/>
          <w:szCs w:val="24"/>
        </w:rPr>
        <w:t xml:space="preserve"> In cases where women are at an increased risk of estrogen complications progestin-only hormonal contraception is often prescribed as the method of choice.</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"id" : "ITEM-1", "issued" : { "date-parts" : [ [ "0" ] ] }, "title" : "Hatcher R. Depo-Provera injections, implants, and progestin-only pills (minipills). In Hatcher RA, Trussell JS, Felicia H, et al. Contraceptive Technology. 18th rev. ed. New York, NY: Ardent Media; 2004:461\u2013494.", "type" : "chapter" }, "uris" : [ "http://www.mendeley.com/documents/?uuid=0d54e6ef-c779-47ca-9815-3614660152ef" ] } ], "mendeley" : { "formattedCitation" : "(4)", "manualFormatting" : "(4)", "plainTextFormattedCitation" : "(4)", "previouslyFormattedCitation" : "(4)"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(4)</w:t>
      </w:r>
      <w:r w:rsidRPr="009B663C">
        <w:rPr>
          <w:color w:val="000000" w:themeColor="text1"/>
          <w:sz w:val="24"/>
          <w:szCs w:val="24"/>
          <w:vertAlign w:val="superscript"/>
        </w:rPr>
        <w:fldChar w:fldCharType="end"/>
      </w:r>
      <w:r w:rsidRPr="009B663C">
        <w:rPr>
          <w:color w:val="000000" w:themeColor="text1"/>
          <w:sz w:val="24"/>
          <w:szCs w:val="24"/>
        </w:rPr>
        <w:t xml:space="preserve"> The benefit of DMPA relates to the fact that; it is 99% effective at preventing pregnancy when used properly, requires only one injection every 3 months; and offers extended protection due to the crystallized progestin that slowly dissolves into the bloodstream.</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"author" : [ { "dropping-particle" : "", "family" : "Spevack", "given" : "Edra", "non-dropping-particle" : "", "parse-names" : false, "suffix" : "" } ], "id" : "ITEM-1", "issue" : "1", "issued" : { "date-parts" : [ [ "2013" ] ] }, "page" : "27-34", "title" : "The Long-term Health Implications of Depo-Provera", "type" : "article-journal", "volume" : "12" }, "uris" : [ "http://www.mendeley.com/documents/?uuid=bb04530d-cc64-400d-a372-121b954e3a24" ] } ], "mendeley" : { "formattedCitation" : "(5)", "plainTextFormattedCitation" : "(5)", "previouslyFormattedCitation" : "(5)"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(5)</w:t>
      </w:r>
      <w:r w:rsidRPr="009B663C">
        <w:rPr>
          <w:color w:val="000000" w:themeColor="text1"/>
          <w:sz w:val="24"/>
          <w:szCs w:val="24"/>
          <w:vertAlign w:val="superscript"/>
        </w:rPr>
        <w:fldChar w:fldCharType="end"/>
      </w:r>
    </w:p>
    <w:p w:rsidR="0005757A" w:rsidRPr="009B663C" w:rsidRDefault="0005757A" w:rsidP="001D2DE1">
      <w:pPr>
        <w:autoSpaceDE w:val="0"/>
        <w:autoSpaceDN w:val="0"/>
        <w:adjustRightInd w:val="0"/>
        <w:spacing w:after="0" w:line="480" w:lineRule="auto"/>
        <w:jc w:val="both"/>
        <w:rPr>
          <w:color w:val="000000" w:themeColor="text1"/>
          <w:sz w:val="24"/>
          <w:szCs w:val="24"/>
        </w:rPr>
      </w:pPr>
      <w:r w:rsidRPr="009B663C">
        <w:rPr>
          <w:rFonts w:cs="AdvMINION-R"/>
          <w:color w:val="000000" w:themeColor="text1"/>
          <w:sz w:val="24"/>
          <w:szCs w:val="24"/>
        </w:rPr>
        <w:lastRenderedPageBreak/>
        <w:t>Due to these merits it has been</w:t>
      </w:r>
      <w:r w:rsidR="00296434" w:rsidRPr="009B663C">
        <w:rPr>
          <w:rFonts w:cs="AdvMINION-R"/>
          <w:color w:val="000000" w:themeColor="text1"/>
          <w:sz w:val="24"/>
          <w:szCs w:val="24"/>
        </w:rPr>
        <w:t xml:space="preserve"> </w:t>
      </w:r>
      <w:r w:rsidRPr="009B663C">
        <w:rPr>
          <w:rFonts w:cs="AdvMINION-R"/>
          <w:color w:val="000000" w:themeColor="text1"/>
          <w:sz w:val="24"/>
          <w:szCs w:val="24"/>
        </w:rPr>
        <w:t>used as a contraceptive agent by millions of women in</w:t>
      </w:r>
      <w:r w:rsidR="009B60B2" w:rsidRPr="009B663C">
        <w:rPr>
          <w:rFonts w:cs="AdvMINION-R"/>
          <w:color w:val="000000" w:themeColor="text1"/>
          <w:sz w:val="24"/>
          <w:szCs w:val="24"/>
        </w:rPr>
        <w:t xml:space="preserve"> </w:t>
      </w:r>
      <w:r w:rsidRPr="009B663C">
        <w:rPr>
          <w:rFonts w:cs="AdvMINION-R"/>
          <w:color w:val="000000" w:themeColor="text1"/>
          <w:sz w:val="24"/>
          <w:szCs w:val="24"/>
        </w:rPr>
        <w:t>more than 90 countries since 1967 and was approved for use in several developing countries in 1992.</w:t>
      </w:r>
      <w:r w:rsidRPr="009B663C">
        <w:rPr>
          <w:rFonts w:cs="AdvMINION-R"/>
          <w:color w:val="000000" w:themeColor="text1"/>
          <w:sz w:val="24"/>
          <w:szCs w:val="24"/>
          <w:vertAlign w:val="superscript"/>
        </w:rPr>
        <w:fldChar w:fldCharType="begin" w:fldLock="1"/>
      </w:r>
      <w:r w:rsidRPr="009B663C">
        <w:rPr>
          <w:rFonts w:cs="AdvMINION-R"/>
          <w:color w:val="000000" w:themeColor="text1"/>
          <w:sz w:val="24"/>
          <w:szCs w:val="24"/>
          <w:vertAlign w:val="superscript"/>
        </w:rPr>
        <w:instrText>ADDIN CSL_CITATION { "citationItems" : [ { "id" : "ITEM-1", "itemData" : { "DOI" : "10.1124/dmd.108.022525.mg/day", "author" : [ { "dropping-particle" : "", "family" : "Zhang", "given" : "Jiang-wei", "non-dropping-particle" : "", "parse-names" : false, "suffix" : "" }, { "dropping-particle" : "", "family" : "Liu", "given" : "Yong", "non-dropping-particle" : "", "parse-names" : false, "suffix" : "" }, { "dropping-particle" : "", "family" : "Zhao", "given" : "Jiu-yang", "non-dropping-particle" : "", "parse-names" : false, "suffix" : "" }, { "dropping-particle" : "", "family" : "Wang", "given" : "Li-ming", "non-dropping-particle" : "", "parse-names" : false, "suffix" : "" }, { "dropping-particle" : "", "family" : "Ge", "given" : "Guang-bo", "non-dropping-particle" : "", "parse-names" : false, "suffix" : "" }, { "dropping-particle" : "", "family" : "Gao", "given" : "Yang", "non-dropping-particle" : "", "parse-names" : false, "suffix" : "" }, { "dropping-particle" : "", "family" : "Li", "given" : "Wei", "non-dropping-particle" : "", "parse-names" : false, "suffix" : "" }, { "dropping-particle" : "", "family" : "Liu", "given" : "Hong-tao", "non-dropping-particle" : "", "parse-names" : false, "suffix" : "" }, { "dropping-particle" : "", "family" : "Liu", "given" : "Hui-xin", "non-dropping-particle" : "", "parse-names" : false, "suffix" : "" }, { "dropping-particle" : "", "family" : "Zhang", "given" : "Yan-yan", "non-dropping-particle" : "", "parse-names" : false, "suffix" : "" }, { "dropping-particle" : "", "family" : "Sun", "given" : "Jie", "non-dropping-particle" : "", "parse-names" : false, "suffix" : "" }, { "dropping-particle" : "", "family" : "Yang", "given" : "Ling", "non-dropping-particle" : "", "parse-names" : false, "suffix" : "" } ], "id" : "ITEM-1", "issue" : "11", "issued" : { "date-parts" : [ [ "2008" ] ] }, "page" : "2292-2298", "title" : "Metabolic Profiling and Cytochrome P450 Reaction Phenotyping of Medroxyprogesterone Accetate", "type" : "article-journal", "volume" : "36" }, "uris" : [ "http://www.mendeley.com/documents/?uuid=9b441300-ea97-4a9f-95be-cbe527d76901" ] } ], "mendeley" : { "formattedCitation" : "(6)", "plainTextFormattedCitation" : "(6)", "previouslyFormattedCitation" : "(6)" }, "properties" : { "noteIndex" : 0 }, "schema" : "https://github.com/citation-style-language/schema/raw/master/csl-citation.json" }</w:instrText>
      </w:r>
      <w:r w:rsidRPr="009B663C">
        <w:rPr>
          <w:rFonts w:cs="AdvMINION-R"/>
          <w:color w:val="000000" w:themeColor="text1"/>
          <w:sz w:val="24"/>
          <w:szCs w:val="24"/>
          <w:vertAlign w:val="superscript"/>
        </w:rPr>
        <w:fldChar w:fldCharType="separate"/>
      </w:r>
      <w:r w:rsidRPr="009B663C">
        <w:rPr>
          <w:rFonts w:cs="AdvMINION-R"/>
          <w:noProof/>
          <w:color w:val="000000" w:themeColor="text1"/>
          <w:sz w:val="24"/>
          <w:szCs w:val="24"/>
          <w:vertAlign w:val="superscript"/>
        </w:rPr>
        <w:t>(6)</w:t>
      </w:r>
      <w:r w:rsidRPr="009B663C">
        <w:rPr>
          <w:rFonts w:cs="AdvMINION-R"/>
          <w:color w:val="000000" w:themeColor="text1"/>
          <w:sz w:val="24"/>
          <w:szCs w:val="24"/>
          <w:vertAlign w:val="superscript"/>
        </w:rPr>
        <w:fldChar w:fldCharType="end"/>
      </w:r>
      <w:r w:rsidR="00A9083D" w:rsidRPr="009B663C">
        <w:rPr>
          <w:rFonts w:cs="AdvMINION-R"/>
          <w:color w:val="000000" w:themeColor="text1"/>
          <w:sz w:val="24"/>
          <w:szCs w:val="24"/>
          <w:vertAlign w:val="superscript"/>
        </w:rPr>
        <w:t xml:space="preserve"> </w:t>
      </w:r>
      <w:r w:rsidRPr="009B663C">
        <w:rPr>
          <w:color w:val="000000" w:themeColor="text1"/>
          <w:sz w:val="24"/>
          <w:szCs w:val="24"/>
        </w:rPr>
        <w:t>Medroxyprogesterone acetate (17 -acetoxy-6 -methylpregn-4-ene-3,20-dione; MPA) , a synthetic progesterone analog, is used in conception and hormone replacement therapy (HRT) by millions of women worldwide which contraception mechanism is the inhibition of ovulation.</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"DOI" : "10.1016/S0029-7844(00)01061-9", "ISBN" : "doi:10.1016/S0029-7844(00)01061-9", "ISSN" : "00297844", "author" : [ { "dropping-particle" : "", "family" : "Ratchanon", "given" : "S Taneepanichskul S", "non-dropping-particle" : "", "parse-names" : false, "suffix" : "" } ], "container-title" : "Obstetrics &amp; Gynecology", "id" : "ITEM-1", "issue" : "6", "issued" : { "date-parts" : [ [ "2000", "12" ] ] }, "page" : "926-928", "title" : "Depot medroxyprogesterone acetate and basal serum prolactin levels in lactating women", "type" : "article-journal", "volume" : "96" }, "uris" : [ "http://www.mendeley.com/documents/?uuid=817b0170-d9ae-461e-9e43-00d2fa1c6c8f" ] } ], "mendeley" : { "formattedCitation" : "(7)", "plainTextFormattedCitation" : "(7)", "previouslyFormattedCitation" : "(7)"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(7)</w:t>
      </w:r>
      <w:r w:rsidRPr="009B663C">
        <w:rPr>
          <w:color w:val="000000" w:themeColor="text1"/>
          <w:sz w:val="24"/>
          <w:szCs w:val="24"/>
          <w:vertAlign w:val="superscript"/>
        </w:rPr>
        <w:fldChar w:fldCharType="end"/>
      </w:r>
    </w:p>
    <w:p w:rsidR="0005757A" w:rsidRPr="009B663C" w:rsidRDefault="0005757A" w:rsidP="001D2DE1">
      <w:pPr>
        <w:autoSpaceDE w:val="0"/>
        <w:autoSpaceDN w:val="0"/>
        <w:adjustRightInd w:val="0"/>
        <w:spacing w:after="0" w:line="480" w:lineRule="auto"/>
        <w:jc w:val="both"/>
        <w:rPr>
          <w:color w:val="000000" w:themeColor="text1"/>
          <w:sz w:val="24"/>
          <w:szCs w:val="24"/>
        </w:rPr>
      </w:pPr>
      <w:r w:rsidRPr="009B663C">
        <w:rPr>
          <w:color w:val="000000" w:themeColor="text1"/>
          <w:sz w:val="24"/>
          <w:szCs w:val="24"/>
        </w:rPr>
        <w:t>Compared to other progestin-only contraceptives, DMPA contains substantially higher levels of progestin.</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"id" : "ITEM-1", "issued" : { "date-parts" : [ [ "0" ] ] }, "title" : "Pfizer. Depo-Provera Contraceptive Injection, US patient labeling. http:// www.pfizer.com/pfizer/download/ppi_depo_provera_contraceptive.pdf. Retrieved 2007-02-21. Accessed October 2004.", "type" : "article-journal" }, "uris" : [ "http://www.mendeley.com/documents/?uuid=9719c87c-c939-4b73-b700-4b7c565e6c4f" ] } ], "mendeley" : { "formattedCitation" : "(8)", "plainTextFormattedCitation" : "(8)", "previouslyFormattedCitation" : "(8)"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(8)</w:t>
      </w:r>
      <w:r w:rsidRPr="009B663C">
        <w:rPr>
          <w:color w:val="000000" w:themeColor="text1"/>
          <w:sz w:val="24"/>
          <w:szCs w:val="24"/>
          <w:vertAlign w:val="superscript"/>
        </w:rPr>
        <w:fldChar w:fldCharType="end"/>
      </w:r>
      <w:r w:rsidR="00A9083D" w:rsidRPr="009B663C">
        <w:rPr>
          <w:color w:val="000000" w:themeColor="text1"/>
          <w:sz w:val="24"/>
          <w:szCs w:val="24"/>
          <w:vertAlign w:val="superscript"/>
        </w:rPr>
        <w:t xml:space="preserve"> </w:t>
      </w:r>
      <w:r w:rsidRPr="009B663C">
        <w:rPr>
          <w:color w:val="000000" w:themeColor="text1"/>
          <w:sz w:val="24"/>
          <w:szCs w:val="24"/>
        </w:rPr>
        <w:t>A 90-day dosage of DMPA adds up to 150 mg, significantly higher than the 90-day dosages of the progest</w:t>
      </w:r>
      <w:r w:rsidR="002B00EA" w:rsidRPr="009B663C">
        <w:rPr>
          <w:color w:val="000000" w:themeColor="text1"/>
          <w:sz w:val="24"/>
          <w:szCs w:val="24"/>
        </w:rPr>
        <w:t xml:space="preserve">in- only pill (POP) (31.50 mg), </w:t>
      </w:r>
      <w:r w:rsidRPr="009B663C">
        <w:rPr>
          <w:color w:val="000000" w:themeColor="text1"/>
          <w:sz w:val="24"/>
          <w:szCs w:val="24"/>
        </w:rPr>
        <w:t>Mirena IUD (1.8 mg), and Implanon/Nexplanon (etonogestrel implant) (6.3 mg).</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"author" : [ { "dropping-particle" : "", "family" : "Mosher WD", "given" : "Et.al.", "non-dropping-particle" : "", "parse-names" : false, "suffix" : "" } ], "container-title" : "Adv Data", "id" : "ITEM-1", "issued" : { "date-parts" : [ [ "2004" ] ] }, "page" : "1-36", "title" : "Use of contraception and use of family planning services in the United States.", "type" : "article-journal", "volume" : "350" }, "uris" : [ "http://www.mendeley.com/documents/?uuid=1a55325c-4744-4f23-8c3d-5b1d77c1f99d" ] } ], "mendeley" : { "formattedCitation" : "(9)", "plainTextFormattedCitation" : "(9)"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(9)</w:t>
      </w:r>
      <w:r w:rsidRPr="009B663C">
        <w:rPr>
          <w:color w:val="000000" w:themeColor="text1"/>
          <w:sz w:val="24"/>
          <w:szCs w:val="24"/>
          <w:vertAlign w:val="superscript"/>
        </w:rPr>
        <w:fldChar w:fldCharType="end"/>
      </w:r>
      <w:r w:rsidRPr="009B663C">
        <w:rPr>
          <w:color w:val="000000" w:themeColor="text1"/>
          <w:sz w:val="24"/>
          <w:szCs w:val="24"/>
        </w:rPr>
        <w:t xml:space="preserve"> Consequently, DMPA is associated with more side effects, including irregular menstruation, anxiety, headaches, weakness, fatigue, bloating, abdominal pain, and weight gain.</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"id" : "ITEM-1", "issued" : { "date-parts" : [ [ "0" ] ] }, "title" : "Stacey D. Depo Provera: The birth control shot. http://contraception.about. com/od/prescriptionoptions/a/depoprovera.htm. Updated August 26, 2010. Accessed January 12, 2011", "type" : "article-journal" }, "uris" : [ "http://www.mendeley.com/documents/?uuid=f1180c82-f139-45cf-983e-15ffaf78e788" ] } ], "mendeley" : { "formattedCitation" : "(10)", "plainTextFormattedCitation" : "(10)", "previouslyFormattedCitation" : "(9)"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(10)</w:t>
      </w:r>
      <w:r w:rsidRPr="009B663C">
        <w:rPr>
          <w:color w:val="000000" w:themeColor="text1"/>
          <w:sz w:val="24"/>
          <w:szCs w:val="24"/>
          <w:vertAlign w:val="superscript"/>
        </w:rPr>
        <w:fldChar w:fldCharType="end"/>
      </w:r>
      <w:r w:rsidRPr="009B663C">
        <w:rPr>
          <w:color w:val="000000" w:themeColor="text1"/>
          <w:sz w:val="24"/>
          <w:szCs w:val="24"/>
        </w:rPr>
        <w:t xml:space="preserve"> Recent data revealed an increased risk of fracture caused by the DMPA-induced lack of estrogen over extended periods of time, particularly in women who have not yet attained peak bone mass.</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"id" : "ITEM-1", "issued" : { "date-parts" : [ [ "0" ] ] }, "title" : "Walsh JS, Eastell R, Peel NF. Effects of Depot medroxyprogesterone acetate on bone density and bone metabolism before and after peak bone mass: a case-control study. J Clin Endocrinol Metab. 2008;93(4):1317-23.", "type" : "article-journal" }, "uris" : [ "http://www.mendeley.com/documents/?uuid=5a103d1b-1dd0-4634-9552-2915ae55272b" ] } ], "mendeley" : { "formattedCitation" : "(11)", "plainTextFormattedCitation" : "(11)", "previouslyFormattedCitation" : "(10)"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(11)</w:t>
      </w:r>
      <w:r w:rsidRPr="009B663C">
        <w:rPr>
          <w:color w:val="000000" w:themeColor="text1"/>
          <w:sz w:val="24"/>
          <w:szCs w:val="24"/>
          <w:vertAlign w:val="superscript"/>
        </w:rPr>
        <w:fldChar w:fldCharType="end"/>
      </w:r>
      <w:r w:rsidRPr="009B663C">
        <w:rPr>
          <w:color w:val="000000" w:themeColor="text1"/>
          <w:sz w:val="24"/>
          <w:szCs w:val="24"/>
        </w:rPr>
        <w:t xml:space="preserve"> Additionally, many users experience delays in fertility following discontinuation.</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"id" : "ITEM-1", "issued" : { "date-parts" : [ [ "0" ] ] }, "title" : "Tolaymat L, Kaunitz A. Use of hormonal contraception in adolescents: skeletal health issues. Curr Opin Obstet Gynecol. 2009;21(5):396-401.", "type" : "article-journal" }, "uris" : [ "http://www.mendeley.com/documents/?uuid=cba860cd-bcdc-4e8e-9d91-bebe7822ffba" ] } ], "mendeley" : { "formattedCitation" : "(12)", "plainTextFormattedCitation" : "(12)", "previouslyFormattedCitation" : "(11)"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(12)</w:t>
      </w:r>
      <w:r w:rsidRPr="009B663C">
        <w:rPr>
          <w:color w:val="000000" w:themeColor="text1"/>
          <w:sz w:val="24"/>
          <w:szCs w:val="24"/>
          <w:vertAlign w:val="superscript"/>
        </w:rPr>
        <w:fldChar w:fldCharType="end"/>
      </w:r>
      <w:r w:rsidRPr="009B663C">
        <w:rPr>
          <w:color w:val="000000" w:themeColor="text1"/>
          <w:sz w:val="24"/>
          <w:szCs w:val="24"/>
        </w:rPr>
        <w:t xml:space="preserve"> DMPA usage is also directly linked to amenorrhea in 70% of users after 2 years.</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"author" : [ { "dropping-particle" : "", "family" : "Meier C", "given" : "et.al.", "non-dropping-particle" : "", "parse-names" : false, "suffix" : "" } ], "container-title" : "J Clin Endocrinol Metab.", "id" : "ITEM-1", "issue" : "11", "issued" : { "date-parts" : [ [ "2010" ] ] }, "page" : "16-4909", "title" : "Use of depot medroxyprogesterone acetate and fracture risk.", "type" : "article-journal", "volume" : "95" }, "uris" : [ "http://www.mendeley.com/documents/?uuid=b292ecab-fa51-4a26-9494-830ae55d093a" ] } ], "mendeley" : { "formattedCitation" : "(13)", "plainTextFormattedCitation" : "(13)", "previouslyFormattedCitation" : "(12)"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(13)</w:t>
      </w:r>
      <w:r w:rsidRPr="009B663C">
        <w:rPr>
          <w:color w:val="000000" w:themeColor="text1"/>
          <w:sz w:val="24"/>
          <w:szCs w:val="24"/>
          <w:vertAlign w:val="superscript"/>
        </w:rPr>
        <w:fldChar w:fldCharType="end"/>
      </w:r>
      <w:r w:rsidRPr="009B663C">
        <w:rPr>
          <w:color w:val="000000" w:themeColor="text1"/>
          <w:sz w:val="24"/>
          <w:szCs w:val="24"/>
        </w:rPr>
        <w:t>So this study intend to observe the association between the long term use of DMPA and pathological changes in the ovary such as decrease ovarian follicles, follicular atresia and epitheli</w:t>
      </w:r>
      <w:r w:rsidR="008A38C2" w:rsidRPr="009B663C">
        <w:rPr>
          <w:color w:val="000000" w:themeColor="text1"/>
          <w:sz w:val="24"/>
          <w:szCs w:val="24"/>
        </w:rPr>
        <w:t xml:space="preserve">al atrophy in the uterine tube, </w:t>
      </w:r>
      <w:r w:rsidRPr="009B663C">
        <w:rPr>
          <w:color w:val="000000" w:themeColor="text1"/>
          <w:sz w:val="24"/>
          <w:szCs w:val="24"/>
        </w:rPr>
        <w:t xml:space="preserve">which may contribute for the delay return of fertility, in DMPA users. </w:t>
      </w:r>
    </w:p>
    <w:p w:rsidR="00B8697E" w:rsidRPr="009B663C" w:rsidRDefault="00B8697E" w:rsidP="001D2DE1">
      <w:pPr>
        <w:pStyle w:val="Default"/>
        <w:spacing w:line="480" w:lineRule="auto"/>
        <w:rPr>
          <w:rFonts w:asciiTheme="minorHAnsi" w:hAnsiTheme="minorHAnsi"/>
          <w:b/>
          <w:bCs/>
          <w:color w:val="000000" w:themeColor="text1"/>
          <w:sz w:val="28"/>
          <w:szCs w:val="28"/>
        </w:rPr>
      </w:pPr>
    </w:p>
    <w:p w:rsidR="0005757A" w:rsidRPr="009B663C" w:rsidRDefault="0005757A" w:rsidP="001D2DE1">
      <w:pPr>
        <w:pStyle w:val="Default"/>
        <w:spacing w:line="480" w:lineRule="auto"/>
        <w:rPr>
          <w:rFonts w:asciiTheme="minorHAnsi" w:hAnsiTheme="minorHAnsi"/>
          <w:b/>
          <w:color w:val="000000" w:themeColor="text1"/>
          <w:sz w:val="28"/>
          <w:szCs w:val="28"/>
        </w:rPr>
      </w:pPr>
      <w:r w:rsidRPr="009B663C">
        <w:rPr>
          <w:rFonts w:asciiTheme="minorHAnsi" w:hAnsiTheme="minorHAnsi"/>
          <w:b/>
          <w:bCs/>
          <w:color w:val="000000" w:themeColor="text1"/>
          <w:sz w:val="28"/>
          <w:szCs w:val="28"/>
        </w:rPr>
        <w:t xml:space="preserve">Material and Methods </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lastRenderedPageBreak/>
        <w:t xml:space="preserve">Sixty healthy female Wistar Albino female rats weighing 150-200 gm were obtained from the animal house of BPKIHS, Dharan. They were given standard pellet diet and drinking water </w:t>
      </w:r>
      <w:r w:rsidRPr="009B663C">
        <w:rPr>
          <w:rFonts w:asciiTheme="minorHAnsi" w:hAnsiTheme="minorHAnsi"/>
          <w:i/>
          <w:color w:val="000000" w:themeColor="text1"/>
        </w:rPr>
        <w:t>ad libitum.</w:t>
      </w:r>
      <w:r w:rsidRPr="009B663C">
        <w:rPr>
          <w:rFonts w:asciiTheme="minorHAnsi" w:hAnsiTheme="minorHAnsi"/>
          <w:color w:val="000000" w:themeColor="text1"/>
        </w:rPr>
        <w:t xml:space="preserve"> They were maintained in a well ventilated room at controlled ambient temperature (25°c) with a 12 hours in alternating light- dark cycle. They were housed in polypropylene cage (40 cm × 25 cm × 15 cm) with the paddy husk bed, which was changed on every 4-5 days. </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bCs/>
          <w:color w:val="000000" w:themeColor="text1"/>
        </w:rPr>
        <w:t xml:space="preserve">Preparation of the Depot-Medroxyprogesterone Acetate Solution </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DMPA vials are manufactured by </w:t>
      </w:r>
      <w:r w:rsidRPr="009B663C">
        <w:rPr>
          <w:rFonts w:asciiTheme="minorHAnsi" w:hAnsiTheme="minorHAnsi"/>
          <w:bCs/>
          <w:color w:val="000000" w:themeColor="text1"/>
        </w:rPr>
        <w:t>Pfizer pharmaceuticals group</w:t>
      </w:r>
      <w:r w:rsidRPr="009B663C">
        <w:rPr>
          <w:rFonts w:asciiTheme="minorHAnsi" w:hAnsiTheme="minorHAnsi"/>
          <w:color w:val="000000" w:themeColor="text1"/>
        </w:rPr>
        <w:t xml:space="preserve">. One vial containing 150 mg/ml suspension was diluted in distilled water to make the required concentration for experiment. The experimental groups were given DMPA in the doses of 2.4 mg intramuscularly per week for 8 weeks. </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While the control group rats were treated with 0.25 ml of normal saline intramuscularly for 8 weeks. The doses were converted from human dose to rat dose by using multiplication factors for dose conversion between different species by </w:t>
      </w:r>
      <w:r w:rsidRPr="009B663C">
        <w:rPr>
          <w:rFonts w:asciiTheme="minorHAnsi" w:hAnsiTheme="minorHAnsi"/>
          <w:bCs/>
          <w:color w:val="000000" w:themeColor="text1"/>
        </w:rPr>
        <w:t xml:space="preserve">Paget and Barnes </w:t>
      </w:r>
      <w:r w:rsidRPr="009B663C">
        <w:rPr>
          <w:rFonts w:asciiTheme="minorHAnsi" w:hAnsiTheme="minorHAnsi"/>
          <w:color w:val="000000" w:themeColor="text1"/>
        </w:rPr>
        <w:t>as follow.</w:t>
      </w:r>
      <w:r w:rsidRPr="009B663C">
        <w:rPr>
          <w:rFonts w:asciiTheme="minorHAnsi" w:hAnsiTheme="minorHAnsi"/>
          <w:color w:val="000000" w:themeColor="text1"/>
          <w:vertAlign w:val="superscript"/>
        </w:rPr>
        <w:fldChar w:fldCharType="begin" w:fldLock="1"/>
      </w:r>
      <w:r w:rsidRPr="009B663C">
        <w:rPr>
          <w:rFonts w:asciiTheme="minorHAnsi" w:hAnsiTheme="minorHAnsi"/>
          <w:color w:val="000000" w:themeColor="text1"/>
          <w:vertAlign w:val="superscript"/>
        </w:rPr>
        <w:instrText>ADDIN CSL_CITATION { "citationItems" : [ { "id" : "ITEM-1", "itemData" : { "author" : [ { "dropping-particle" : "", "family" : "Paget", "given" : "GE", "non-dropping-particle" : "", "parse-names" : false, "suffix" : "" }, { "dropping-particle" : "", "family" : "Barnes", "given" : "JM", "non-dropping-particle" : "", "parse-names" : false, "suffix" : "" } ], "chapter-number" : "Interspeci", "container-title" : "Evaluation of drug activities: Pharmacometrics", "editor" : [ { "dropping-particle" : "", "family" : "Laurence", "given" : "Dr", "non-dropping-particle" : "", "parse-names" : false, "suffix" : "" }, { "dropping-particle" : "", "family" : "Bacharach", "given" : "AL", "non-dropping-particle" : "", "parse-names" : false, "suffix" : "" } ], "id" : "ITEM-1", "issued" : { "date-parts" : [ [ "1964" ] ] }, "page" : "160-162", "publisher" : "Acamemic Press", "publisher-place" : "London and New York", "title" : "Interspecies dosage conversion schem in evaluation of results and quantitative application in different species.", "type" : "chapter" }, "uris" : [ "http://www.mendeley.com/documents/?uuid=8b653b71-d2e8-4595-b3ca-ce3c3baf9548" ] } ], "mendeley" : { "formattedCitation" : "(14)", "plainTextFormattedCitation" : "(14)", "previouslyFormattedCitation" : "(13)" }, "properties" : { "noteIndex" : 0 }, "schema" : "https://github.com/citation-style-language/schema/raw/master/csl-citation.json" }</w:instrText>
      </w:r>
      <w:r w:rsidRPr="009B663C">
        <w:rPr>
          <w:rFonts w:asciiTheme="minorHAnsi" w:hAnsiTheme="minorHAnsi"/>
          <w:color w:val="000000" w:themeColor="text1"/>
          <w:vertAlign w:val="superscript"/>
        </w:rPr>
        <w:fldChar w:fldCharType="separate"/>
      </w:r>
      <w:r w:rsidRPr="009B663C">
        <w:rPr>
          <w:rFonts w:asciiTheme="minorHAnsi" w:hAnsiTheme="minorHAnsi"/>
          <w:noProof/>
          <w:color w:val="000000" w:themeColor="text1"/>
          <w:vertAlign w:val="superscript"/>
        </w:rPr>
        <w:t>(14)</w:t>
      </w:r>
      <w:r w:rsidRPr="009B663C">
        <w:rPr>
          <w:rFonts w:asciiTheme="minorHAnsi" w:hAnsiTheme="minorHAnsi"/>
          <w:color w:val="000000" w:themeColor="text1"/>
          <w:vertAlign w:val="superscript"/>
        </w:rPr>
        <w:fldChar w:fldCharType="end"/>
      </w:r>
    </w:p>
    <w:p w:rsidR="0005757A" w:rsidRPr="009B663C" w:rsidRDefault="0005757A" w:rsidP="001D2DE1">
      <w:pPr>
        <w:pStyle w:val="Default"/>
        <w:spacing w:line="480" w:lineRule="auto"/>
        <w:rPr>
          <w:rFonts w:asciiTheme="minorHAnsi" w:hAnsiTheme="minorHAnsi"/>
          <w:bCs/>
          <w:color w:val="000000" w:themeColor="text1"/>
        </w:rPr>
      </w:pPr>
      <w:r w:rsidRPr="009B663C">
        <w:rPr>
          <w:rFonts w:asciiTheme="minorHAnsi" w:hAnsiTheme="minorHAnsi"/>
          <w:bCs/>
          <w:color w:val="000000" w:themeColor="text1"/>
        </w:rPr>
        <w:t>Drug to be given for rat = 0.018 × Human dose</w:t>
      </w:r>
    </w:p>
    <w:p w:rsidR="00F268FF" w:rsidRPr="009B663C" w:rsidRDefault="00F268FF" w:rsidP="001D2DE1">
      <w:pPr>
        <w:pStyle w:val="Default"/>
        <w:spacing w:line="480" w:lineRule="auto"/>
        <w:rPr>
          <w:rFonts w:asciiTheme="minorHAnsi" w:hAnsiTheme="minorHAnsi"/>
          <w:bCs/>
          <w:color w:val="000000" w:themeColor="text1"/>
        </w:rPr>
      </w:pPr>
    </w:p>
    <w:p w:rsidR="0005757A" w:rsidRPr="009B663C" w:rsidRDefault="0005757A" w:rsidP="001D2DE1">
      <w:pPr>
        <w:pStyle w:val="Default"/>
        <w:spacing w:line="480" w:lineRule="auto"/>
        <w:rPr>
          <w:rFonts w:asciiTheme="minorHAnsi" w:hAnsiTheme="minorHAnsi"/>
          <w:b/>
          <w:color w:val="000000" w:themeColor="text1"/>
          <w:sz w:val="28"/>
          <w:szCs w:val="28"/>
        </w:rPr>
      </w:pPr>
      <w:r w:rsidRPr="009B663C">
        <w:rPr>
          <w:rFonts w:asciiTheme="minorHAnsi" w:hAnsiTheme="minorHAnsi"/>
          <w:b/>
          <w:bCs/>
          <w:color w:val="000000" w:themeColor="text1"/>
          <w:sz w:val="28"/>
          <w:szCs w:val="28"/>
        </w:rPr>
        <w:t xml:space="preserve">Experimental Design and Treatment Regimen </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Animals were divided into 2 groups, with in each group </w:t>
      </w:r>
      <w:r w:rsidRPr="009B663C">
        <w:rPr>
          <w:rFonts w:asciiTheme="minorHAnsi" w:hAnsiTheme="minorHAnsi"/>
          <w:i/>
          <w:iCs/>
          <w:color w:val="000000" w:themeColor="text1"/>
        </w:rPr>
        <w:t>n</w:t>
      </w:r>
      <w:r w:rsidRPr="009B663C">
        <w:rPr>
          <w:rFonts w:asciiTheme="minorHAnsi" w:hAnsiTheme="minorHAnsi"/>
          <w:color w:val="000000" w:themeColor="text1"/>
        </w:rPr>
        <w:t xml:space="preserve">=15 rats, Total number </w:t>
      </w:r>
      <w:r w:rsidRPr="009B663C">
        <w:rPr>
          <w:rFonts w:asciiTheme="minorHAnsi" w:hAnsiTheme="minorHAnsi"/>
          <w:i/>
          <w:iCs/>
          <w:color w:val="000000" w:themeColor="text1"/>
        </w:rPr>
        <w:t xml:space="preserve">n= 30 </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Experimental group rats were sacrificed one day after the completion of 8 weeks. The rats were anesthetized with Ether soaked in cotton. Ovaries and uterine tubes were fixed by </w:t>
      </w:r>
      <w:r w:rsidRPr="009B663C">
        <w:rPr>
          <w:rFonts w:asciiTheme="minorHAnsi" w:hAnsiTheme="minorHAnsi"/>
          <w:color w:val="000000" w:themeColor="text1"/>
        </w:rPr>
        <w:lastRenderedPageBreak/>
        <w:t>In Vivo Perfusion method. After completion of perfusion, the organs were isolated from the body with help of scalpel and forceps and post fixed for 24 hours with Bouin’s Fluid. Thus obtained organs were cut into pieces of 3 mm to fix in neutral buffered formalin for 7 days and processed for making paraffin blocks. The blocks were trimmed, sectioned at 4μm thickness and stained by routine H&amp;E (Hematoxylin and Eosin) staining. All sections were examined under light microscope.</w:t>
      </w:r>
    </w:p>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Ethical clearance was taken as per the guideline of Institutional Ethical Review Board (IERB no. 143) of BPKIHS, Dharan, Nepal.</w:t>
      </w:r>
    </w:p>
    <w:tbl>
      <w:tblPr>
        <w:tblStyle w:val="TableGrid"/>
        <w:tblW w:w="0" w:type="auto"/>
        <w:tblLook w:val="04A0" w:firstRow="1" w:lastRow="0" w:firstColumn="1" w:lastColumn="0" w:noHBand="0" w:noVBand="1"/>
      </w:tblPr>
      <w:tblGrid>
        <w:gridCol w:w="2921"/>
        <w:gridCol w:w="2920"/>
        <w:gridCol w:w="2933"/>
      </w:tblGrid>
      <w:tr w:rsidR="009B663C" w:rsidRPr="009B663C" w:rsidTr="009C0BC9">
        <w:tc>
          <w:tcPr>
            <w:tcW w:w="3116"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Group</w:t>
            </w:r>
          </w:p>
        </w:tc>
        <w:tc>
          <w:tcPr>
            <w:tcW w:w="3117"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Sample size </w:t>
            </w:r>
          </w:p>
        </w:tc>
        <w:tc>
          <w:tcPr>
            <w:tcW w:w="3117"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Duration of dose</w:t>
            </w:r>
          </w:p>
        </w:tc>
      </w:tr>
      <w:tr w:rsidR="009B663C" w:rsidRPr="009B663C" w:rsidTr="009C0BC9">
        <w:tc>
          <w:tcPr>
            <w:tcW w:w="3116"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Control </w:t>
            </w:r>
          </w:p>
        </w:tc>
        <w:tc>
          <w:tcPr>
            <w:tcW w:w="3117"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15</w:t>
            </w:r>
          </w:p>
        </w:tc>
        <w:tc>
          <w:tcPr>
            <w:tcW w:w="3117"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8 weeks</w:t>
            </w:r>
          </w:p>
        </w:tc>
      </w:tr>
      <w:tr w:rsidR="009B663C" w:rsidRPr="009B663C" w:rsidTr="009C0BC9">
        <w:tc>
          <w:tcPr>
            <w:tcW w:w="3116"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 xml:space="preserve">Case </w:t>
            </w:r>
          </w:p>
        </w:tc>
        <w:tc>
          <w:tcPr>
            <w:tcW w:w="3117"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15</w:t>
            </w:r>
          </w:p>
        </w:tc>
        <w:tc>
          <w:tcPr>
            <w:tcW w:w="3117" w:type="dxa"/>
          </w:tcPr>
          <w:p w:rsidR="0005757A" w:rsidRPr="009B663C" w:rsidRDefault="0005757A" w:rsidP="001D2DE1">
            <w:pPr>
              <w:pStyle w:val="Default"/>
              <w:spacing w:line="480" w:lineRule="auto"/>
              <w:rPr>
                <w:rFonts w:asciiTheme="minorHAnsi" w:hAnsiTheme="minorHAnsi"/>
                <w:color w:val="000000" w:themeColor="text1"/>
              </w:rPr>
            </w:pPr>
            <w:r w:rsidRPr="009B663C">
              <w:rPr>
                <w:rFonts w:asciiTheme="minorHAnsi" w:hAnsiTheme="minorHAnsi"/>
                <w:color w:val="000000" w:themeColor="text1"/>
              </w:rPr>
              <w:t>8 weeks</w:t>
            </w:r>
          </w:p>
        </w:tc>
      </w:tr>
    </w:tbl>
    <w:p w:rsidR="00B8697E" w:rsidRPr="009B663C" w:rsidRDefault="00B8697E" w:rsidP="001D2DE1">
      <w:pPr>
        <w:spacing w:line="480" w:lineRule="auto"/>
        <w:jc w:val="both"/>
        <w:rPr>
          <w:color w:val="000000" w:themeColor="text1"/>
          <w:sz w:val="24"/>
          <w:szCs w:val="24"/>
        </w:rPr>
      </w:pPr>
    </w:p>
    <w:p w:rsidR="0005757A" w:rsidRPr="009B663C" w:rsidRDefault="0005757A" w:rsidP="001D2DE1">
      <w:pPr>
        <w:spacing w:line="480" w:lineRule="auto"/>
        <w:jc w:val="both"/>
        <w:rPr>
          <w:b/>
          <w:color w:val="000000" w:themeColor="text1"/>
          <w:sz w:val="28"/>
          <w:szCs w:val="28"/>
        </w:rPr>
      </w:pPr>
      <w:r w:rsidRPr="009B663C">
        <w:rPr>
          <w:b/>
          <w:color w:val="000000" w:themeColor="text1"/>
          <w:sz w:val="28"/>
          <w:szCs w:val="28"/>
        </w:rPr>
        <w:t xml:space="preserve">Result </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t xml:space="preserve">The microscopic observation was done with the help of light microscope. </w:t>
      </w:r>
      <w:r w:rsidR="00F70BB9" w:rsidRPr="009B663C">
        <w:rPr>
          <w:color w:val="000000" w:themeColor="text1"/>
          <w:sz w:val="24"/>
          <w:szCs w:val="24"/>
        </w:rPr>
        <w:t xml:space="preserve">We </w:t>
      </w:r>
      <w:r w:rsidRPr="009B663C">
        <w:rPr>
          <w:color w:val="000000" w:themeColor="text1"/>
          <w:sz w:val="24"/>
          <w:szCs w:val="24"/>
        </w:rPr>
        <w:t>compared the appearance of ovarian follicle and medulla in ovary of case and control group. Likewise in uterine tube we compared the appearance</w:t>
      </w:r>
      <w:r w:rsidR="00BE5F59" w:rsidRPr="009B663C">
        <w:rPr>
          <w:color w:val="000000" w:themeColor="text1"/>
          <w:sz w:val="24"/>
          <w:szCs w:val="24"/>
        </w:rPr>
        <w:t xml:space="preserve"> of uterine epithelium.</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t xml:space="preserve">There were remarkable differences in the follicular and medullary appearance of ovary in </w:t>
      </w:r>
      <w:r w:rsidR="00A4183F" w:rsidRPr="009B663C">
        <w:rPr>
          <w:color w:val="000000" w:themeColor="text1"/>
          <w:sz w:val="24"/>
          <w:szCs w:val="24"/>
        </w:rPr>
        <w:t xml:space="preserve">experimental </w:t>
      </w:r>
      <w:r w:rsidRPr="009B663C">
        <w:rPr>
          <w:color w:val="000000" w:themeColor="text1"/>
          <w:sz w:val="24"/>
          <w:szCs w:val="24"/>
        </w:rPr>
        <w:t xml:space="preserve">rat as compared to </w:t>
      </w:r>
      <w:r w:rsidR="00A4183F" w:rsidRPr="009B663C">
        <w:rPr>
          <w:color w:val="000000" w:themeColor="text1"/>
          <w:sz w:val="24"/>
          <w:szCs w:val="24"/>
        </w:rPr>
        <w:t xml:space="preserve">the normal </w:t>
      </w:r>
      <w:r w:rsidRPr="009B663C">
        <w:rPr>
          <w:color w:val="000000" w:themeColor="text1"/>
          <w:sz w:val="24"/>
          <w:szCs w:val="24"/>
        </w:rPr>
        <w:t xml:space="preserve">rat. For instance, in the case group rat’s ovarian follicular atresia as well as the medullary hemorrhage was noticeable compared to the placebo which is shown in photomicrograph 1 and 2 respectively. Similarly, the </w:t>
      </w:r>
      <w:r w:rsidRPr="009B663C">
        <w:rPr>
          <w:color w:val="000000" w:themeColor="text1"/>
          <w:sz w:val="24"/>
          <w:szCs w:val="24"/>
        </w:rPr>
        <w:lastRenderedPageBreak/>
        <w:t>distinguishable distortion of uterine tube epithelium was seen in case group rats compared to the normal group rats as demonstrated in photomicrograph 3 and 4 respectively.</w:t>
      </w: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r w:rsidRPr="009B663C">
        <w:rPr>
          <w:noProof/>
          <w:color w:val="000000" w:themeColor="text1"/>
          <w:sz w:val="24"/>
          <w:szCs w:val="24"/>
        </w:rPr>
        <mc:AlternateContent>
          <mc:Choice Requires="wps">
            <w:drawing>
              <wp:anchor distT="45720" distB="45720" distL="114300" distR="114300" simplePos="0" relativeHeight="251654656" behindDoc="0" locked="0" layoutInCell="1" allowOverlap="1">
                <wp:simplePos x="0" y="0"/>
                <wp:positionH relativeFrom="column">
                  <wp:posOffset>-161290</wp:posOffset>
                </wp:positionH>
                <wp:positionV relativeFrom="paragraph">
                  <wp:posOffset>120015</wp:posOffset>
                </wp:positionV>
                <wp:extent cx="2901315" cy="2573020"/>
                <wp:effectExtent l="0" t="0" r="13335" b="1778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1315" cy="2573020"/>
                        </a:xfrm>
                        <a:prstGeom prst="rect">
                          <a:avLst/>
                        </a:prstGeom>
                        <a:solidFill>
                          <a:srgbClr val="FFFFFF"/>
                        </a:solidFill>
                        <a:ln w="9525">
                          <a:solidFill>
                            <a:srgbClr val="000000"/>
                          </a:solidFill>
                          <a:miter lim="800000"/>
                          <a:headEnd/>
                          <a:tailEnd/>
                        </a:ln>
                      </wps:spPr>
                      <wps:txbx>
                        <w:txbxContent>
                          <w:p w:rsidR="0005757A" w:rsidRDefault="0005757A" w:rsidP="0005757A">
                            <w:r w:rsidRPr="00FE2280">
                              <w:rPr>
                                <w:noProof/>
                                <w:sz w:val="24"/>
                                <w:szCs w:val="24"/>
                              </w:rPr>
                              <w:drawing>
                                <wp:inline distT="0" distB="0" distL="0" distR="0" wp14:anchorId="025A81B3" wp14:editId="652E51E5">
                                  <wp:extent cx="2683565" cy="1524490"/>
                                  <wp:effectExtent l="0" t="0" r="2540" b="0"/>
                                  <wp:docPr id="9" name="Picture 9" descr="C:\Users\Samjhana\Downloads\stud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jhana\Downloads\study2.jpg"/>
                                          <pic:cNvPicPr>
                                            <a:picLocks noChangeAspect="1" noChangeArrowheads="1"/>
                                          </pic:cNvPicPr>
                                        </pic:nvPicPr>
                                        <pic:blipFill rotWithShape="1">
                                          <a:blip r:embed="rId4">
                                            <a:extLst>
                                              <a:ext uri="{28A0092B-C50C-407E-A947-70E740481C1C}">
                                                <a14:useLocalDpi xmlns:a14="http://schemas.microsoft.com/office/drawing/2010/main" val="0"/>
                                              </a:ext>
                                            </a:extLst>
                                          </a:blip>
                                          <a:srcRect l="27375" t="24468" r="28503" b="9380"/>
                                          <a:stretch/>
                                        </pic:blipFill>
                                        <pic:spPr bwMode="auto">
                                          <a:xfrm>
                                            <a:off x="0" y="0"/>
                                            <a:ext cx="2762313" cy="156922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Photomicrograph 1: T. S of ovary of case group rat showing the medullary hemorrhage and follicular degeneration (H &amp; E × 10). </w:t>
                            </w:r>
                            <w:r w:rsidR="00227FB3">
                              <w:t>Green</w:t>
                            </w:r>
                            <w:r>
                              <w:t xml:space="preserve"> arrow showing hemorrhage. Blue arrow showing follicular atresia and degeneration.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17" o:spid="_x0000_s1026" type="#_x0000_t202" style="position:absolute;left:0;text-align:left;margin-left:-12.7pt;margin-top:9.45pt;width:228.45pt;height:202.6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">
                <v:textbox>
                  <w:txbxContent>
                    <w:p w:rsidR="0005757A" w:rsidRDefault="0005757A" w:rsidP="0005757A">
                      <w:r w:rsidRPr="00FE2280">
                        <w:rPr>
                          <w:noProof/>
                          <w:sz w:val="24"/>
                          <w:szCs w:val="24"/>
                        </w:rPr>
                        <w:drawing>
                          <wp:inline distT="0" distB="0" distL="0" distR="0" wp14:anchorId="025A81B3" wp14:editId="652E51E5">
                            <wp:extent cx="2683565" cy="1524490"/>
                            <wp:effectExtent l="0" t="0" r="2540" b="0"/>
                            <wp:docPr id="9" name="Picture 9" descr="C:\Users\Samjhana\Downloads\study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jhana\Downloads\study2.jpg"/>
                                    <pic:cNvPicPr>
                                      <a:picLocks noChangeAspect="1" noChangeArrowheads="1"/>
                                    </pic:cNvPicPr>
                                  </pic:nvPicPr>
                                  <pic:blipFill rotWithShape="1">
                                    <a:blip r:embed="rId4">
                                      <a:extLst>
                                        <a:ext uri="{28A0092B-C50C-407E-A947-70E740481C1C}">
                                          <a14:useLocalDpi xmlns:a14="http://schemas.microsoft.com/office/drawing/2010/main" val="0"/>
                                        </a:ext>
                                      </a:extLst>
                                    </a:blip>
                                    <a:srcRect l="27375" t="24468" r="28503" b="9380"/>
                                    <a:stretch/>
                                  </pic:blipFill>
                                  <pic:spPr bwMode="auto">
                                    <a:xfrm>
                                      <a:off x="0" y="0"/>
                                      <a:ext cx="2762313" cy="156922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Photomicrograph 1: T. S of ovary of case group rat showing the medullary hemorrhage and follicular degeneration (H &amp; E × 10). </w:t>
                      </w:r>
                      <w:r w:rsidR="00227FB3">
                        <w:t>Green</w:t>
                      </w:r>
                      <w:r>
                        <w:t xml:space="preserve"> arrow showing hemorrhage. Blue arrow showing follicular atresia and degeneration.</w:t>
                      </w:r>
                    </w:p>
                  </w:txbxContent>
                </v:textbox>
                <w10:wrap type="square"/>
              </v:shape>
            </w:pict>
          </mc:Fallback>
        </mc:AlternateContent>
      </w:r>
      <w:r w:rsidRPr="009B663C">
        <w:rPr>
          <w:noProof/>
          <w:color w:val="000000" w:themeColor="text1"/>
          <w:sz w:val="24"/>
          <w:szCs w:val="24"/>
        </w:rPr>
        <mc:AlternateContent>
          <mc:Choice Requires="wps">
            <w:drawing>
              <wp:anchor distT="45720" distB="45720" distL="114300" distR="114300" simplePos="0" relativeHeight="251655680" behindDoc="0" locked="0" layoutInCell="1" allowOverlap="1">
                <wp:simplePos x="0" y="0"/>
                <wp:positionH relativeFrom="column">
                  <wp:posOffset>3486150</wp:posOffset>
                </wp:positionH>
                <wp:positionV relativeFrom="paragraph">
                  <wp:posOffset>110490</wp:posOffset>
                </wp:positionV>
                <wp:extent cx="2707640" cy="2552065"/>
                <wp:effectExtent l="0" t="0" r="16510" b="1968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7640" cy="2552065"/>
                        </a:xfrm>
                        <a:prstGeom prst="rect">
                          <a:avLst/>
                        </a:prstGeom>
                        <a:solidFill>
                          <a:srgbClr val="FFFFFF"/>
                        </a:solidFill>
                        <a:ln w="9525">
                          <a:solidFill>
                            <a:srgbClr val="000000"/>
                          </a:solidFill>
                          <a:miter lim="800000"/>
                          <a:headEnd/>
                          <a:tailEnd/>
                        </a:ln>
                      </wps:spPr>
                      <wps:txbx>
                        <w:txbxContent>
                          <w:p w:rsidR="0005757A" w:rsidRPr="00602FA6" w:rsidRDefault="0005757A" w:rsidP="0005757A">
                            <w:pPr>
                              <w:rPr>
                                <w:noProof/>
                                <w:sz w:val="24"/>
                                <w:szCs w:val="24"/>
                              </w:rPr>
                            </w:pPr>
                            <w:r w:rsidRPr="00DD0029">
                              <w:rPr>
                                <w:noProof/>
                              </w:rPr>
                              <w:drawing>
                                <wp:inline distT="0" distB="0" distL="0" distR="0" wp14:anchorId="7BB392AA" wp14:editId="330E71D4">
                                  <wp:extent cx="1725279" cy="2492026"/>
                                  <wp:effectExtent l="0" t="2540" r="6350" b="6350"/>
                                  <wp:docPr id="13" name="Picture 13" descr="C:\Users\Samjhana\Downloads\study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jhana\Downloads\study19.jpg"/>
                                          <pic:cNvPicPr>
                                            <a:picLocks noChangeAspect="1" noChangeArrowheads="1"/>
                                          </pic:cNvPicPr>
                                        </pic:nvPicPr>
                                        <pic:blipFill rotWithShape="1">
                                          <a:blip r:embed="rId5">
                                            <a:extLst>
                                              <a:ext uri="{28A0092B-C50C-407E-A947-70E740481C1C}">
                                                <a14:useLocalDpi xmlns:a14="http://schemas.microsoft.com/office/drawing/2010/main" val="0"/>
                                              </a:ext>
                                            </a:extLst>
                                          </a:blip>
                                          <a:srcRect l="23570" t="18903" r="26759" b="10229"/>
                                          <a:stretch/>
                                        </pic:blipFill>
                                        <pic:spPr bwMode="auto">
                                          <a:xfrm rot="5400000">
                                            <a:off x="0" y="0"/>
                                            <a:ext cx="1753918" cy="2533393"/>
                                          </a:xfrm>
                                          <a:prstGeom prst="rect">
                                            <a:avLst/>
                                          </a:prstGeom>
                                          <a:noFill/>
                                          <a:ln>
                                            <a:noFill/>
                                          </a:ln>
                                          <a:extLst>
                                            <a:ext uri="{53640926-AAD7-44D8-BBD7-CCE9431645EC}">
                                              <a14:shadowObscured xmlns:a14="http://schemas.microsoft.com/office/drawing/2010/main"/>
                                            </a:ext>
                                          </a:extLst>
                                        </pic:spPr>
                                      </pic:pic>
                                    </a:graphicData>
                                  </a:graphic>
                                </wp:inline>
                              </w:drawing>
                            </w:r>
                          </w:p>
                          <w:p w:rsidR="0005757A" w:rsidRDefault="0005757A" w:rsidP="0005757A">
                            <w:r>
                              <w:t>Photomicrograph 2:  T. S of ovary of normal group rat ((H &amp; E × 10)</w:t>
                            </w:r>
                          </w:p>
                          <w:p w:rsidR="0005757A" w:rsidRDefault="0005757A" w:rsidP="000575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1" o:spid="_x0000_s1027" type="#_x0000_t202" style="position:absolute;left:0;text-align:left;margin-left:274.5pt;margin-top:8.7pt;width:213.2pt;height:200.9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">
                <v:textbox>
                  <w:txbxContent>
                    <w:p w:rsidR="0005757A" w:rsidRPr="00602FA6" w:rsidRDefault="0005757A" w:rsidP="0005757A">
                      <w:pPr>
                        <w:rPr>
                          <w:noProof/>
                          <w:sz w:val="24"/>
                          <w:szCs w:val="24"/>
                        </w:rPr>
                      </w:pPr>
                      <w:r w:rsidRPr="00DD0029">
                        <w:rPr>
                          <w:noProof/>
                        </w:rPr>
                        <w:drawing>
                          <wp:inline distT="0" distB="0" distL="0" distR="0" wp14:anchorId="7BB392AA" wp14:editId="330E71D4">
                            <wp:extent cx="1725279" cy="2492026"/>
                            <wp:effectExtent l="0" t="2540" r="6350" b="6350"/>
                            <wp:docPr id="13" name="Picture 13" descr="C:\Users\Samjhana\Downloads\study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jhana\Downloads\study19.jpg"/>
                                    <pic:cNvPicPr>
                                      <a:picLocks noChangeAspect="1" noChangeArrowheads="1"/>
                                    </pic:cNvPicPr>
                                  </pic:nvPicPr>
                                  <pic:blipFill rotWithShape="1">
                                    <a:blip r:embed="rId5">
                                      <a:extLst>
                                        <a:ext uri="{28A0092B-C50C-407E-A947-70E740481C1C}">
                                          <a14:useLocalDpi xmlns:a14="http://schemas.microsoft.com/office/drawing/2010/main" val="0"/>
                                        </a:ext>
                                      </a:extLst>
                                    </a:blip>
                                    <a:srcRect l="23570" t="18903" r="26759" b="10229"/>
                                    <a:stretch/>
                                  </pic:blipFill>
                                  <pic:spPr bwMode="auto">
                                    <a:xfrm rot="5400000">
                                      <a:off x="0" y="0"/>
                                      <a:ext cx="1753918" cy="2533393"/>
                                    </a:xfrm>
                                    <a:prstGeom prst="rect">
                                      <a:avLst/>
                                    </a:prstGeom>
                                    <a:noFill/>
                                    <a:ln>
                                      <a:noFill/>
                                    </a:ln>
                                    <a:extLst>
                                      <a:ext uri="{53640926-AAD7-44D8-BBD7-CCE9431645EC}">
                                        <a14:shadowObscured xmlns:a14="http://schemas.microsoft.com/office/drawing/2010/main"/>
                                      </a:ext>
                                    </a:extLst>
                                  </pic:spPr>
                                </pic:pic>
                              </a:graphicData>
                            </a:graphic>
                          </wp:inline>
                        </w:drawing>
                      </w:r>
                    </w:p>
                    <w:p w:rsidR="0005757A" w:rsidRDefault="0005757A" w:rsidP="0005757A">
                      <w:r>
                        <w:t>Photomicrograph 2:  T. S of ovary of normal group rat ((H &amp; E × 10)</w:t>
                      </w:r>
                    </w:p>
                    <w:p w:rsidR="0005757A" w:rsidRDefault="0005757A" w:rsidP="0005757A"/>
                  </w:txbxContent>
                </v:textbox>
                <w10:wrap type="square"/>
              </v:shape>
            </w:pict>
          </mc:Fallback>
        </mc:AlternateContent>
      </w:r>
    </w:p>
    <w:p w:rsidR="0005757A" w:rsidRPr="009B663C" w:rsidRDefault="00FC2C30" w:rsidP="001D2DE1">
      <w:pPr>
        <w:spacing w:line="480" w:lineRule="auto"/>
        <w:jc w:val="both"/>
        <w:rPr>
          <w:color w:val="000000" w:themeColor="text1"/>
          <w:sz w:val="24"/>
          <w:szCs w:val="24"/>
        </w:rPr>
      </w:pPr>
      <w:r w:rsidRPr="009B663C">
        <w:rPr>
          <w:noProof/>
          <w:color w:val="000000" w:themeColor="text1"/>
          <w:sz w:val="24"/>
          <w:szCs w:val="24"/>
        </w:rPr>
        <mc:AlternateContent>
          <mc:Choice Requires="wps">
            <w:drawing>
              <wp:anchor distT="0" distB="0" distL="114300" distR="114300" simplePos="0" relativeHeight="251656704" behindDoc="0" locked="0" layoutInCell="1" allowOverlap="1">
                <wp:simplePos x="0" y="0"/>
                <wp:positionH relativeFrom="margin">
                  <wp:posOffset>-123190</wp:posOffset>
                </wp:positionH>
                <wp:positionV relativeFrom="paragraph">
                  <wp:posOffset>351155</wp:posOffset>
                </wp:positionV>
                <wp:extent cx="589280" cy="88265"/>
                <wp:effectExtent l="0" t="19050" r="39370" b="45085"/>
                <wp:wrapNone/>
                <wp:docPr id="8" name="Right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80" cy="88265"/>
                        </a:xfrm>
                        <a:prstGeom prst="rightArrow">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9A9E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 o:spid="_x0000_s1026" type="#_x0000_t13" style="position:absolute;margin-left:-9.7pt;margin-top:27.65pt;width:46.4pt;height:6.9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" adj="19982" fillcolor="#00b050" strokecolor="#1f4d78 [1604]" strokeweight="1pt">
                <v:path arrowok="t"/>
                <w10:wrap anchorx="margin"/>
              </v:shape>
            </w:pict>
          </mc:Fallback>
        </mc:AlternateContent>
      </w:r>
    </w:p>
    <w:p w:rsidR="0005757A" w:rsidRPr="009B663C" w:rsidRDefault="00FC2C30" w:rsidP="001D2DE1">
      <w:pPr>
        <w:spacing w:line="480" w:lineRule="auto"/>
        <w:jc w:val="both"/>
        <w:rPr>
          <w:color w:val="000000" w:themeColor="text1"/>
          <w:sz w:val="24"/>
          <w:szCs w:val="24"/>
        </w:rPr>
      </w:pPr>
      <w:r w:rsidRPr="009B663C">
        <w:rPr>
          <w:noProof/>
          <w:color w:val="000000" w:themeColor="text1"/>
          <w:sz w:val="24"/>
          <w:szCs w:val="24"/>
        </w:rPr>
        <mc:AlternateContent>
          <mc:Choice Requires="wps">
            <w:drawing>
              <wp:anchor distT="0" distB="0" distL="114300" distR="114300" simplePos="0" relativeHeight="251657728" behindDoc="0" locked="0" layoutInCell="1" allowOverlap="1">
                <wp:simplePos x="0" y="0"/>
                <wp:positionH relativeFrom="column">
                  <wp:posOffset>784860</wp:posOffset>
                </wp:positionH>
                <wp:positionV relativeFrom="paragraph">
                  <wp:posOffset>123190</wp:posOffset>
                </wp:positionV>
                <wp:extent cx="790575" cy="122555"/>
                <wp:effectExtent l="0" t="19050" r="47625" b="29845"/>
                <wp:wrapNone/>
                <wp:docPr id="10" name="Right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12255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50007" id="Right Arrow 10" o:spid="_x0000_s1026" type="#_x0000_t13" style="position:absolute;margin-left:61.8pt;margin-top:9.7pt;width:62.25pt;height:9.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" adj="19926" fillcolor="#5b9bd5 [3204]" strokecolor="#1f4d78 [1604]" strokeweight="1pt">
                <v:path arrowok="t"/>
              </v:shape>
            </w:pict>
          </mc:Fallback>
        </mc:AlternateContent>
      </w: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r w:rsidRPr="009B663C">
        <w:rPr>
          <w:noProof/>
          <w:color w:val="000000" w:themeColor="text1"/>
          <w:sz w:val="24"/>
          <w:szCs w:val="24"/>
        </w:rPr>
        <w:lastRenderedPageBreak/>
        <mc:AlternateContent>
          <mc:Choice Requires="wps">
            <w:drawing>
              <wp:anchor distT="45720" distB="45720" distL="114300" distR="114300" simplePos="0" relativeHeight="251658752" behindDoc="0" locked="0" layoutInCell="1" allowOverlap="1">
                <wp:simplePos x="0" y="0"/>
                <wp:positionH relativeFrom="column">
                  <wp:posOffset>19050</wp:posOffset>
                </wp:positionH>
                <wp:positionV relativeFrom="paragraph">
                  <wp:posOffset>0</wp:posOffset>
                </wp:positionV>
                <wp:extent cx="2754630" cy="2567940"/>
                <wp:effectExtent l="0" t="0" r="26670" b="2286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4630" cy="2567940"/>
                        </a:xfrm>
                        <a:prstGeom prst="rect">
                          <a:avLst/>
                        </a:prstGeom>
                        <a:solidFill>
                          <a:srgbClr val="FFFFFF"/>
                        </a:solidFill>
                        <a:ln w="9525">
                          <a:solidFill>
                            <a:srgbClr val="000000"/>
                          </a:solidFill>
                          <a:miter lim="800000"/>
                          <a:headEnd/>
                          <a:tailEnd/>
                        </a:ln>
                      </wps:spPr>
                      <wps:txbx>
                        <w:txbxContent>
                          <w:p w:rsidR="0005757A" w:rsidRDefault="00405347" w:rsidP="0005757A">
                            <w:r w:rsidRPr="006D187F">
                              <w:rPr>
                                <w:noProof/>
                              </w:rPr>
                              <w:drawing>
                                <wp:inline distT="0" distB="0" distL="0" distR="0" wp14:anchorId="15502BC4" wp14:editId="3FABC889">
                                  <wp:extent cx="2544417" cy="1837055"/>
                                  <wp:effectExtent l="19050" t="0" r="8283" b="0"/>
                                  <wp:docPr id="6" name="Picture 6" descr="C:\Users\Samjhana\Downloads\study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jhana\Downloads\study13.jpg"/>
                                          <pic:cNvPicPr>
                                            <a:picLocks noChangeAspect="1" noChangeArrowheads="1"/>
                                          </pic:cNvPicPr>
                                        </pic:nvPicPr>
                                        <pic:blipFill rotWithShape="1">
                                          <a:blip r:embed="rId6">
                                            <a:extLst>
                                              <a:ext uri="{28A0092B-C50C-407E-A947-70E740481C1C}">
                                                <a14:useLocalDpi xmlns:a14="http://schemas.microsoft.com/office/drawing/2010/main" val="0"/>
                                              </a:ext>
                                            </a:extLst>
                                          </a:blip>
                                          <a:srcRect l="31323" t="40727" r="51251" b="29628"/>
                                          <a:stretch/>
                                        </pic:blipFill>
                                        <pic:spPr bwMode="auto">
                                          <a:xfrm>
                                            <a:off x="0" y="0"/>
                                            <a:ext cx="2544417" cy="1837055"/>
                                          </a:xfrm>
                                          <a:prstGeom prst="rect">
                                            <a:avLst/>
                                          </a:prstGeom>
                                          <a:noFill/>
                                          <a:ln>
                                            <a:noFill/>
                                          </a:ln>
                                          <a:extLst>
                                            <a:ext uri="{53640926-AAD7-44D8-BBD7-CCE9431645EC}">
                                              <a14:shadowObscured xmlns:a14="http://schemas.microsoft.com/office/drawing/2010/main"/>
                                            </a:ext>
                                          </a:extLst>
                                        </pic:spPr>
                                      </pic:pic>
                                    </a:graphicData>
                                  </a:graphic>
                                </wp:inline>
                              </w:drawing>
                            </w:r>
                          </w:p>
                          <w:p w:rsidR="0005757A" w:rsidRDefault="0005757A" w:rsidP="0005757A">
                            <w:r>
                              <w:t>Photomicrograph 3: T. S of uterine tube of case group rat, arrow showing the epithelial atrophy (H &amp; E × 10)</w:t>
                            </w:r>
                          </w:p>
                          <w:p w:rsidR="0005757A" w:rsidRDefault="0005757A" w:rsidP="0005757A"/>
                          <w:p w:rsidR="0005757A" w:rsidRDefault="0005757A" w:rsidP="000575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left:0;text-align:left;margin-left:1.5pt;margin-top:0;width:216.9pt;height:202.2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">
                <v:textbox>
                  <w:txbxContent>
                    <w:p w:rsidR="0005757A" w:rsidRDefault="00405347" w:rsidP="0005757A">
                      <w:r w:rsidRPr="006D187F">
                        <w:rPr>
                          <w:noProof/>
                        </w:rPr>
                        <w:drawing>
                          <wp:inline distT="0" distB="0" distL="0" distR="0" wp14:anchorId="15502BC4" wp14:editId="3FABC889">
                            <wp:extent cx="2544417" cy="1837055"/>
                            <wp:effectExtent l="19050" t="0" r="8283" b="0"/>
                            <wp:docPr id="6" name="Picture 6" descr="C:\Users\Samjhana\Downloads\study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jhana\Downloads\study13.jpg"/>
                                    <pic:cNvPicPr>
                                      <a:picLocks noChangeAspect="1" noChangeArrowheads="1"/>
                                    </pic:cNvPicPr>
                                  </pic:nvPicPr>
                                  <pic:blipFill rotWithShape="1">
                                    <a:blip r:embed="rId6">
                                      <a:extLst>
                                        <a:ext uri="{28A0092B-C50C-407E-A947-70E740481C1C}">
                                          <a14:useLocalDpi xmlns:a14="http://schemas.microsoft.com/office/drawing/2010/main" val="0"/>
                                        </a:ext>
                                      </a:extLst>
                                    </a:blip>
                                    <a:srcRect l="31323" t="40727" r="51251" b="29628"/>
                                    <a:stretch/>
                                  </pic:blipFill>
                                  <pic:spPr bwMode="auto">
                                    <a:xfrm>
                                      <a:off x="0" y="0"/>
                                      <a:ext cx="2544417" cy="1837055"/>
                                    </a:xfrm>
                                    <a:prstGeom prst="rect">
                                      <a:avLst/>
                                    </a:prstGeom>
                                    <a:noFill/>
                                    <a:ln>
                                      <a:noFill/>
                                    </a:ln>
                                    <a:extLst>
                                      <a:ext uri="{53640926-AAD7-44D8-BBD7-CCE9431645EC}">
                                        <a14:shadowObscured xmlns:a14="http://schemas.microsoft.com/office/drawing/2010/main"/>
                                      </a:ext>
                                    </a:extLst>
                                  </pic:spPr>
                                </pic:pic>
                              </a:graphicData>
                            </a:graphic>
                          </wp:inline>
                        </w:drawing>
                      </w:r>
                    </w:p>
                    <w:p w:rsidR="0005757A" w:rsidRDefault="0005757A" w:rsidP="0005757A">
                      <w:r>
                        <w:t>Photomicrograph 3: T. S of uterine tube of case group rat, arrow showing the epithelial atrophy (H &amp; E × 10)</w:t>
                      </w:r>
                    </w:p>
                    <w:p w:rsidR="0005757A" w:rsidRDefault="0005757A" w:rsidP="0005757A"/>
                    <w:p w:rsidR="0005757A" w:rsidRDefault="0005757A" w:rsidP="0005757A"/>
                  </w:txbxContent>
                </v:textbox>
                <w10:wrap type="square"/>
              </v:shape>
            </w:pict>
          </mc:Fallback>
        </mc:AlternateContent>
      </w:r>
      <w:r w:rsidRPr="009B663C">
        <w:rPr>
          <w:noProof/>
          <w:color w:val="000000" w:themeColor="text1"/>
          <w:sz w:val="24"/>
          <w:szCs w:val="24"/>
        </w:rPr>
        <mc:AlternateContent>
          <mc:Choice Requires="wps">
            <w:drawing>
              <wp:anchor distT="45720" distB="45720" distL="114300" distR="114300" simplePos="0" relativeHeight="251659776" behindDoc="0" locked="0" layoutInCell="1" allowOverlap="1">
                <wp:simplePos x="0" y="0"/>
                <wp:positionH relativeFrom="margin">
                  <wp:posOffset>3498215</wp:posOffset>
                </wp:positionH>
                <wp:positionV relativeFrom="paragraph">
                  <wp:posOffset>0</wp:posOffset>
                </wp:positionV>
                <wp:extent cx="2679065" cy="2504440"/>
                <wp:effectExtent l="0" t="0" r="26035" b="1016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2504440"/>
                        </a:xfrm>
                        <a:prstGeom prst="rect">
                          <a:avLst/>
                        </a:prstGeom>
                        <a:solidFill>
                          <a:srgbClr val="FFFFFF"/>
                        </a:solidFill>
                        <a:ln w="9525">
                          <a:solidFill>
                            <a:srgbClr val="000000"/>
                          </a:solidFill>
                          <a:miter lim="800000"/>
                          <a:headEnd/>
                          <a:tailEnd/>
                        </a:ln>
                      </wps:spPr>
                      <wps:txbx>
                        <w:txbxContent>
                          <w:p w:rsidR="0005757A" w:rsidRDefault="0005757A" w:rsidP="0005757A">
                            <w:r w:rsidRPr="006D187F">
                              <w:rPr>
                                <w:noProof/>
                              </w:rPr>
                              <w:drawing>
                                <wp:inline distT="0" distB="0" distL="0" distR="0" wp14:anchorId="28232EA9" wp14:editId="68C1D67E">
                                  <wp:extent cx="2489200" cy="1899139"/>
                                  <wp:effectExtent l="0" t="0" r="6350" b="6350"/>
                                  <wp:docPr id="4" name="Picture 4" descr="C:\Users\Samjhana\Downloads\study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jhana\Downloads\study18.jpg"/>
                                          <pic:cNvPicPr>
                                            <a:picLocks noChangeAspect="1" noChangeArrowheads="1"/>
                                          </pic:cNvPicPr>
                                        </pic:nvPicPr>
                                        <pic:blipFill rotWithShape="1">
                                          <a:blip r:embed="rId7">
                                            <a:extLst>
                                              <a:ext uri="{28A0092B-C50C-407E-A947-70E740481C1C}">
                                                <a14:useLocalDpi xmlns:a14="http://schemas.microsoft.com/office/drawing/2010/main" val="0"/>
                                              </a:ext>
                                            </a:extLst>
                                          </a:blip>
                                          <a:srcRect l="29935" t="25537" r="31244" b="5008"/>
                                          <a:stretch/>
                                        </pic:blipFill>
                                        <pic:spPr bwMode="auto">
                                          <a:xfrm>
                                            <a:off x="0" y="0"/>
                                            <a:ext cx="2519699" cy="1922408"/>
                                          </a:xfrm>
                                          <a:prstGeom prst="rect">
                                            <a:avLst/>
                                          </a:prstGeom>
                                          <a:noFill/>
                                          <a:ln>
                                            <a:noFill/>
                                          </a:ln>
                                          <a:extLst>
                                            <a:ext uri="{53640926-AAD7-44D8-BBD7-CCE9431645EC}">
                                              <a14:shadowObscured xmlns:a14="http://schemas.microsoft.com/office/drawing/2010/main"/>
                                            </a:ext>
                                          </a:extLst>
                                        </pic:spPr>
                                      </pic:pic>
                                    </a:graphicData>
                                  </a:graphic>
                                </wp:inline>
                              </w:drawing>
                            </w:r>
                          </w:p>
                          <w:p w:rsidR="0005757A" w:rsidRDefault="0005757A" w:rsidP="0005757A">
                            <w:r>
                              <w:t>Photomicrograph 4: T. S of uterine tube of normal group rat (H &amp; E × 10)</w:t>
                            </w:r>
                          </w:p>
                          <w:p w:rsidR="0005757A" w:rsidRDefault="0005757A" w:rsidP="000575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left:0;text-align:left;margin-left:275.45pt;margin-top:0;width:210.95pt;height:197.2pt;z-index:25165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">
                <v:textbox>
                  <w:txbxContent>
                    <w:p w:rsidR="0005757A" w:rsidRDefault="0005757A" w:rsidP="0005757A">
                      <w:r w:rsidRPr="006D187F">
                        <w:rPr>
                          <w:noProof/>
                        </w:rPr>
                        <w:drawing>
                          <wp:inline distT="0" distB="0" distL="0" distR="0" wp14:anchorId="28232EA9" wp14:editId="68C1D67E">
                            <wp:extent cx="2489200" cy="1899139"/>
                            <wp:effectExtent l="0" t="0" r="6350" b="6350"/>
                            <wp:docPr id="4" name="Picture 4" descr="C:\Users\Samjhana\Downloads\study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jhana\Downloads\study18.jpg"/>
                                    <pic:cNvPicPr>
                                      <a:picLocks noChangeAspect="1" noChangeArrowheads="1"/>
                                    </pic:cNvPicPr>
                                  </pic:nvPicPr>
                                  <pic:blipFill rotWithShape="1">
                                    <a:blip r:embed="rId7">
                                      <a:extLst>
                                        <a:ext uri="{28A0092B-C50C-407E-A947-70E740481C1C}">
                                          <a14:useLocalDpi xmlns:a14="http://schemas.microsoft.com/office/drawing/2010/main" val="0"/>
                                        </a:ext>
                                      </a:extLst>
                                    </a:blip>
                                    <a:srcRect l="29935" t="25537" r="31244" b="5008"/>
                                    <a:stretch/>
                                  </pic:blipFill>
                                  <pic:spPr bwMode="auto">
                                    <a:xfrm>
                                      <a:off x="0" y="0"/>
                                      <a:ext cx="2519699" cy="1922408"/>
                                    </a:xfrm>
                                    <a:prstGeom prst="rect">
                                      <a:avLst/>
                                    </a:prstGeom>
                                    <a:noFill/>
                                    <a:ln>
                                      <a:noFill/>
                                    </a:ln>
                                    <a:extLst>
                                      <a:ext uri="{53640926-AAD7-44D8-BBD7-CCE9431645EC}">
                                        <a14:shadowObscured xmlns:a14="http://schemas.microsoft.com/office/drawing/2010/main"/>
                                      </a:ext>
                                    </a:extLst>
                                  </pic:spPr>
                                </pic:pic>
                              </a:graphicData>
                            </a:graphic>
                          </wp:inline>
                        </w:drawing>
                      </w:r>
                    </w:p>
                    <w:p w:rsidR="0005757A" w:rsidRDefault="0005757A" w:rsidP="0005757A">
                      <w:r>
                        <w:t>Photomicrograph 4: T. S of uterine tube of normal group rat (H &amp; E × 10)</w:t>
                      </w:r>
                    </w:p>
                    <w:p w:rsidR="0005757A" w:rsidRDefault="0005757A" w:rsidP="0005757A"/>
                  </w:txbxContent>
                </v:textbox>
                <w10:wrap type="square" anchorx="margin"/>
              </v:shape>
            </w:pict>
          </mc:Fallback>
        </mc:AlternateContent>
      </w: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3871F8" w:rsidP="001D2DE1">
      <w:pPr>
        <w:spacing w:line="480" w:lineRule="auto"/>
        <w:jc w:val="both"/>
        <w:rPr>
          <w:color w:val="000000" w:themeColor="text1"/>
          <w:sz w:val="24"/>
          <w:szCs w:val="24"/>
        </w:rPr>
      </w:pPr>
      <w:r w:rsidRPr="009B663C">
        <w:rPr>
          <w:noProof/>
          <w:color w:val="000000" w:themeColor="text1"/>
          <w:sz w:val="24"/>
          <w:szCs w:val="24"/>
        </w:rPr>
        <mc:AlternateContent>
          <mc:Choice Requires="wps">
            <w:drawing>
              <wp:anchor distT="0" distB="0" distL="114300" distR="114300" simplePos="0" relativeHeight="251660800" behindDoc="0" locked="0" layoutInCell="1" allowOverlap="1">
                <wp:simplePos x="0" y="0"/>
                <wp:positionH relativeFrom="column">
                  <wp:posOffset>676523</wp:posOffset>
                </wp:positionH>
                <wp:positionV relativeFrom="paragraph">
                  <wp:posOffset>284121</wp:posOffset>
                </wp:positionV>
                <wp:extent cx="527685" cy="79375"/>
                <wp:effectExtent l="0" t="19050" r="43815" b="34925"/>
                <wp:wrapNone/>
                <wp:docPr id="7" name="Right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685" cy="79375"/>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25C833" id="Right Arrow 7" o:spid="_x0000_s1026" type="#_x0000_t13" style="position:absolute;margin-left:53.25pt;margin-top:22.35pt;width:41.55pt;height:6.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" adj="19975" fillcolor="red" strokecolor="#1f4d78 [1604]" strokeweight="1pt">
                <v:path arrowok="t"/>
              </v:shape>
            </w:pict>
          </mc:Fallback>
        </mc:AlternateContent>
      </w: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b/>
          <w:color w:val="000000" w:themeColor="text1"/>
          <w:sz w:val="28"/>
          <w:szCs w:val="28"/>
        </w:rPr>
      </w:pPr>
      <w:r w:rsidRPr="009B663C">
        <w:rPr>
          <w:b/>
          <w:color w:val="000000" w:themeColor="text1"/>
          <w:sz w:val="28"/>
          <w:szCs w:val="28"/>
        </w:rPr>
        <w:t xml:space="preserve">Discussion </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t xml:space="preserve">DMPA has been mostly used for contraception by many females without any specific medical supervision particularly in developing countries. With increased popularity, this drug has been also in attention for the peaking osteoporosis, obesity and delayed fertility return problem in the users. Present study found distinguishable distortion in the </w:t>
      </w:r>
      <w:r w:rsidR="00EC54FB" w:rsidRPr="009B663C">
        <w:rPr>
          <w:color w:val="000000" w:themeColor="text1"/>
          <w:sz w:val="24"/>
          <w:szCs w:val="24"/>
        </w:rPr>
        <w:t>ovary and uterine tube</w:t>
      </w:r>
      <w:r w:rsidRPr="009B663C">
        <w:rPr>
          <w:color w:val="000000" w:themeColor="text1"/>
          <w:sz w:val="24"/>
          <w:szCs w:val="24"/>
        </w:rPr>
        <w:t xml:space="preserve"> which might attribute for the delayed fertility return among prolonged user of this contraception. </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lastRenderedPageBreak/>
        <w:t>The medullary hemorrhage and follicular atresia was significant in the ovary of the DMPA treated ra</w:t>
      </w:r>
      <w:r w:rsidR="00AF3C34" w:rsidRPr="009B663C">
        <w:rPr>
          <w:color w:val="000000" w:themeColor="text1"/>
          <w:sz w:val="24"/>
          <w:szCs w:val="24"/>
        </w:rPr>
        <w:t xml:space="preserve">t compared to the untreated rat. </w:t>
      </w:r>
      <w:r w:rsidRPr="009B663C">
        <w:rPr>
          <w:color w:val="000000" w:themeColor="text1"/>
          <w:sz w:val="24"/>
          <w:szCs w:val="24"/>
        </w:rPr>
        <w:t xml:space="preserve">Similar findings were reported by a study conducted in rats by </w:t>
      </w:r>
      <w:bookmarkStart w:id="1" w:name="baep-author-id1"/>
      <w:r w:rsidRPr="009B663C">
        <w:rPr>
          <w:color w:val="000000" w:themeColor="text1"/>
          <w:sz w:val="24"/>
          <w:szCs w:val="24"/>
        </w:rPr>
        <w:fldChar w:fldCharType="begin"/>
      </w:r>
      <w:r w:rsidRPr="009B663C">
        <w:rPr>
          <w:color w:val="000000" w:themeColor="text1"/>
          <w:sz w:val="24"/>
          <w:szCs w:val="24"/>
        </w:rPr>
        <w:instrText xml:space="preserve"> HYPERLINK "https://www.sciencedirect.com/science/article/pii/0010782488900224" \l "!" </w:instrText>
      </w:r>
      <w:r w:rsidRPr="009B663C">
        <w:rPr>
          <w:color w:val="000000" w:themeColor="text1"/>
          <w:sz w:val="24"/>
          <w:szCs w:val="24"/>
        </w:rPr>
        <w:fldChar w:fldCharType="separate"/>
      </w:r>
      <w:r w:rsidRPr="009B663C">
        <w:rPr>
          <w:rFonts w:eastAsia="Times New Roman" w:cs="Arial"/>
          <w:color w:val="000000" w:themeColor="text1"/>
          <w:sz w:val="24"/>
          <w:szCs w:val="24"/>
        </w:rPr>
        <w:t>Bhowmik</w:t>
      </w:r>
      <w:r w:rsidRPr="009B663C">
        <w:rPr>
          <w:rFonts w:eastAsia="Times New Roman" w:cs="Arial"/>
          <w:color w:val="000000" w:themeColor="text1"/>
          <w:sz w:val="24"/>
          <w:szCs w:val="24"/>
        </w:rPr>
        <w:fldChar w:fldCharType="end"/>
      </w:r>
      <w:bookmarkStart w:id="2" w:name="baep-author-id2"/>
      <w:bookmarkEnd w:id="1"/>
      <w:r w:rsidRPr="009B663C">
        <w:rPr>
          <w:rFonts w:eastAsia="Times New Roman" w:cs="Arial"/>
          <w:color w:val="000000" w:themeColor="text1"/>
          <w:sz w:val="24"/>
          <w:szCs w:val="24"/>
        </w:rPr>
        <w:t>.T and Mukherjea.</w:t>
      </w:r>
      <w:bookmarkEnd w:id="2"/>
      <w:r w:rsidR="00535230" w:rsidRPr="009B663C">
        <w:rPr>
          <w:rFonts w:eastAsia="Times New Roman" w:cs="Arial"/>
          <w:color w:val="000000" w:themeColor="text1"/>
          <w:sz w:val="24"/>
          <w:szCs w:val="24"/>
        </w:rPr>
        <w:t xml:space="preserve"> </w:t>
      </w:r>
      <w:r w:rsidRPr="009B663C">
        <w:rPr>
          <w:color w:val="000000" w:themeColor="text1"/>
          <w:sz w:val="24"/>
          <w:szCs w:val="24"/>
        </w:rPr>
        <w:t xml:space="preserve">M </w:t>
      </w:r>
      <w:r w:rsidRPr="009B663C">
        <w:rPr>
          <w:rFonts w:eastAsia="Times New Roman" w:cs="Arial"/>
          <w:color w:val="000000" w:themeColor="text1"/>
          <w:sz w:val="24"/>
          <w:szCs w:val="24"/>
        </w:rPr>
        <w:t xml:space="preserve">who found the degeneration of ovarian follicle along with follicular atresia in DMPA treated rat which can be due to the apoptotic effect of progesterone on the ovarian follicle.  While the hemorrhage can be due to the toxic effect of DMPA. </w:t>
      </w:r>
      <w:r w:rsidRPr="009B663C">
        <w:rPr>
          <w:rFonts w:eastAsia="Times New Roman" w:cs="Arial"/>
          <w:color w:val="000000" w:themeColor="text1"/>
          <w:sz w:val="24"/>
          <w:szCs w:val="24"/>
          <w:vertAlign w:val="superscript"/>
        </w:rPr>
        <w:fldChar w:fldCharType="begin" w:fldLock="1"/>
      </w:r>
      <w:r w:rsidRPr="009B663C">
        <w:rPr>
          <w:rFonts w:eastAsia="Times New Roman" w:cs="Arial"/>
          <w:color w:val="000000" w:themeColor="text1"/>
          <w:sz w:val="24"/>
          <w:szCs w:val="24"/>
          <w:vertAlign w:val="superscript"/>
        </w:rPr>
        <w:instrText>ADDIN CSL_CITATION { "citationItems" : [ { "id" : "ITEM-1", "itemData" : { "author" : [ { "dropping-particle" : "", "family" : "Bhowmik", "given" : "T", "non-dropping-particle" : "", "parse-names" : false, "suffix" : "" }, { "dropping-particle" : "", "family" : "Mukherjea", "given" : "M.", "non-dropping-particle" : "", "parse-names" : false, "suffix" : "" } ], "container-title" : "Contraception", "id" : "ITEM-1", "issue" : "5", "issued" : { "date-parts" : [ [ "1988" ] ] }, "page" : "529\u2013538", "title" : "\u201cHistological changes in the ovary and uterus of rat after injectable contraceptive therapy\".", "type" : "article-journal", "volume" : "37" }, "uris" : [ "http://www.mendeley.com/documents/?uuid=8c896b76-8170-469c-9478-40e077af50a0" ] } ], "mendeley" : { "formattedCitation" : "(15)", "plainTextFormattedCitation" : "(15)", "previouslyFormattedCitation" : "(14)" }, "properties" : { "noteIndex" : 0 }, "schema" : "https://github.com/citation-style-language/schema/raw/master/csl-citation.json" }</w:instrText>
      </w:r>
      <w:r w:rsidRPr="009B663C">
        <w:rPr>
          <w:rFonts w:eastAsia="Times New Roman" w:cs="Arial"/>
          <w:color w:val="000000" w:themeColor="text1"/>
          <w:sz w:val="24"/>
          <w:szCs w:val="24"/>
          <w:vertAlign w:val="superscript"/>
        </w:rPr>
        <w:fldChar w:fldCharType="separate"/>
      </w:r>
      <w:r w:rsidRPr="009B663C">
        <w:rPr>
          <w:rFonts w:eastAsia="Times New Roman" w:cs="Arial"/>
          <w:noProof/>
          <w:color w:val="000000" w:themeColor="text1"/>
          <w:sz w:val="24"/>
          <w:szCs w:val="24"/>
          <w:vertAlign w:val="superscript"/>
        </w:rPr>
        <w:t>(15)</w:t>
      </w:r>
      <w:r w:rsidRPr="009B663C">
        <w:rPr>
          <w:rFonts w:eastAsia="Times New Roman" w:cs="Arial"/>
          <w:color w:val="000000" w:themeColor="text1"/>
          <w:sz w:val="24"/>
          <w:szCs w:val="24"/>
          <w:vertAlign w:val="superscript"/>
        </w:rPr>
        <w:fldChar w:fldCharType="end"/>
      </w:r>
    </w:p>
    <w:p w:rsidR="0005757A" w:rsidRPr="009B663C" w:rsidRDefault="0005757A" w:rsidP="001D2DE1">
      <w:pPr>
        <w:autoSpaceDE w:val="0"/>
        <w:autoSpaceDN w:val="0"/>
        <w:adjustRightInd w:val="0"/>
        <w:spacing w:after="0" w:line="480" w:lineRule="auto"/>
        <w:jc w:val="both"/>
        <w:rPr>
          <w:rFonts w:cs="Agency FB,Bold"/>
          <w:bCs/>
          <w:color w:val="000000" w:themeColor="text1"/>
          <w:sz w:val="24"/>
          <w:szCs w:val="24"/>
        </w:rPr>
      </w:pPr>
      <w:r w:rsidRPr="009B663C">
        <w:rPr>
          <w:rFonts w:eastAsia="Times New Roman" w:cs="Arial"/>
          <w:color w:val="000000" w:themeColor="text1"/>
          <w:sz w:val="24"/>
          <w:szCs w:val="24"/>
        </w:rPr>
        <w:t xml:space="preserve">Another study conducted by </w:t>
      </w:r>
      <w:r w:rsidRPr="009B663C">
        <w:rPr>
          <w:rFonts w:cs="Times New Roman"/>
          <w:color w:val="000000" w:themeColor="text1"/>
          <w:sz w:val="24"/>
          <w:szCs w:val="24"/>
        </w:rPr>
        <w:t>Sivakumar. G and Kamakshi. K</w:t>
      </w:r>
      <w:r w:rsidRPr="009B663C">
        <w:rPr>
          <w:rFonts w:cs="Times New Roman"/>
          <w:color w:val="000000" w:themeColor="text1"/>
          <w:sz w:val="24"/>
          <w:szCs w:val="24"/>
          <w:shd w:val="clear" w:color="auto" w:fill="FFFFFF"/>
        </w:rPr>
        <w:t xml:space="preserve"> revealed significant decrease in the number of follicles as well as increased follicular atresia with massive size corpus luteum in DMPA treated rat.</w:t>
      </w:r>
      <w:r w:rsidRPr="009B663C">
        <w:rPr>
          <w:rFonts w:cs="Times New Roman"/>
          <w:color w:val="000000" w:themeColor="text1"/>
          <w:sz w:val="24"/>
          <w:szCs w:val="24"/>
          <w:shd w:val="clear" w:color="auto" w:fill="FFFFFF"/>
          <w:vertAlign w:val="superscript"/>
        </w:rPr>
        <w:fldChar w:fldCharType="begin" w:fldLock="1"/>
      </w:r>
      <w:r w:rsidRPr="009B663C">
        <w:rPr>
          <w:rFonts w:cs="Times New Roman"/>
          <w:color w:val="000000" w:themeColor="text1"/>
          <w:sz w:val="24"/>
          <w:szCs w:val="24"/>
          <w:shd w:val="clear" w:color="auto" w:fill="FFFFFF"/>
          <w:vertAlign w:val="superscript"/>
        </w:rPr>
        <w:instrText>ADDIN CSL_CITATION { "citationItems" : [ { "id" : "ITEM-1", "itemData" : { "author" : [ { "dropping-particle" : "", "family" : "Sivakumar", "given" : "Girija and Kamakshi.K", "non-dropping-particle" : "", "parse-names" : false, "suffix" : "" } ], "container-title" : "International Journal of Current Research and Review", "id" : "ITEM-1", "issue" : "05", "issued" : { "date-parts" : [ [ "2012" ] ] }, "title" : "Study of oestrous cycle and histomotphometry of ovary in DMPA and a polyherbal drug trated adult female albino rats.", "type" : "article-journal", "volume" : "04" }, "uris" : [ "http://www.mendeley.com/documents/?uuid=8b9a5b0d-e6f4-47e1-b330-8c1d0ba4a5c4" ] } ], "mendeley" : { "formattedCitation" : "(16)", "plainTextFormattedCitation" : "(16)", "previouslyFormattedCitation" : "(15)" }, "properties" : { "noteIndex" : 0 }, "schema" : "https://github.com/citation-style-language/schema/raw/master/csl-citation.json" }</w:instrText>
      </w:r>
      <w:r w:rsidRPr="009B663C">
        <w:rPr>
          <w:rFonts w:cs="Times New Roman"/>
          <w:color w:val="000000" w:themeColor="text1"/>
          <w:sz w:val="24"/>
          <w:szCs w:val="24"/>
          <w:shd w:val="clear" w:color="auto" w:fill="FFFFFF"/>
          <w:vertAlign w:val="superscript"/>
        </w:rPr>
        <w:fldChar w:fldCharType="separate"/>
      </w:r>
      <w:r w:rsidRPr="009B663C">
        <w:rPr>
          <w:rFonts w:cs="Times New Roman"/>
          <w:noProof/>
          <w:color w:val="000000" w:themeColor="text1"/>
          <w:sz w:val="24"/>
          <w:szCs w:val="24"/>
          <w:shd w:val="clear" w:color="auto" w:fill="FFFFFF"/>
          <w:vertAlign w:val="superscript"/>
        </w:rPr>
        <w:t>(16)</w:t>
      </w:r>
      <w:r w:rsidRPr="009B663C">
        <w:rPr>
          <w:rFonts w:cs="Times New Roman"/>
          <w:color w:val="000000" w:themeColor="text1"/>
          <w:sz w:val="24"/>
          <w:szCs w:val="24"/>
          <w:shd w:val="clear" w:color="auto" w:fill="FFFFFF"/>
          <w:vertAlign w:val="superscript"/>
        </w:rPr>
        <w:fldChar w:fldCharType="end"/>
      </w:r>
    </w:p>
    <w:p w:rsidR="0005757A" w:rsidRPr="009B663C" w:rsidRDefault="0005757A" w:rsidP="001D2DE1">
      <w:pPr>
        <w:autoSpaceDE w:val="0"/>
        <w:autoSpaceDN w:val="0"/>
        <w:adjustRightInd w:val="0"/>
        <w:spacing w:after="0" w:line="480" w:lineRule="auto"/>
        <w:jc w:val="both"/>
        <w:rPr>
          <w:rFonts w:cs="Agency FB,Bold"/>
          <w:bCs/>
          <w:color w:val="000000" w:themeColor="text1"/>
          <w:sz w:val="24"/>
          <w:szCs w:val="24"/>
        </w:rPr>
      </w:pPr>
      <w:r w:rsidRPr="009B663C">
        <w:rPr>
          <w:rFonts w:cs="Agency FB,Bold"/>
          <w:bCs/>
          <w:color w:val="000000" w:themeColor="text1"/>
          <w:sz w:val="24"/>
          <w:szCs w:val="24"/>
        </w:rPr>
        <w:t>In this study, severe atrophy of uterine</w:t>
      </w:r>
      <w:r w:rsidR="00FE7605" w:rsidRPr="009B663C">
        <w:rPr>
          <w:rFonts w:cs="Agency FB,Bold"/>
          <w:bCs/>
          <w:color w:val="000000" w:themeColor="text1"/>
          <w:sz w:val="24"/>
          <w:szCs w:val="24"/>
        </w:rPr>
        <w:t xml:space="preserve"> tube</w:t>
      </w:r>
      <w:r w:rsidRPr="009B663C">
        <w:rPr>
          <w:rFonts w:cs="Agency FB,Bold"/>
          <w:bCs/>
          <w:color w:val="000000" w:themeColor="text1"/>
          <w:sz w:val="24"/>
          <w:szCs w:val="24"/>
        </w:rPr>
        <w:t xml:space="preserve"> epithelium was observed in the experimental group rat</w:t>
      </w:r>
      <w:r w:rsidR="00A116C3" w:rsidRPr="009B663C">
        <w:rPr>
          <w:rFonts w:cs="Agency FB,Bold"/>
          <w:bCs/>
          <w:color w:val="000000" w:themeColor="text1"/>
          <w:sz w:val="24"/>
          <w:szCs w:val="24"/>
        </w:rPr>
        <w:t xml:space="preserve">   compared to the control grou</w:t>
      </w:r>
      <w:r w:rsidR="0050313C">
        <w:rPr>
          <w:rFonts w:cs="Agency FB,Bold"/>
          <w:bCs/>
          <w:color w:val="000000" w:themeColor="text1"/>
          <w:sz w:val="24"/>
          <w:szCs w:val="24"/>
        </w:rPr>
        <w:t>p</w:t>
      </w:r>
      <w:r w:rsidRPr="009B663C">
        <w:rPr>
          <w:rFonts w:cs="Agency FB,Bold"/>
          <w:bCs/>
          <w:color w:val="000000" w:themeColor="text1"/>
          <w:sz w:val="24"/>
          <w:szCs w:val="24"/>
        </w:rPr>
        <w:t xml:space="preserve"> which can be due to </w:t>
      </w:r>
      <w:r w:rsidRPr="009B663C">
        <w:rPr>
          <w:color w:val="000000" w:themeColor="text1"/>
          <w:sz w:val="24"/>
          <w:szCs w:val="24"/>
        </w:rPr>
        <w:t>the antiestrogenic effects of progesterone in the oviduct where progesterone blocks estradiol-inducible secretory proteins and induces deciliation and cessation of secretory activity of the oviductal epithelium. It can be further aggravated by the disturbance in the cell growth and differentiation due to the effect of steroid hormone.</w:t>
      </w:r>
    </w:p>
    <w:p w:rsidR="0005757A" w:rsidRPr="009B663C" w:rsidRDefault="0005757A" w:rsidP="001D2DE1">
      <w:pPr>
        <w:spacing w:line="480" w:lineRule="auto"/>
        <w:jc w:val="both"/>
        <w:rPr>
          <w:color w:val="000000" w:themeColor="text1"/>
          <w:sz w:val="24"/>
          <w:szCs w:val="24"/>
        </w:rPr>
      </w:pPr>
      <w:r w:rsidRPr="009B663C">
        <w:rPr>
          <w:rFonts w:cs="Agency FB,Bold"/>
          <w:bCs/>
          <w:color w:val="000000" w:themeColor="text1"/>
          <w:sz w:val="24"/>
          <w:szCs w:val="24"/>
        </w:rPr>
        <w:t xml:space="preserve"> Another </w:t>
      </w:r>
      <w:r w:rsidR="00C26B2C">
        <w:rPr>
          <w:rFonts w:cs="Agency FB,Bold"/>
          <w:bCs/>
          <w:color w:val="000000" w:themeColor="text1"/>
          <w:sz w:val="24"/>
          <w:szCs w:val="24"/>
        </w:rPr>
        <w:t>study conducted by Gordon. D et</w:t>
      </w:r>
      <w:r w:rsidRPr="009B663C">
        <w:rPr>
          <w:rFonts w:cs="Agency FB,Bold"/>
          <w:bCs/>
          <w:color w:val="000000" w:themeColor="text1"/>
          <w:sz w:val="24"/>
          <w:szCs w:val="24"/>
        </w:rPr>
        <w:t xml:space="preserve"> al observed the similar findings, where deciliation and cessation of epithelial growth in the oviduct of progesterone treated Rhesus monkeys was reported.</w:t>
      </w:r>
      <w:r w:rsidRPr="009B663C">
        <w:rPr>
          <w:rFonts w:cs="Agency FB,Bold"/>
          <w:bCs/>
          <w:color w:val="000000" w:themeColor="text1"/>
          <w:sz w:val="24"/>
          <w:szCs w:val="24"/>
          <w:vertAlign w:val="superscript"/>
        </w:rPr>
        <w:fldChar w:fldCharType="begin" w:fldLock="1"/>
      </w:r>
      <w:r w:rsidRPr="009B663C">
        <w:rPr>
          <w:rFonts w:cs="Agency FB,Bold"/>
          <w:bCs/>
          <w:color w:val="000000" w:themeColor="text1"/>
          <w:sz w:val="24"/>
          <w:szCs w:val="24"/>
          <w:vertAlign w:val="superscript"/>
        </w:rPr>
        <w:instrText>ADDIN CSL_CITATION { "citationItems" : [ { "id" : "ITEM-1", "itemData" : { "ISBN" : "0031-9333 (Print) 0031-9333 (Linking)", "ISSN" : "0031-9333", "PMID" : "10617764", "abstract" : "The primary function of the corpus luteum is secretion of the hormone progesterone, which is required for maintenance of normal pregnancy in mammals. The corpus luteum develops from residual follicular granulosal and thecal cells after ovulation. Luteinizing hormone (LH) from the anterior pituitary is important for normal development and function of the corpus luteum in most mammals, although growth hormone, prolactin, and estradiol also play a role in several species. The mature corpus luteum is composed of at least two steroidogenic cell types based on morphological and biochemical criteria and on the follicular source of origin. Small luteal cells appear to be of thecal cell origin and respond to LH with increased secretion of progesterone. LH directly stimulates the secretion of progesterone from small luteal cells via activation of the protein kinase A second messenger pathway. Large luteal cells are of granulosal cell origin and contain receptors for PGF(2alpha) and appear to mediate the luteolytic actions of this hormone. If pregnancy does not occur, the corpus luteum must regress to allow follicular growth and ovulation and the reproductive cycle begins again. Luteal regression is initiated by PGF(2alpha) of uterine origin in most subprimate species. The role played by PGF(2alpha) in primates remains controversial. In primates, if PGF(2alpha) plays a role in luteolysis, it appears to be of ovarian origin. The antisteroidogenic effects of PGF(2alpha) appear to be mediated by the protein kinase C second messenger pathway, whereas loss of luteal cells appears to follow an influx of calcium, activation of endonucleases, and an apoptotic form of cell death. If the female becomes pregnant, continued secretion of progesterone from the corpus luteum is required to provide an appropriate uterine environment for maintenance of pregnancy. The mechanisms whereby the pregnant uterus signals the corpus luteum that a conceptus is present varies from secretion of a chorionic gonadotropin (primates and equids), to secretion of an antiluteolytic factor (domestic ruminants), and to a neuroendocrine reflex arc that modifies the secretory patterns of hormones from the anterior pituitary (most rodents).", "author" : [ { "dropping-particle" : "", "family" : "Niswender", "given" : "G D", "non-dropping-particle" : "", "parse-names" : false, "suffix" : "" }, { "dropping-particle" : "", "family" : "Juengel", "given" : "J L", "non-dropping-particle" : "", "parse-names" : false, "suffix" : "" }, { "dropping-particle" : "", "family" : "Silva", "given" : "P J", "non-dropping-particle" : "", "parse-names" : false, "suffix" : "" }, { "dropping-particle" : "", "family" : "Rollyson", "given" : "M K", "non-dropping-particle" : "", "parse-names" : false, "suffix" : "" }, { "dropping-particle" : "", "family" : "McIntush", "given" : "E W", "non-dropping-particle" : "", "parse-names" : false, "suffix" : "" } ], "container-title" : "Physiological reviews", "id" : "ITEM-1", "issued" : { "date-parts" : [ [ "2000" ] ] }, "page" : "1-29", "title" : "Mechanisms controlling the function and life span of the corpus luteum.", "type" : "article-journal", "volume" : "80" }, "uris" : [ "http://www.mendeley.com/documents/?uuid=e6a9c9fd-959e-4486-bbad-9c905bf5a6ed" ] } ], "mendeley" : { "formattedCitation" : "(17)", "plainTextFormattedCitation" : "(17)", "previouslyFormattedCitation" : "(16)" }, "properties" : { "noteIndex" : 0 }, "schema" : "https://github.com/citation-style-language/schema/raw/master/csl-citation.json" }</w:instrText>
      </w:r>
      <w:r w:rsidRPr="009B663C">
        <w:rPr>
          <w:rFonts w:cs="Agency FB,Bold"/>
          <w:bCs/>
          <w:color w:val="000000" w:themeColor="text1"/>
          <w:sz w:val="24"/>
          <w:szCs w:val="24"/>
          <w:vertAlign w:val="superscript"/>
        </w:rPr>
        <w:fldChar w:fldCharType="separate"/>
      </w:r>
      <w:r w:rsidRPr="009B663C">
        <w:rPr>
          <w:rFonts w:cs="Agency FB,Bold"/>
          <w:bCs/>
          <w:noProof/>
          <w:color w:val="000000" w:themeColor="text1"/>
          <w:sz w:val="24"/>
          <w:szCs w:val="24"/>
          <w:vertAlign w:val="superscript"/>
        </w:rPr>
        <w:t>(17)</w:t>
      </w:r>
      <w:r w:rsidRPr="009B663C">
        <w:rPr>
          <w:rFonts w:cs="Agency FB,Bold"/>
          <w:bCs/>
          <w:color w:val="000000" w:themeColor="text1"/>
          <w:sz w:val="24"/>
          <w:szCs w:val="24"/>
          <w:vertAlign w:val="superscript"/>
        </w:rPr>
        <w:fldChar w:fldCharType="end"/>
      </w:r>
    </w:p>
    <w:p w:rsidR="0005757A" w:rsidRPr="009B663C" w:rsidRDefault="0005757A" w:rsidP="001D2DE1">
      <w:pPr>
        <w:autoSpaceDE w:val="0"/>
        <w:autoSpaceDN w:val="0"/>
        <w:adjustRightInd w:val="0"/>
        <w:spacing w:after="0" w:line="480" w:lineRule="auto"/>
        <w:jc w:val="both"/>
        <w:rPr>
          <w:color w:val="000000" w:themeColor="text1"/>
          <w:sz w:val="24"/>
          <w:szCs w:val="24"/>
        </w:rPr>
      </w:pPr>
      <w:r w:rsidRPr="009B663C">
        <w:rPr>
          <w:rFonts w:cs="Agency FB,Bold"/>
          <w:bCs/>
          <w:color w:val="000000" w:themeColor="text1"/>
          <w:sz w:val="24"/>
          <w:szCs w:val="24"/>
        </w:rPr>
        <w:t xml:space="preserve">Many other study has found the association of progesterone with the morphological and functional alteration of uterine tube. For example, a study conducted by </w:t>
      </w:r>
      <w:r w:rsidRPr="009B663C">
        <w:rPr>
          <w:color w:val="000000" w:themeColor="text1"/>
          <w:sz w:val="24"/>
          <w:szCs w:val="24"/>
        </w:rPr>
        <w:t xml:space="preserve">Hegazy. R and </w:t>
      </w:r>
      <w:r w:rsidRPr="009B663C">
        <w:rPr>
          <w:color w:val="000000" w:themeColor="text1"/>
          <w:sz w:val="24"/>
          <w:szCs w:val="24"/>
        </w:rPr>
        <w:lastRenderedPageBreak/>
        <w:t>Hegazy. A who also reported  the reduced mucosa and ciliary activity of uterine tube in DMPA treated rat.</w:t>
      </w:r>
      <w:r w:rsidRPr="009B663C">
        <w:rPr>
          <w:color w:val="000000" w:themeColor="text1"/>
          <w:sz w:val="24"/>
          <w:szCs w:val="24"/>
          <w:vertAlign w:val="superscript"/>
        </w:rPr>
        <w:fldChar w:fldCharType="begin" w:fldLock="1"/>
      </w:r>
      <w:r w:rsidRPr="009B663C">
        <w:rPr>
          <w:color w:val="000000" w:themeColor="text1"/>
          <w:sz w:val="24"/>
          <w:szCs w:val="24"/>
          <w:vertAlign w:val="superscript"/>
        </w:rPr>
        <w:instrText>ADDIN CSL_CITATION { "citationItems" : [ { "id" : "ITEM-1", "itemData" : { "author" : [ { "dropping-particle" : "", "family" : "Hegazy", "given" : "Raafat", "non-dropping-particle" : "", "parse-names" : false, "suffix" : "" }, { "dropping-particle" : "", "family" : "Hegazy", "given" : "Abdelmonem", "non-dropping-particle" : "", "parse-names" : false, "suffix" : "" } ], "container-title" : "Universal Journal of Medical Science", "id" : "ITEM-1", "issue" : "2", "issued" : { "date-parts" : [ [ "2015" ] ] }, "page" : "33-40", "title" : "DMPA- Induced Changes in Estrogen and Progesterone Receptors of Ampulla of Rat-oviducts: An Immunohistochemical Study)", "type" : "article-journal", "volume" : "3" }, "uris" : [ "http://www.mendeley.com/documents/?uuid=1f8c9b8f-9183-4497-9ab0-b68fa5d2e95e" ] } ], "mendeley" : { "formattedCitation" : "(18)", "plainTextFormattedCitation" : "(18)", "previouslyFormattedCitation" : "(17)" }, "properties" : { "noteIndex" : 0 }, "schema" : "https://github.com/citation-style-language/schema/raw/master/csl-citation.json" }</w:instrText>
      </w:r>
      <w:r w:rsidRPr="009B663C">
        <w:rPr>
          <w:color w:val="000000" w:themeColor="text1"/>
          <w:sz w:val="24"/>
          <w:szCs w:val="24"/>
          <w:vertAlign w:val="superscript"/>
        </w:rPr>
        <w:fldChar w:fldCharType="separate"/>
      </w:r>
      <w:r w:rsidRPr="009B663C">
        <w:rPr>
          <w:noProof/>
          <w:color w:val="000000" w:themeColor="text1"/>
          <w:sz w:val="24"/>
          <w:szCs w:val="24"/>
          <w:vertAlign w:val="superscript"/>
        </w:rPr>
        <w:t>(18)</w:t>
      </w:r>
      <w:r w:rsidRPr="009B663C">
        <w:rPr>
          <w:color w:val="000000" w:themeColor="text1"/>
          <w:sz w:val="24"/>
          <w:szCs w:val="24"/>
          <w:vertAlign w:val="superscript"/>
        </w:rPr>
        <w:fldChar w:fldCharType="end"/>
      </w:r>
    </w:p>
    <w:p w:rsidR="0005757A" w:rsidRPr="009B663C" w:rsidRDefault="0005757A" w:rsidP="001D2DE1">
      <w:pPr>
        <w:autoSpaceDE w:val="0"/>
        <w:autoSpaceDN w:val="0"/>
        <w:adjustRightInd w:val="0"/>
        <w:spacing w:after="0" w:line="480" w:lineRule="auto"/>
        <w:jc w:val="both"/>
        <w:rPr>
          <w:rFonts w:cs="Agency FB,Bold"/>
          <w:b/>
          <w:bCs/>
          <w:color w:val="000000" w:themeColor="text1"/>
          <w:sz w:val="28"/>
          <w:szCs w:val="28"/>
        </w:rPr>
      </w:pPr>
      <w:r w:rsidRPr="009B663C">
        <w:rPr>
          <w:b/>
          <w:color w:val="000000" w:themeColor="text1"/>
          <w:sz w:val="28"/>
          <w:szCs w:val="28"/>
        </w:rPr>
        <w:t>Conclusion</w:t>
      </w:r>
    </w:p>
    <w:p w:rsidR="0005757A" w:rsidRPr="009B663C" w:rsidRDefault="0005757A" w:rsidP="001D2DE1">
      <w:pPr>
        <w:autoSpaceDE w:val="0"/>
        <w:autoSpaceDN w:val="0"/>
        <w:adjustRightInd w:val="0"/>
        <w:spacing w:after="0" w:line="480" w:lineRule="auto"/>
        <w:jc w:val="both"/>
        <w:rPr>
          <w:rFonts w:cs="Times New Roman"/>
          <w:bCs/>
          <w:color w:val="000000" w:themeColor="text1"/>
          <w:sz w:val="24"/>
          <w:szCs w:val="24"/>
        </w:rPr>
      </w:pPr>
      <w:r w:rsidRPr="009B663C">
        <w:rPr>
          <w:rFonts w:cs="Times New Roman"/>
          <w:bCs/>
          <w:color w:val="000000" w:themeColor="text1"/>
          <w:sz w:val="24"/>
          <w:szCs w:val="24"/>
        </w:rPr>
        <w:t>It is believed that DMPA is the most effective contraceptive which has been popular around the world. However, many adverse effect</w:t>
      </w:r>
      <w:r w:rsidR="00E92597" w:rsidRPr="009B663C">
        <w:rPr>
          <w:rFonts w:cs="Times New Roman"/>
          <w:bCs/>
          <w:color w:val="000000" w:themeColor="text1"/>
          <w:sz w:val="24"/>
          <w:szCs w:val="24"/>
        </w:rPr>
        <w:t xml:space="preserve"> </w:t>
      </w:r>
      <w:r w:rsidR="006F6FBB" w:rsidRPr="009B663C">
        <w:rPr>
          <w:rFonts w:cs="Times New Roman"/>
          <w:bCs/>
          <w:color w:val="000000" w:themeColor="text1"/>
          <w:sz w:val="24"/>
          <w:szCs w:val="24"/>
        </w:rPr>
        <w:t xml:space="preserve">are ensued </w:t>
      </w:r>
      <w:r w:rsidRPr="009B663C">
        <w:rPr>
          <w:rFonts w:cs="Times New Roman"/>
          <w:bCs/>
          <w:color w:val="000000" w:themeColor="text1"/>
          <w:sz w:val="24"/>
          <w:szCs w:val="24"/>
        </w:rPr>
        <w:t>in the health of DMPA user</w:t>
      </w:r>
      <w:r w:rsidR="006F6FBB" w:rsidRPr="009B663C">
        <w:rPr>
          <w:rFonts w:cs="Times New Roman"/>
          <w:bCs/>
          <w:color w:val="000000" w:themeColor="text1"/>
          <w:sz w:val="24"/>
          <w:szCs w:val="24"/>
        </w:rPr>
        <w:t>s</w:t>
      </w:r>
      <w:r w:rsidRPr="009B663C">
        <w:rPr>
          <w:rFonts w:cs="Times New Roman"/>
          <w:bCs/>
          <w:color w:val="000000" w:themeColor="text1"/>
          <w:sz w:val="24"/>
          <w:szCs w:val="24"/>
        </w:rPr>
        <w:t xml:space="preserve">, such as obesity, </w:t>
      </w:r>
      <w:r w:rsidR="005001CE">
        <w:rPr>
          <w:rFonts w:cs="Times New Roman"/>
          <w:bCs/>
          <w:color w:val="000000" w:themeColor="text1"/>
          <w:sz w:val="24"/>
          <w:szCs w:val="24"/>
        </w:rPr>
        <w:t>loss of bone mineral density</w:t>
      </w:r>
      <w:r w:rsidRPr="009B663C">
        <w:rPr>
          <w:rFonts w:cs="Times New Roman"/>
          <w:bCs/>
          <w:color w:val="000000" w:themeColor="text1"/>
          <w:sz w:val="24"/>
          <w:szCs w:val="24"/>
        </w:rPr>
        <w:t xml:space="preserve">, which are considered to be due to the </w:t>
      </w:r>
      <w:r w:rsidR="00D44A2B" w:rsidRPr="009B663C">
        <w:rPr>
          <w:rFonts w:cs="Times New Roman"/>
          <w:bCs/>
          <w:color w:val="000000" w:themeColor="text1"/>
          <w:sz w:val="24"/>
          <w:szCs w:val="24"/>
        </w:rPr>
        <w:t>prolong use</w:t>
      </w:r>
      <w:r w:rsidRPr="009B663C">
        <w:rPr>
          <w:rFonts w:cs="Times New Roman"/>
          <w:bCs/>
          <w:color w:val="000000" w:themeColor="text1"/>
          <w:sz w:val="24"/>
          <w:szCs w:val="24"/>
        </w:rPr>
        <w:t xml:space="preserve"> of the injectable contraceptive. This study also revealed marked alteration in the uterine tube as well as in the ovary of rat which could pose massive impact on fertility of female. To conclude, there is dire need of more rigorous study about the impacts of DMPA in the health of the users as well as promoting the better option for contraception than the hormonal.</w:t>
      </w:r>
    </w:p>
    <w:p w:rsidR="0005757A" w:rsidRPr="009B663C" w:rsidRDefault="0005757A" w:rsidP="001D2DE1">
      <w:pPr>
        <w:autoSpaceDE w:val="0"/>
        <w:autoSpaceDN w:val="0"/>
        <w:adjustRightInd w:val="0"/>
        <w:spacing w:after="0" w:line="480" w:lineRule="auto"/>
        <w:jc w:val="both"/>
        <w:rPr>
          <w:rFonts w:cs="Times New Roman"/>
          <w:bCs/>
          <w:color w:val="000000" w:themeColor="text1"/>
          <w:sz w:val="24"/>
          <w:szCs w:val="24"/>
        </w:rPr>
      </w:pPr>
    </w:p>
    <w:p w:rsidR="0005757A" w:rsidRPr="009B663C" w:rsidRDefault="0005757A" w:rsidP="001D2DE1">
      <w:pPr>
        <w:autoSpaceDE w:val="0"/>
        <w:autoSpaceDN w:val="0"/>
        <w:adjustRightInd w:val="0"/>
        <w:spacing w:after="0" w:line="480" w:lineRule="auto"/>
        <w:rPr>
          <w:rFonts w:cs="Times New Roman"/>
          <w:b/>
          <w:color w:val="000000" w:themeColor="text1"/>
          <w:sz w:val="28"/>
          <w:szCs w:val="28"/>
        </w:rPr>
      </w:pPr>
      <w:r w:rsidRPr="009B663C">
        <w:rPr>
          <w:rFonts w:cs="Times New Roman"/>
          <w:b/>
          <w:bCs/>
          <w:color w:val="000000" w:themeColor="text1"/>
          <w:sz w:val="28"/>
          <w:szCs w:val="28"/>
        </w:rPr>
        <w:t xml:space="preserve">Acknowledgement </w:t>
      </w:r>
    </w:p>
    <w:p w:rsidR="0005757A" w:rsidRPr="009B663C" w:rsidRDefault="0005757A" w:rsidP="001D2DE1">
      <w:pPr>
        <w:autoSpaceDE w:val="0"/>
        <w:autoSpaceDN w:val="0"/>
        <w:adjustRightInd w:val="0"/>
        <w:spacing w:after="0" w:line="480" w:lineRule="auto"/>
        <w:rPr>
          <w:rFonts w:cs="Times New Roman"/>
          <w:color w:val="000000" w:themeColor="text1"/>
          <w:sz w:val="24"/>
          <w:szCs w:val="24"/>
        </w:rPr>
      </w:pPr>
      <w:r w:rsidRPr="009B663C">
        <w:rPr>
          <w:rFonts w:cs="Times New Roman"/>
          <w:color w:val="000000" w:themeColor="text1"/>
          <w:sz w:val="24"/>
          <w:szCs w:val="24"/>
        </w:rPr>
        <w:t xml:space="preserve">We would like to express grateful thanks to BP Koirala Institute of Health Sciences, Nepal for providing research facilities and we are also thankful to all staffs, research laboratory and animal house staff for their proper supports during study. We are immensely thankful for the support provided by Patan hospital pathology laboratory staff. </w:t>
      </w:r>
    </w:p>
    <w:p w:rsidR="0045539C" w:rsidRPr="009B663C" w:rsidRDefault="0045539C" w:rsidP="001D2DE1">
      <w:pPr>
        <w:autoSpaceDE w:val="0"/>
        <w:autoSpaceDN w:val="0"/>
        <w:adjustRightInd w:val="0"/>
        <w:spacing w:after="0" w:line="480" w:lineRule="auto"/>
        <w:rPr>
          <w:rFonts w:cs="Times New Roman"/>
          <w:b/>
          <w:bCs/>
          <w:color w:val="000000" w:themeColor="text1"/>
          <w:sz w:val="28"/>
          <w:szCs w:val="28"/>
        </w:rPr>
      </w:pPr>
    </w:p>
    <w:p w:rsidR="0005757A" w:rsidRPr="009B663C" w:rsidRDefault="0005757A" w:rsidP="001D2DE1">
      <w:pPr>
        <w:autoSpaceDE w:val="0"/>
        <w:autoSpaceDN w:val="0"/>
        <w:adjustRightInd w:val="0"/>
        <w:spacing w:after="0" w:line="480" w:lineRule="auto"/>
        <w:rPr>
          <w:rFonts w:cs="Times New Roman"/>
          <w:b/>
          <w:color w:val="000000" w:themeColor="text1"/>
          <w:sz w:val="28"/>
          <w:szCs w:val="28"/>
        </w:rPr>
      </w:pPr>
      <w:r w:rsidRPr="009B663C">
        <w:rPr>
          <w:rFonts w:cs="Times New Roman"/>
          <w:b/>
          <w:bCs/>
          <w:color w:val="000000" w:themeColor="text1"/>
          <w:sz w:val="28"/>
          <w:szCs w:val="28"/>
        </w:rPr>
        <w:t xml:space="preserve">Conflict of Interest </w:t>
      </w:r>
    </w:p>
    <w:p w:rsidR="0005757A" w:rsidRPr="009B663C" w:rsidRDefault="0005757A" w:rsidP="001D2DE1">
      <w:pPr>
        <w:autoSpaceDE w:val="0"/>
        <w:autoSpaceDN w:val="0"/>
        <w:adjustRightInd w:val="0"/>
        <w:spacing w:after="0" w:line="480" w:lineRule="auto"/>
        <w:jc w:val="both"/>
        <w:rPr>
          <w:rFonts w:cs="Times New Roman"/>
          <w:bCs/>
          <w:color w:val="000000" w:themeColor="text1"/>
          <w:sz w:val="24"/>
          <w:szCs w:val="24"/>
        </w:rPr>
      </w:pPr>
      <w:r w:rsidRPr="009B663C">
        <w:rPr>
          <w:rFonts w:cs="Times New Roman"/>
          <w:color w:val="000000" w:themeColor="text1"/>
          <w:sz w:val="24"/>
          <w:szCs w:val="24"/>
        </w:rPr>
        <w:t>No conflict of interest among the authors</w:t>
      </w:r>
      <w:r w:rsidR="00A67B80" w:rsidRPr="009B663C">
        <w:rPr>
          <w:rFonts w:cs="Times New Roman"/>
          <w:color w:val="000000" w:themeColor="text1"/>
          <w:sz w:val="24"/>
          <w:szCs w:val="24"/>
        </w:rPr>
        <w:t>.</w:t>
      </w:r>
      <w:r w:rsidRPr="009B663C">
        <w:rPr>
          <w:rFonts w:cs="Times New Roman"/>
          <w:color w:val="000000" w:themeColor="text1"/>
          <w:sz w:val="24"/>
          <w:szCs w:val="24"/>
        </w:rPr>
        <w:t xml:space="preserve"> </w:t>
      </w:r>
    </w:p>
    <w:p w:rsidR="0005757A" w:rsidRPr="009B663C" w:rsidRDefault="0005757A" w:rsidP="001D2DE1">
      <w:pPr>
        <w:spacing w:after="120" w:line="480" w:lineRule="auto"/>
        <w:rPr>
          <w:color w:val="000000" w:themeColor="text1"/>
          <w:sz w:val="24"/>
          <w:szCs w:val="24"/>
        </w:rPr>
      </w:pPr>
    </w:p>
    <w:p w:rsidR="0005757A" w:rsidRPr="009B663C" w:rsidRDefault="00E027F6" w:rsidP="001D2DE1">
      <w:pPr>
        <w:spacing w:line="480" w:lineRule="auto"/>
        <w:jc w:val="both"/>
        <w:rPr>
          <w:b/>
          <w:color w:val="000000" w:themeColor="text1"/>
          <w:sz w:val="28"/>
          <w:szCs w:val="28"/>
        </w:rPr>
      </w:pPr>
      <w:r w:rsidRPr="009B663C">
        <w:rPr>
          <w:b/>
          <w:color w:val="000000" w:themeColor="text1"/>
          <w:sz w:val="28"/>
          <w:szCs w:val="28"/>
        </w:rPr>
        <w:t>References</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color w:val="000000" w:themeColor="text1"/>
          <w:sz w:val="24"/>
          <w:szCs w:val="24"/>
        </w:rPr>
        <w:fldChar w:fldCharType="begin" w:fldLock="1"/>
      </w:r>
      <w:r w:rsidRPr="009B663C">
        <w:rPr>
          <w:color w:val="000000" w:themeColor="text1"/>
          <w:sz w:val="24"/>
          <w:szCs w:val="24"/>
        </w:rPr>
        <w:instrText xml:space="preserve">ADDIN Mendeley Bibliography CSL_BIBLIOGRAPHY </w:instrText>
      </w:r>
      <w:r w:rsidRPr="009B663C">
        <w:rPr>
          <w:color w:val="000000" w:themeColor="text1"/>
          <w:sz w:val="24"/>
          <w:szCs w:val="24"/>
        </w:rPr>
        <w:fldChar w:fldCharType="separate"/>
      </w:r>
      <w:r w:rsidRPr="009B663C">
        <w:rPr>
          <w:rFonts w:cs="Times New Roman"/>
          <w:noProof/>
          <w:color w:val="000000" w:themeColor="text1"/>
          <w:sz w:val="24"/>
          <w:szCs w:val="24"/>
        </w:rPr>
        <w:t xml:space="preserve">1. </w:t>
      </w:r>
      <w:r w:rsidRPr="009B663C">
        <w:rPr>
          <w:rFonts w:cs="Times New Roman"/>
          <w:noProof/>
          <w:color w:val="000000" w:themeColor="text1"/>
          <w:sz w:val="24"/>
          <w:szCs w:val="24"/>
        </w:rPr>
        <w:tab/>
        <w:t xml:space="preserve">Bakry S, Ahmed HA and Al-otaibi ML. Prenatal Exposure to Medroxyprogesterone Acetate. 2010;2(1):1–12.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2. </w:t>
      </w:r>
      <w:r w:rsidRPr="009B663C">
        <w:rPr>
          <w:rFonts w:cs="Times New Roman"/>
          <w:noProof/>
          <w:color w:val="000000" w:themeColor="text1"/>
          <w:sz w:val="24"/>
          <w:szCs w:val="24"/>
        </w:rPr>
        <w:tab/>
        <w:t xml:space="preserve">World Health Organization : Facts about once-a-moth injectable contraceptive: memorandum from WHO meeting In: Bulletin of World Health Organization. WHO Offset Publ. 1993;71(6):677–89.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3. </w:t>
      </w:r>
      <w:r w:rsidRPr="009B663C">
        <w:rPr>
          <w:rFonts w:cs="Times New Roman"/>
          <w:noProof/>
          <w:color w:val="000000" w:themeColor="text1"/>
          <w:sz w:val="24"/>
          <w:szCs w:val="24"/>
        </w:rPr>
        <w:tab/>
        <w:t xml:space="preserve">Speroff L and Darney PD. Injectable contraception. A Clinical Guide for Contraception. 4th ed. Philadelphia, PA: Lippincott Williams &amp; Wilkins; 2005:201–220. In.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4. </w:t>
      </w:r>
      <w:r w:rsidRPr="009B663C">
        <w:rPr>
          <w:rFonts w:cs="Times New Roman"/>
          <w:noProof/>
          <w:color w:val="000000" w:themeColor="text1"/>
          <w:sz w:val="24"/>
          <w:szCs w:val="24"/>
        </w:rPr>
        <w:tab/>
        <w:t xml:space="preserve">Hatcher R. Depo-Provera injections, implants, and progestin-only pills (minipills). In Hatcher RA, Trussell JS, Felicia H, et al. Contraceptive Technology. 18th rev. ed. New York, NY: Ardent Media; 2004:461–494. In.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5. </w:t>
      </w:r>
      <w:r w:rsidRPr="009B663C">
        <w:rPr>
          <w:rFonts w:cs="Times New Roman"/>
          <w:noProof/>
          <w:color w:val="000000" w:themeColor="text1"/>
          <w:sz w:val="24"/>
          <w:szCs w:val="24"/>
        </w:rPr>
        <w:tab/>
        <w:t xml:space="preserve">Spevack E. The Long-term Health Implications of Depo-Provera. 2013;12(1):27–34.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6. </w:t>
      </w:r>
      <w:r w:rsidRPr="009B663C">
        <w:rPr>
          <w:rFonts w:cs="Times New Roman"/>
          <w:noProof/>
          <w:color w:val="000000" w:themeColor="text1"/>
          <w:sz w:val="24"/>
          <w:szCs w:val="24"/>
        </w:rPr>
        <w:tab/>
        <w:t xml:space="preserve">Zhang J et al. Metabolic Profiling and Cytochrome P450 Reaction Phenotyping of Medroxyprogesterone Accetate. J. of drug metabolism and disposition 2008;36(11):2292–8.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7. </w:t>
      </w:r>
      <w:r w:rsidRPr="009B663C">
        <w:rPr>
          <w:rFonts w:cs="Times New Roman"/>
          <w:noProof/>
          <w:color w:val="000000" w:themeColor="text1"/>
          <w:sz w:val="24"/>
          <w:szCs w:val="24"/>
        </w:rPr>
        <w:tab/>
      </w:r>
      <w:r w:rsidRPr="009B663C">
        <w:rPr>
          <w:color w:val="000000" w:themeColor="text1"/>
          <w:sz w:val="24"/>
          <w:szCs w:val="24"/>
        </w:rPr>
        <w:t>Ratchanon and Taneepanichskul</w:t>
      </w:r>
      <w:r w:rsidRPr="009B663C">
        <w:rPr>
          <w:rFonts w:cs="Times New Roman"/>
          <w:noProof/>
          <w:color w:val="000000" w:themeColor="text1"/>
          <w:sz w:val="24"/>
          <w:szCs w:val="24"/>
        </w:rPr>
        <w:t xml:space="preserve">. Depot medroxyprogesterone acetate and basal serum prolactin levels in lactating women. Obstet Gynecol. 2014;96(6):926–8.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lastRenderedPageBreak/>
        <w:t xml:space="preserve">8. </w:t>
      </w:r>
      <w:r w:rsidRPr="009B663C">
        <w:rPr>
          <w:rFonts w:cs="Times New Roman"/>
          <w:noProof/>
          <w:color w:val="000000" w:themeColor="text1"/>
          <w:sz w:val="24"/>
          <w:szCs w:val="24"/>
        </w:rPr>
        <w:tab/>
        <w:t>Pfizer. Depo-Provera Contraceptive In</w:t>
      </w:r>
      <w:r w:rsidR="00B04104">
        <w:rPr>
          <w:rFonts w:cs="Times New Roman"/>
          <w:noProof/>
          <w:color w:val="000000" w:themeColor="text1"/>
          <w:sz w:val="24"/>
          <w:szCs w:val="24"/>
        </w:rPr>
        <w:t>jection, US patient labeling. Av</w:t>
      </w:r>
      <w:r w:rsidRPr="009B663C">
        <w:rPr>
          <w:rFonts w:cs="Times New Roman"/>
          <w:noProof/>
          <w:color w:val="000000" w:themeColor="text1"/>
          <w:sz w:val="24"/>
          <w:szCs w:val="24"/>
        </w:rPr>
        <w:t>ailable from: http:// www.pfizer.com/pfizer/download/ppi_depo_provera_contraceptive.pdf.</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9. </w:t>
      </w:r>
      <w:r w:rsidRPr="009B663C">
        <w:rPr>
          <w:rFonts w:cs="Times New Roman"/>
          <w:noProof/>
          <w:color w:val="000000" w:themeColor="text1"/>
          <w:sz w:val="24"/>
          <w:szCs w:val="24"/>
        </w:rPr>
        <w:tab/>
        <w:t xml:space="preserve">Mosher WD et al. Use of contraception and use of family planning services in the United States. Adv Data. 2004;350:1–36.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10. </w:t>
      </w:r>
      <w:r w:rsidRPr="009B663C">
        <w:rPr>
          <w:rFonts w:cs="Times New Roman"/>
          <w:noProof/>
          <w:color w:val="000000" w:themeColor="text1"/>
          <w:sz w:val="24"/>
          <w:szCs w:val="24"/>
        </w:rPr>
        <w:tab/>
        <w:t xml:space="preserve">Stacey D. Depo Provera: The birth control shot.Available from http://contraception.about. com/od/prescriptionoptions/a/depoprovera.htm. Updated August 26, 2010. Accessed January 12, 2011.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11. </w:t>
      </w:r>
      <w:r w:rsidRPr="009B663C">
        <w:rPr>
          <w:rFonts w:cs="Times New Roman"/>
          <w:noProof/>
          <w:color w:val="000000" w:themeColor="text1"/>
          <w:sz w:val="24"/>
          <w:szCs w:val="24"/>
        </w:rPr>
        <w:tab/>
        <w:t xml:space="preserve">Walsh JS, Eastell R and Peel NF. Effects of Depot medroxyprogesterone acetate on bone density and bone metabolism before and after peak bone mass: a case-control study. J Clin Endocrinol Metab. 2008;93(4):1317-23.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12. </w:t>
      </w:r>
      <w:r w:rsidRPr="009B663C">
        <w:rPr>
          <w:rFonts w:cs="Times New Roman"/>
          <w:noProof/>
          <w:color w:val="000000" w:themeColor="text1"/>
          <w:sz w:val="24"/>
          <w:szCs w:val="24"/>
        </w:rPr>
        <w:tab/>
        <w:t xml:space="preserve">Tolaymat L and Kaunitz A. Use of hormonal contraception in adolescents: skeletal health issues. Curr Opin Obstet Gynecol. 2009;21(5):396-401.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13. </w:t>
      </w:r>
      <w:r w:rsidRPr="009B663C">
        <w:rPr>
          <w:rFonts w:cs="Times New Roman"/>
          <w:noProof/>
          <w:color w:val="000000" w:themeColor="text1"/>
          <w:sz w:val="24"/>
          <w:szCs w:val="24"/>
        </w:rPr>
        <w:tab/>
        <w:t xml:space="preserve">Meier C  et. al. Use of depot medroxyprogesterone acetate and fracture risk. J Clin Endocrinol Metab. 2010;95(11):16–4909.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14. </w:t>
      </w:r>
      <w:r w:rsidRPr="009B663C">
        <w:rPr>
          <w:rFonts w:cs="Times New Roman"/>
          <w:noProof/>
          <w:color w:val="000000" w:themeColor="text1"/>
          <w:sz w:val="24"/>
          <w:szCs w:val="24"/>
        </w:rPr>
        <w:tab/>
        <w:t xml:space="preserve">Paget G and Barnes J. Interspecies dosage conversion schem in evaluation of results and quantitative application in different species. In: Laurence D, Bacharach A, editors. Evaluation of drug activities: Pharmacometrics. London and New York: Acamemic Press; 1964. p. 160–2. </w:t>
      </w:r>
    </w:p>
    <w:p w:rsidR="0005757A" w:rsidRPr="009B663C" w:rsidRDefault="00993C14" w:rsidP="001D2DE1">
      <w:pPr>
        <w:widowControl w:val="0"/>
        <w:autoSpaceDE w:val="0"/>
        <w:autoSpaceDN w:val="0"/>
        <w:adjustRightInd w:val="0"/>
        <w:spacing w:line="480" w:lineRule="auto"/>
        <w:ind w:left="640" w:hanging="640"/>
        <w:rPr>
          <w:rFonts w:cs="Times New Roman"/>
          <w:noProof/>
          <w:color w:val="000000" w:themeColor="text1"/>
          <w:sz w:val="24"/>
          <w:szCs w:val="24"/>
        </w:rPr>
      </w:pPr>
      <w:r>
        <w:rPr>
          <w:rFonts w:cs="Times New Roman"/>
          <w:noProof/>
          <w:color w:val="000000" w:themeColor="text1"/>
          <w:sz w:val="24"/>
          <w:szCs w:val="24"/>
        </w:rPr>
        <w:t xml:space="preserve">15. </w:t>
      </w:r>
      <w:r>
        <w:rPr>
          <w:rFonts w:cs="Times New Roman"/>
          <w:noProof/>
          <w:color w:val="000000" w:themeColor="text1"/>
          <w:sz w:val="24"/>
          <w:szCs w:val="24"/>
        </w:rPr>
        <w:tab/>
        <w:t>Bhowmik T and Mukherjea M.</w:t>
      </w:r>
      <w:r w:rsidR="0005757A" w:rsidRPr="009B663C">
        <w:rPr>
          <w:rFonts w:cs="Times New Roman"/>
          <w:noProof/>
          <w:color w:val="000000" w:themeColor="text1"/>
          <w:sz w:val="24"/>
          <w:szCs w:val="24"/>
        </w:rPr>
        <w:t xml:space="preserve">“Histological changes in the ovary and uterus of rat </w:t>
      </w:r>
      <w:r w:rsidR="0005757A" w:rsidRPr="009B663C">
        <w:rPr>
          <w:rFonts w:cs="Times New Roman"/>
          <w:noProof/>
          <w:color w:val="000000" w:themeColor="text1"/>
          <w:sz w:val="24"/>
          <w:szCs w:val="24"/>
        </w:rPr>
        <w:lastRenderedPageBreak/>
        <w:t xml:space="preserve">after injectable contraceptive therapy”. Contraception. 1988;37(5):529–538.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16. </w:t>
      </w:r>
      <w:r w:rsidRPr="009B663C">
        <w:rPr>
          <w:rFonts w:cs="Times New Roman"/>
          <w:noProof/>
          <w:color w:val="000000" w:themeColor="text1"/>
          <w:sz w:val="24"/>
          <w:szCs w:val="24"/>
        </w:rPr>
        <w:tab/>
        <w:t xml:space="preserve">Sivakumar G and </w:t>
      </w:r>
      <w:r w:rsidRPr="009B663C">
        <w:rPr>
          <w:rFonts w:cs="Times New Roman"/>
          <w:color w:val="000000" w:themeColor="text1"/>
          <w:sz w:val="24"/>
          <w:szCs w:val="24"/>
        </w:rPr>
        <w:t>Kamakshi</w:t>
      </w:r>
      <w:r w:rsidRPr="009B663C">
        <w:rPr>
          <w:rFonts w:cs="Times New Roman"/>
          <w:noProof/>
          <w:color w:val="000000" w:themeColor="text1"/>
          <w:sz w:val="24"/>
          <w:szCs w:val="24"/>
        </w:rPr>
        <w:t xml:space="preserve">K. Study of oestrous cycle and histomotphometry of ovary in DMPA and a polyherbal drug trated adult female albino rats. Int J Curr Res Rev. 2012;4(5). </w:t>
      </w:r>
    </w:p>
    <w:p w:rsidR="0005757A" w:rsidRPr="009B663C" w:rsidRDefault="0005757A" w:rsidP="001D2DE1">
      <w:pPr>
        <w:widowControl w:val="0"/>
        <w:autoSpaceDE w:val="0"/>
        <w:autoSpaceDN w:val="0"/>
        <w:adjustRightInd w:val="0"/>
        <w:spacing w:line="480" w:lineRule="auto"/>
        <w:ind w:left="640" w:hanging="640"/>
        <w:rPr>
          <w:rFonts w:cs="Times New Roman"/>
          <w:noProof/>
          <w:color w:val="000000" w:themeColor="text1"/>
          <w:sz w:val="24"/>
          <w:szCs w:val="24"/>
        </w:rPr>
      </w:pPr>
      <w:r w:rsidRPr="009B663C">
        <w:rPr>
          <w:rFonts w:cs="Times New Roman"/>
          <w:noProof/>
          <w:color w:val="000000" w:themeColor="text1"/>
          <w:sz w:val="24"/>
          <w:szCs w:val="24"/>
        </w:rPr>
        <w:t xml:space="preserve">17. </w:t>
      </w:r>
      <w:r w:rsidRPr="009B663C">
        <w:rPr>
          <w:rFonts w:cs="Times New Roman"/>
          <w:noProof/>
          <w:color w:val="000000" w:themeColor="text1"/>
          <w:sz w:val="24"/>
          <w:szCs w:val="24"/>
        </w:rPr>
        <w:tab/>
        <w:t xml:space="preserve">Niswender GD et al. Mechanisms controlling the function and life span of the corpus luteum. Physiol Rev. 2000;80:1–29. </w:t>
      </w:r>
    </w:p>
    <w:p w:rsidR="0005757A" w:rsidRPr="009B663C" w:rsidRDefault="0005757A" w:rsidP="001D2DE1">
      <w:pPr>
        <w:widowControl w:val="0"/>
        <w:autoSpaceDE w:val="0"/>
        <w:autoSpaceDN w:val="0"/>
        <w:adjustRightInd w:val="0"/>
        <w:spacing w:line="480" w:lineRule="auto"/>
        <w:ind w:left="640" w:hanging="640"/>
        <w:rPr>
          <w:noProof/>
          <w:color w:val="000000" w:themeColor="text1"/>
          <w:sz w:val="24"/>
          <w:szCs w:val="24"/>
        </w:rPr>
      </w:pPr>
      <w:r w:rsidRPr="009B663C">
        <w:rPr>
          <w:rFonts w:cs="Times New Roman"/>
          <w:noProof/>
          <w:color w:val="000000" w:themeColor="text1"/>
          <w:sz w:val="24"/>
          <w:szCs w:val="24"/>
        </w:rPr>
        <w:t xml:space="preserve">18. </w:t>
      </w:r>
      <w:r w:rsidRPr="009B663C">
        <w:rPr>
          <w:rFonts w:cs="Times New Roman"/>
          <w:noProof/>
          <w:color w:val="000000" w:themeColor="text1"/>
          <w:sz w:val="24"/>
          <w:szCs w:val="24"/>
        </w:rPr>
        <w:tab/>
        <w:t xml:space="preserve">Hegazy R and Hegazy A. DMPA- Induced Changes in Estrogen and Progesterone Receptors of Ampulla of Rat-oviducts: An Immunohistochemical Study). Univers J Med Sci. 2015;3(2):33–40. </w:t>
      </w:r>
    </w:p>
    <w:p w:rsidR="0005757A" w:rsidRPr="009B663C" w:rsidRDefault="0005757A" w:rsidP="001D2DE1">
      <w:pPr>
        <w:spacing w:line="480" w:lineRule="auto"/>
        <w:jc w:val="both"/>
        <w:rPr>
          <w:color w:val="000000" w:themeColor="text1"/>
          <w:sz w:val="24"/>
          <w:szCs w:val="24"/>
        </w:rPr>
      </w:pPr>
      <w:r w:rsidRPr="009B663C">
        <w:rPr>
          <w:color w:val="000000" w:themeColor="text1"/>
          <w:sz w:val="24"/>
          <w:szCs w:val="24"/>
        </w:rPr>
        <w:fldChar w:fldCharType="end"/>
      </w: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05757A" w:rsidRPr="009B663C" w:rsidRDefault="0005757A" w:rsidP="001D2DE1">
      <w:pPr>
        <w:spacing w:line="480" w:lineRule="auto"/>
        <w:jc w:val="both"/>
        <w:rPr>
          <w:color w:val="000000" w:themeColor="text1"/>
          <w:sz w:val="24"/>
          <w:szCs w:val="24"/>
        </w:rPr>
      </w:pPr>
    </w:p>
    <w:p w:rsidR="00F33D51" w:rsidRPr="009B663C" w:rsidRDefault="00904C5D" w:rsidP="001D2DE1">
      <w:pPr>
        <w:spacing w:line="480" w:lineRule="auto"/>
        <w:rPr>
          <w:color w:val="000000" w:themeColor="text1"/>
          <w:sz w:val="24"/>
          <w:szCs w:val="24"/>
        </w:rPr>
      </w:pPr>
    </w:p>
    <w:sectPr w:rsidR="00F33D51" w:rsidRPr="009B663C" w:rsidSect="00DB1016">
      <w:pgSz w:w="12240" w:h="15840"/>
      <w:pgMar w:top="1728" w:right="1728" w:bottom="1728"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dvMINION-R">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gency FB,Bold">
    <w:panose1 w:val="00000000000000000000"/>
    <w:charset w:val="00"/>
    <w:family w:val="swiss"/>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57A"/>
    <w:rsid w:val="0005757A"/>
    <w:rsid w:val="001019C2"/>
    <w:rsid w:val="001D2DE1"/>
    <w:rsid w:val="001E4828"/>
    <w:rsid w:val="00227FB3"/>
    <w:rsid w:val="00273DAC"/>
    <w:rsid w:val="00296434"/>
    <w:rsid w:val="002B00EA"/>
    <w:rsid w:val="002F4DA2"/>
    <w:rsid w:val="0031082B"/>
    <w:rsid w:val="00366120"/>
    <w:rsid w:val="003871F8"/>
    <w:rsid w:val="003D60AA"/>
    <w:rsid w:val="00405347"/>
    <w:rsid w:val="0045015F"/>
    <w:rsid w:val="0045539C"/>
    <w:rsid w:val="005001CE"/>
    <w:rsid w:val="0050313C"/>
    <w:rsid w:val="00510639"/>
    <w:rsid w:val="00535230"/>
    <w:rsid w:val="00580554"/>
    <w:rsid w:val="005909AA"/>
    <w:rsid w:val="005D5313"/>
    <w:rsid w:val="00680D7D"/>
    <w:rsid w:val="006D5087"/>
    <w:rsid w:val="006F4076"/>
    <w:rsid w:val="006F6FBB"/>
    <w:rsid w:val="00745DF5"/>
    <w:rsid w:val="00770652"/>
    <w:rsid w:val="007757FE"/>
    <w:rsid w:val="007862D2"/>
    <w:rsid w:val="00817AD3"/>
    <w:rsid w:val="00845CB3"/>
    <w:rsid w:val="008A38C2"/>
    <w:rsid w:val="008E598F"/>
    <w:rsid w:val="00904C5D"/>
    <w:rsid w:val="00953668"/>
    <w:rsid w:val="00993C14"/>
    <w:rsid w:val="009B60B2"/>
    <w:rsid w:val="009B663C"/>
    <w:rsid w:val="009F46F0"/>
    <w:rsid w:val="00A03797"/>
    <w:rsid w:val="00A116C3"/>
    <w:rsid w:val="00A2552D"/>
    <w:rsid w:val="00A4183F"/>
    <w:rsid w:val="00A67B80"/>
    <w:rsid w:val="00A75C97"/>
    <w:rsid w:val="00A9083D"/>
    <w:rsid w:val="00AF3C34"/>
    <w:rsid w:val="00AF4D8F"/>
    <w:rsid w:val="00B04104"/>
    <w:rsid w:val="00B2157E"/>
    <w:rsid w:val="00B21EBE"/>
    <w:rsid w:val="00B8697E"/>
    <w:rsid w:val="00BA1F8F"/>
    <w:rsid w:val="00BB4D8D"/>
    <w:rsid w:val="00BC3547"/>
    <w:rsid w:val="00BE5F59"/>
    <w:rsid w:val="00C26B2C"/>
    <w:rsid w:val="00CE6D26"/>
    <w:rsid w:val="00D44A2B"/>
    <w:rsid w:val="00DB1016"/>
    <w:rsid w:val="00DE1EF5"/>
    <w:rsid w:val="00E027F6"/>
    <w:rsid w:val="00E2681E"/>
    <w:rsid w:val="00E92597"/>
    <w:rsid w:val="00EC54FB"/>
    <w:rsid w:val="00F268FF"/>
    <w:rsid w:val="00F70BB9"/>
    <w:rsid w:val="00FC2C30"/>
    <w:rsid w:val="00FE1030"/>
    <w:rsid w:val="00FE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354D56-C5EA-4581-A753-02E95151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75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757A"/>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057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57A"/>
    <w:rPr>
      <w:sz w:val="16"/>
      <w:szCs w:val="16"/>
    </w:rPr>
  </w:style>
  <w:style w:type="paragraph" w:styleId="CommentText">
    <w:name w:val="annotation text"/>
    <w:basedOn w:val="Normal"/>
    <w:link w:val="CommentTextChar"/>
    <w:uiPriority w:val="99"/>
    <w:semiHidden/>
    <w:unhideWhenUsed/>
    <w:rsid w:val="0005757A"/>
    <w:pPr>
      <w:spacing w:line="240" w:lineRule="auto"/>
    </w:pPr>
    <w:rPr>
      <w:sz w:val="20"/>
      <w:szCs w:val="20"/>
    </w:rPr>
  </w:style>
  <w:style w:type="character" w:customStyle="1" w:styleId="CommentTextChar">
    <w:name w:val="Comment Text Char"/>
    <w:basedOn w:val="DefaultParagraphFont"/>
    <w:link w:val="CommentText"/>
    <w:uiPriority w:val="99"/>
    <w:semiHidden/>
    <w:rsid w:val="0005757A"/>
    <w:rPr>
      <w:sz w:val="20"/>
      <w:szCs w:val="20"/>
    </w:rPr>
  </w:style>
  <w:style w:type="paragraph" w:styleId="BalloonText">
    <w:name w:val="Balloon Text"/>
    <w:basedOn w:val="Normal"/>
    <w:link w:val="BalloonTextChar"/>
    <w:uiPriority w:val="99"/>
    <w:semiHidden/>
    <w:unhideWhenUsed/>
    <w:rsid w:val="000575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57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5038</Words>
  <Characters>28722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Samjhana</dc:creator>
  <cp:keywords/>
  <dc:description/>
  <cp:lastModifiedBy>Samjhana</cp:lastModifiedBy>
  <cp:revision>70</cp:revision>
  <dcterms:created xsi:type="dcterms:W3CDTF">2018-05-04T13:40:00Z</dcterms:created>
  <dcterms:modified xsi:type="dcterms:W3CDTF">2018-05-22T14:16:00Z</dcterms:modified>
</cp:coreProperties>
</file>