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Heading1"/>
        <w:pBdr/>
        <w:spacing w:before="0" w:line="360" w:lineRule="auto"/>
        <w:contextualSpacing w:val="0"/>
        <w:rPr>
          <w:b w:val="1"/>
        </w:rPr>
      </w:pPr>
      <w:bookmarkStart w:colFirst="0" w:colLast="0" w:name="_gjdgxs" w:id="0"/>
      <w:bookmarkEnd w:id="0"/>
      <w:r w:rsidDel="00000000" w:rsidR="00000000" w:rsidRPr="00000000">
        <w:rPr>
          <w:b w:val="1"/>
          <w:rtl w:val="0"/>
        </w:rPr>
        <w:t xml:space="preserve">METHOD</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0"/>
        <w:keepLines w:val="0"/>
        <w:widowControl w:val="0"/>
        <w:numPr>
          <w:ilvl w:val="0"/>
          <w:numId w:val="2"/>
        </w:numPr>
        <w:pBdr/>
        <w:spacing w:after="0" w:before="0" w:line="360" w:lineRule="auto"/>
        <w:ind w:left="426" w:right="0" w:hanging="426"/>
        <w:contextualSpacing w:val="1"/>
        <w:jc w:val="both"/>
        <w:rPr>
          <w:rFonts w:ascii="Times New Roman" w:cs="Times New Roman" w:eastAsia="Times New Roman" w:hAnsi="Times New Roman"/>
          <w:b w:val="1"/>
          <w:i w:val="0"/>
          <w:smallCaps w:val="0"/>
          <w:strike w:val="0"/>
          <w:color w:val="000000"/>
          <w:sz w:val="24"/>
          <w:szCs w:val="24"/>
          <w:u w:val="none"/>
          <w:vertAlign w:val="baseline"/>
        </w:rPr>
      </w:pPr>
      <w:bookmarkStart w:colFirst="0" w:colLast="0" w:name="_677c8adc9w3x" w:id="1"/>
      <w:bookmarkEnd w:id="1"/>
      <w:r w:rsidDel="00000000" w:rsidR="00000000" w:rsidRPr="00000000">
        <w:rPr>
          <w:rFonts w:ascii="Times New Roman" w:cs="Times New Roman" w:eastAsia="Times New Roman" w:hAnsi="Times New Roman"/>
          <w:b w:val="1"/>
          <w:sz w:val="24"/>
          <w:szCs w:val="24"/>
          <w:rtl w:val="0"/>
        </w:rPr>
        <w:t xml:space="preserve">Objectives</w:t>
      </w:r>
    </w:p>
    <w:p w:rsidR="00000000" w:rsidDel="00000000" w:rsidP="00000000" w:rsidRDefault="00000000" w:rsidRPr="00000000">
      <w:pPr>
        <w:keepNext w:val="0"/>
        <w:keepLines w:val="0"/>
        <w:widowControl w:val="0"/>
        <w:pBdr/>
        <w:spacing w:after="0" w:before="0" w:line="360" w:lineRule="auto"/>
        <w:ind w:right="0"/>
        <w:contextualSpacing w:val="0"/>
        <w:jc w:val="both"/>
        <w:rPr>
          <w:rFonts w:ascii="Times New Roman" w:cs="Times New Roman" w:eastAsia="Times New Roman" w:hAnsi="Times New Roman"/>
          <w:sz w:val="24"/>
          <w:szCs w:val="24"/>
        </w:rPr>
      </w:pPr>
      <w:bookmarkStart w:colFirst="0" w:colLast="0" w:name="_cdheofsm9v3e" w:id="2"/>
      <w:bookmarkEnd w:id="2"/>
      <w:r w:rsidDel="00000000" w:rsidR="00000000" w:rsidRPr="00000000">
        <w:rPr>
          <w:rFonts w:ascii="Times New Roman" w:cs="Times New Roman" w:eastAsia="Times New Roman" w:hAnsi="Times New Roman"/>
          <w:sz w:val="24"/>
          <w:szCs w:val="24"/>
          <w:rtl w:val="0"/>
        </w:rPr>
        <w:t xml:space="preserve">The objectives of this activity are to:</w:t>
      </w:r>
    </w:p>
    <w:p w:rsidR="00000000" w:rsidDel="00000000" w:rsidP="00000000" w:rsidRDefault="00000000" w:rsidRPr="00000000">
      <w:pPr>
        <w:keepNext w:val="0"/>
        <w:keepLines w:val="0"/>
        <w:widowControl w:val="0"/>
        <w:numPr>
          <w:ilvl w:val="0"/>
          <w:numId w:val="1"/>
        </w:numPr>
        <w:pBdr/>
        <w:spacing w:after="0" w:before="0" w:line="360" w:lineRule="auto"/>
        <w:ind w:left="720" w:right="0" w:hanging="360"/>
        <w:contextualSpacing w:val="1"/>
        <w:jc w:val="both"/>
        <w:rPr>
          <w:rFonts w:ascii="Times New Roman" w:cs="Times New Roman" w:eastAsia="Times New Roman" w:hAnsi="Times New Roman"/>
          <w:sz w:val="24"/>
          <w:szCs w:val="24"/>
          <w:u w:val="none"/>
        </w:rPr>
      </w:pPr>
      <w:bookmarkStart w:colFirst="0" w:colLast="0" w:name="_va8rtzmhp630" w:id="3"/>
      <w:bookmarkEnd w:id="3"/>
      <w:commentRangeStart w:id="0"/>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keepNext w:val="0"/>
        <w:keepLines w:val="0"/>
        <w:widowControl w:val="0"/>
        <w:numPr>
          <w:ilvl w:val="0"/>
          <w:numId w:val="1"/>
        </w:numPr>
        <w:pBdr/>
        <w:spacing w:after="0" w:before="0" w:line="360" w:lineRule="auto"/>
        <w:ind w:left="720" w:right="0" w:hanging="360"/>
        <w:contextualSpacing w:val="1"/>
        <w:jc w:val="both"/>
        <w:rPr>
          <w:rFonts w:ascii="Times New Roman" w:cs="Times New Roman" w:eastAsia="Times New Roman" w:hAnsi="Times New Roman"/>
          <w:sz w:val="24"/>
          <w:szCs w:val="24"/>
          <w:u w:val="none"/>
        </w:rPr>
      </w:pPr>
      <w:bookmarkStart w:colFirst="0" w:colLast="0" w:name="_4zjpdw4ey5ln" w:id="4"/>
      <w:bookmarkEnd w:id="4"/>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keepNext w:val="0"/>
        <w:keepLines w:val="0"/>
        <w:widowControl w:val="0"/>
        <w:numPr>
          <w:ilvl w:val="0"/>
          <w:numId w:val="1"/>
        </w:numPr>
        <w:pBdr/>
        <w:spacing w:after="0" w:before="0" w:line="360" w:lineRule="auto"/>
        <w:ind w:left="720" w:right="0" w:hanging="360"/>
        <w:contextualSpacing w:val="1"/>
        <w:jc w:val="both"/>
        <w:rPr>
          <w:rFonts w:ascii="Times New Roman" w:cs="Times New Roman" w:eastAsia="Times New Roman" w:hAnsi="Times New Roman"/>
          <w:sz w:val="24"/>
          <w:szCs w:val="24"/>
          <w:u w:val="none"/>
        </w:rPr>
      </w:pPr>
      <w:bookmarkStart w:colFirst="0" w:colLast="0" w:name="_ymphptio0hko" w:id="5"/>
      <w:bookmarkEnd w:id="5"/>
      <w:r w:rsidDel="00000000" w:rsidR="00000000" w:rsidRPr="00000000">
        <w:rPr>
          <w:rFonts w:ascii="Times New Roman" w:cs="Times New Roman" w:eastAsia="Times New Roman" w:hAnsi="Times New Roman"/>
          <w:sz w:val="24"/>
          <w:szCs w:val="24"/>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pPr>
        <w:keepNext w:val="0"/>
        <w:keepLines w:val="0"/>
        <w:widowControl w:val="0"/>
        <w:numPr>
          <w:ilvl w:val="0"/>
          <w:numId w:val="2"/>
        </w:numPr>
        <w:pBdr/>
        <w:spacing w:after="0" w:before="0" w:line="360" w:lineRule="auto"/>
        <w:ind w:left="426" w:right="0" w:hanging="426"/>
        <w:contextualSpacing w:val="1"/>
        <w:jc w:val="both"/>
        <w:rPr>
          <w:rFonts w:ascii="Times New Roman" w:cs="Times New Roman" w:eastAsia="Times New Roman" w:hAnsi="Times New Roman"/>
          <w:b w:val="1"/>
          <w:i w:val="0"/>
          <w:smallCaps w:val="0"/>
          <w:strike w:val="0"/>
          <w:color w:val="000000"/>
          <w:sz w:val="24"/>
          <w:szCs w:val="24"/>
          <w:u w:val="none"/>
          <w:vertAlign w:val="baseline"/>
        </w:rPr>
      </w:pPr>
      <w:bookmarkStart w:colFirst="0" w:colLast="0" w:name="_30j0zll" w:id="6"/>
      <w:bookmarkEnd w:id="6"/>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Preparation</w:t>
      </w:r>
    </w:p>
    <w:p w:rsidR="00000000" w:rsidDel="00000000" w:rsidP="00000000" w:rsidRDefault="00000000" w:rsidRPr="00000000">
      <w:pPr>
        <w:keepNext w:val="0"/>
        <w:keepLines w:val="0"/>
        <w:widowControl w:val="0"/>
        <w:pBdr/>
        <w:spacing w:after="0" w:before="0" w:line="360" w:lineRule="auto"/>
        <w:ind w:left="426" w:right="0" w:firstLine="0"/>
        <w:contextualSpacing w:val="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Preparation is done by providing tools and materials that will be used for data retrieval as in Table 3.1</w:t>
      </w:r>
    </w:p>
    <w:p w:rsidR="00000000" w:rsidDel="00000000" w:rsidP="00000000" w:rsidRDefault="00000000" w:rsidRPr="00000000">
      <w:pPr>
        <w:keepNext w:val="0"/>
        <w:keepLines w:val="0"/>
        <w:widowControl w:val="0"/>
        <w:pBdr/>
        <w:spacing w:after="0" w:before="0" w:line="360" w:lineRule="auto"/>
        <w:ind w:left="426" w:right="0" w:firstLine="0"/>
        <w:contextualSpacing w:val="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Table 3.1</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Tools and materials</w:t>
      </w:r>
    </w:p>
    <w:tbl>
      <w:tblPr>
        <w:tblStyle w:val="Table1"/>
        <w:bidiVisual w:val="0"/>
        <w:tblW w:w="61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2867"/>
        <w:gridCol w:w="2777"/>
        <w:tblGridChange w:id="0">
          <w:tblGrid>
            <w:gridCol w:w="510"/>
            <w:gridCol w:w="2867"/>
            <w:gridCol w:w="2777"/>
          </w:tblGrid>
        </w:tblGridChange>
      </w:tblGrid>
      <w:tr>
        <w:trPr>
          <w:trHeight w:val="20" w:hRule="atLeast"/>
        </w:trPr>
        <w:tc>
          <w:tcPr>
            <w:shd w:fill="ffffff"/>
            <w:vAlign w:val="center"/>
          </w:tcPr>
          <w:p w:rsidR="00000000" w:rsidDel="00000000" w:rsidP="00000000" w:rsidRDefault="00000000" w:rsidRPr="00000000">
            <w:pPr>
              <w:pBdr/>
              <w:spacing w:after="0" w:line="36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fffff"/>
            <w:vAlign w:val="center"/>
          </w:tcPr>
          <w:p w:rsidR="00000000" w:rsidDel="00000000" w:rsidP="00000000" w:rsidRDefault="00000000" w:rsidRPr="00000000">
            <w:pPr>
              <w:pBdr/>
              <w:spacing w:after="0" w:line="36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w:t>
            </w:r>
          </w:p>
        </w:tc>
        <w:tc>
          <w:tcPr>
            <w:shd w:fill="ffffff"/>
            <w:vAlign w:val="center"/>
          </w:tcPr>
          <w:p w:rsidR="00000000" w:rsidDel="00000000" w:rsidP="00000000" w:rsidRDefault="00000000" w:rsidRPr="00000000">
            <w:pPr>
              <w:pBdr/>
              <w:spacing w:after="0" w:line="360"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w:t>
            </w:r>
          </w:p>
        </w:tc>
      </w:tr>
      <w:tr>
        <w:trPr>
          <w:trHeight w:val="20" w:hRule="atLeast"/>
        </w:trPr>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sampler</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Etiquette</w:t>
            </w:r>
          </w:p>
        </w:tc>
      </w:tr>
      <w:tr>
        <w:trPr>
          <w:trHeight w:val="20" w:hRule="atLeast"/>
        </w:trPr>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GPS receiver</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Plastic string</w:t>
            </w:r>
          </w:p>
        </w:tc>
      </w:tr>
      <w:tr>
        <w:trPr>
          <w:trHeight w:val="20" w:hRule="atLeast"/>
        </w:trPr>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Bamboo stick</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Aluminum foil</w:t>
            </w:r>
          </w:p>
        </w:tc>
      </w:tr>
      <w:tr>
        <w:trPr>
          <w:trHeight w:val="20" w:hRule="atLeast"/>
        </w:trPr>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DBH tape</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Plastic (1 Kg and 5 Kg)</w:t>
            </w:r>
          </w:p>
        </w:tc>
      </w:tr>
      <w:tr>
        <w:trPr>
          <w:trHeight w:val="20" w:hRule="atLeast"/>
        </w:trPr>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Clothes meter</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Alcohol 70%</w:t>
            </w:r>
          </w:p>
        </w:tc>
      </w:tr>
      <w:tr>
        <w:trPr>
          <w:trHeight w:val="20" w:hRule="atLeast"/>
        </w:trPr>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Densitometer</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Papers</w:t>
            </w:r>
          </w:p>
        </w:tc>
      </w:tr>
      <w:tr>
        <w:trPr>
          <w:trHeight w:val="20" w:hRule="atLeast"/>
        </w:trPr>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Soil Tester</w:t>
            </w:r>
          </w:p>
        </w:tc>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tl w:val="0"/>
              </w:rPr>
            </w:r>
          </w:p>
        </w:tc>
      </w:tr>
      <w:tr>
        <w:trPr>
          <w:trHeight w:val="20" w:hRule="atLeast"/>
        </w:trPr>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Scales</w:t>
            </w:r>
          </w:p>
        </w:tc>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tl w:val="0"/>
              </w:rPr>
            </w:r>
          </w:p>
        </w:tc>
      </w:tr>
      <w:tr>
        <w:trPr>
          <w:trHeight w:val="20" w:hRule="atLeast"/>
        </w:trPr>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Compass Brunton</w:t>
            </w:r>
          </w:p>
        </w:tc>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tl w:val="0"/>
              </w:rPr>
            </w:r>
          </w:p>
        </w:tc>
      </w:tr>
      <w:tr>
        <w:trPr>
          <w:trHeight w:val="20" w:hRule="atLeast"/>
        </w:trPr>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Crucifixion plate</w:t>
            </w:r>
          </w:p>
        </w:tc>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tl w:val="0"/>
              </w:rPr>
            </w:r>
          </w:p>
        </w:tc>
      </w:tr>
      <w:tr>
        <w:trPr>
          <w:trHeight w:val="20" w:hRule="atLeast"/>
        </w:trPr>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oven</w:t>
            </w:r>
          </w:p>
        </w:tc>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tl w:val="0"/>
              </w:rPr>
            </w:r>
          </w:p>
        </w:tc>
      </w:tr>
      <w:tr>
        <w:trPr>
          <w:trHeight w:val="20" w:hRule="atLeast"/>
        </w:trPr>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Oven furnace</w:t>
            </w:r>
          </w:p>
        </w:tc>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tl w:val="0"/>
              </w:rPr>
            </w:r>
          </w:p>
        </w:tc>
      </w:tr>
      <w:tr>
        <w:trPr>
          <w:trHeight w:val="20" w:hRule="atLeast"/>
        </w:trPr>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Sasak plants</w:t>
            </w:r>
          </w:p>
        </w:tc>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tl w:val="0"/>
              </w:rPr>
            </w:r>
          </w:p>
        </w:tc>
      </w:tr>
      <w:tr>
        <w:trPr>
          <w:trHeight w:val="20" w:hRule="atLeast"/>
        </w:trPr>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ffffff"/>
          </w:tcPr>
          <w:p w:rsidR="00000000" w:rsidDel="00000000" w:rsidP="00000000" w:rsidRDefault="00000000" w:rsidRPr="00000000">
            <w:pPr>
              <w:pBd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books</w:t>
            </w:r>
          </w:p>
        </w:tc>
        <w:tc>
          <w:tcPr>
            <w:shd w:fill="ffffff"/>
            <w:vAlign w:val="center"/>
          </w:tcPr>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pPr>
        <w:keepNext w:val="0"/>
        <w:keepLines w:val="0"/>
        <w:widowControl w:val="0"/>
        <w:pBdr/>
        <w:spacing w:after="0" w:before="0" w:line="360" w:lineRule="auto"/>
        <w:ind w:left="426" w:right="0" w:firstLine="0"/>
        <w:contextualSpacing w:val="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pPr>
        <w:keepNext w:val="0"/>
        <w:keepLines w:val="0"/>
        <w:widowControl w:val="0"/>
        <w:numPr>
          <w:ilvl w:val="0"/>
          <w:numId w:val="2"/>
        </w:numPr>
        <w:pBdr/>
        <w:spacing w:after="0" w:before="0" w:line="360" w:lineRule="auto"/>
        <w:ind w:left="426" w:right="0" w:hanging="426"/>
        <w:contextualSpacing w:val="1"/>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Data Collection Method</w:t>
      </w:r>
    </w:p>
    <w:p w:rsidR="00000000" w:rsidDel="00000000" w:rsidP="00000000" w:rsidRDefault="00000000" w:rsidRPr="00000000">
      <w:pPr>
        <w:keepNext w:val="0"/>
        <w:keepLines w:val="0"/>
        <w:widowControl w:val="0"/>
        <w:numPr>
          <w:ilvl w:val="1"/>
          <w:numId w:val="2"/>
        </w:numPr>
        <w:pBdr/>
        <w:spacing w:after="0" w:before="0" w:line="360" w:lineRule="auto"/>
        <w:ind w:left="567" w:right="0" w:hanging="567"/>
        <w:contextualSpacing w:val="1"/>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Determination of Observation Locations</w:t>
      </w:r>
    </w:p>
    <w:p w:rsidR="00000000" w:rsidDel="00000000" w:rsidP="00000000" w:rsidRDefault="00000000" w:rsidRPr="00000000">
      <w:pPr>
        <w:keepNext w:val="0"/>
        <w:keepLines w:val="0"/>
        <w:widowControl w:val="0"/>
        <w:pBdr/>
        <w:spacing w:after="0" w:before="0" w:line="360" w:lineRule="auto"/>
        <w:ind w:left="0" w:right="0" w:firstLine="567"/>
        <w:contextualSpacing w:val="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Preparation of the location of data collection is done by direct and indirect survey. A survey conducted a direct survey to the field with to take coordinate points. An indirect survey by classifying land cover using the Google Earth base map done in ArcMap 10.4.1. Cikapundung River was digitised onscreen using a polyline shapefile, then buffered as far as 100 m left in the river and segmented along 403 m so as to produce 99 segments on the left and right side of the river (Figure 3.1). Classification is based on SNI 1: 250.000 standard using eight classes of the settlement, industrial building, forest, bush and shrub, rice field, moor, grassland, and water body. In each segment will be data collection plants and soil on the right side of the river so that the total point of observation is 198.</w:t>
      </w:r>
    </w:p>
    <w:p w:rsidR="00000000" w:rsidDel="00000000" w:rsidP="00000000" w:rsidRDefault="00000000" w:rsidRPr="00000000">
      <w:pPr>
        <w:keepNext w:val="0"/>
        <w:keepLines w:val="0"/>
        <w:widowControl w:val="0"/>
        <w:pBdr/>
        <w:spacing w:after="0" w:before="0" w:line="360" w:lineRule="auto"/>
        <w:ind w:left="0" w:right="0" w:firstLine="567"/>
        <w:contextualSpacing w:val="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drawing>
          <wp:inline distB="0" distT="0" distL="0" distR="0">
            <wp:extent cx="4283230" cy="5190954"/>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283230" cy="519095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1930400</wp:posOffset>
                </wp:positionH>
                <wp:positionV relativeFrom="paragraph">
                  <wp:posOffset>1574800</wp:posOffset>
                </wp:positionV>
                <wp:extent cx="1168400" cy="114300"/>
                <wp:effectExtent b="0" l="0" r="0" t="0"/>
                <wp:wrapNone/>
                <wp:docPr id="8" name=""/>
                <a:graphic>
                  <a:graphicData uri="http://schemas.microsoft.com/office/word/2010/wordprocessingShape">
                    <wps:wsp>
                      <wps:cNvCnPr/>
                      <wps:spPr>
                        <a:xfrm flipH="1" rot="10800000">
                          <a:off x="4761164" y="3726660"/>
                          <a:ext cx="1169669" cy="10668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1930400</wp:posOffset>
                </wp:positionH>
                <wp:positionV relativeFrom="paragraph">
                  <wp:posOffset>1574800</wp:posOffset>
                </wp:positionV>
                <wp:extent cx="1168400" cy="114300"/>
                <wp:effectExtent b="0" l="0" r="0" t="0"/>
                <wp:wrapNone/>
                <wp:docPr id="8"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16840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1727200</wp:posOffset>
                </wp:positionH>
                <wp:positionV relativeFrom="paragraph">
                  <wp:posOffset>1917700</wp:posOffset>
                </wp:positionV>
                <wp:extent cx="1384300" cy="1536700"/>
                <wp:effectExtent b="0" l="0" r="0" t="0"/>
                <wp:wrapNone/>
                <wp:docPr id="7" name=""/>
                <a:graphic>
                  <a:graphicData uri="http://schemas.microsoft.com/office/word/2010/wordprocessingShape">
                    <wps:wsp>
                      <wps:cNvCnPr/>
                      <wps:spPr>
                        <a:xfrm>
                          <a:off x="4652580" y="3012919"/>
                          <a:ext cx="1386840" cy="153416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1727200</wp:posOffset>
                </wp:positionH>
                <wp:positionV relativeFrom="paragraph">
                  <wp:posOffset>1917700</wp:posOffset>
                </wp:positionV>
                <wp:extent cx="1384300" cy="1536700"/>
                <wp:effectExtent b="0" l="0" r="0" t="0"/>
                <wp:wrapNone/>
                <wp:docPr id="7"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384300" cy="1536700"/>
                        </a:xfrm>
                        <a:prstGeom prst="rect"/>
                        <a:ln/>
                      </pic:spPr>
                    </pic:pic>
                  </a:graphicData>
                </a:graphic>
              </wp:anchor>
            </w:drawing>
          </mc:Fallback>
        </mc:AlternateContent>
      </w:r>
      <w:r w:rsidDel="00000000" w:rsidR="00000000" w:rsidRPr="00000000">
        <w:drawing>
          <wp:anchor allowOverlap="1" behindDoc="0" distB="0" distT="0" distL="114300" distR="114300" hidden="0" layoutInCell="0" locked="0" relativeHeight="0" simplePos="0">
            <wp:simplePos x="0" y="0"/>
            <wp:positionH relativeFrom="margin">
              <wp:posOffset>3131073</wp:posOffset>
            </wp:positionH>
            <wp:positionV relativeFrom="paragraph">
              <wp:posOffset>1581599</wp:posOffset>
            </wp:positionV>
            <wp:extent cx="2143125" cy="1878396"/>
            <wp:effectExtent b="0" l="0" r="0" t="0"/>
            <wp:wrapNone/>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43125" cy="1878396"/>
                    </a:xfrm>
                    <a:prstGeom prst="rect"/>
                    <a:ln/>
                  </pic:spPr>
                </pic:pic>
              </a:graphicData>
            </a:graphic>
          </wp:anchor>
        </w:drawing>
      </w:r>
    </w:p>
    <w:p w:rsidR="00000000" w:rsidDel="00000000" w:rsidP="00000000" w:rsidRDefault="00000000" w:rsidRPr="00000000">
      <w:pPr>
        <w:keepNext w:val="0"/>
        <w:keepLines w:val="0"/>
        <w:widowControl w:val="0"/>
        <w:pBdr/>
        <w:spacing w:after="0" w:before="0" w:line="360" w:lineRule="auto"/>
        <w:ind w:left="0" w:right="0" w:firstLine="567"/>
        <w:contextualSpacing w:val="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Figure 3.1</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Segmentation of Cikapundung River</w:t>
      </w:r>
    </w:p>
    <w:p w:rsidR="00000000" w:rsidDel="00000000" w:rsidP="00000000" w:rsidRDefault="00000000" w:rsidRPr="00000000">
      <w:pPr>
        <w:keepNext w:val="0"/>
        <w:keepLines w:val="0"/>
        <w:widowControl w:val="0"/>
        <w:pBdr/>
        <w:spacing w:after="0" w:before="0" w:line="360" w:lineRule="auto"/>
        <w:ind w:left="0" w:right="0" w:firstLine="567"/>
        <w:contextualSpacing w:val="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pPr>
        <w:keepNext w:val="0"/>
        <w:keepLines w:val="0"/>
        <w:widowControl w:val="0"/>
        <w:numPr>
          <w:ilvl w:val="1"/>
          <w:numId w:val="2"/>
        </w:numPr>
        <w:pBdr/>
        <w:spacing w:after="0" w:before="0" w:line="360" w:lineRule="auto"/>
        <w:ind w:left="360" w:right="0" w:hanging="432"/>
        <w:contextualSpacing w:val="1"/>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Preparation of Vegetation Observation and Observation Plots</w:t>
      </w:r>
    </w:p>
    <w:p w:rsidR="00000000" w:rsidDel="00000000" w:rsidP="00000000" w:rsidRDefault="00000000" w:rsidRPr="00000000">
      <w:pPr>
        <w:keepNext w:val="0"/>
        <w:keepLines w:val="0"/>
        <w:widowControl w:val="0"/>
        <w:pBdr/>
        <w:spacing w:after="0" w:before="0" w:line="360" w:lineRule="auto"/>
        <w:ind w:left="0" w:right="0" w:firstLine="426"/>
        <w:contextualSpacing w:val="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research was done by using belt transect method. The plot is made with a size of 20 m x 5 m which are placed parallel to the length of the river. In the plot 20 m x 5 m there are four subplots measuring 5 m x 5 m (Figure 3.2). The area in 1 vegetation observation plot is 100 m ^ 2, so in this study, the total area of the observation plot is 1.98 ha.</w:t>
      </w:r>
    </w:p>
    <w:p w:rsidR="00000000" w:rsidDel="00000000" w:rsidP="00000000" w:rsidRDefault="00000000" w:rsidRPr="00000000">
      <w:pPr>
        <w:keepNext w:val="0"/>
        <w:keepLines w:val="0"/>
        <w:widowControl w:val="0"/>
        <w:pBdr/>
        <w:spacing w:after="0" w:before="0" w:line="360" w:lineRule="auto"/>
        <w:ind w:left="0" w:right="0" w:firstLine="426"/>
        <w:contextualSpacing w:val="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drawing>
          <wp:inline distB="0" distT="0" distL="0" distR="0">
            <wp:extent cx="2275039" cy="3448992"/>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275039" cy="3448992"/>
                    </a:xfrm>
                    <a:prstGeom prst="rect"/>
                    <a:ln/>
                  </pic:spPr>
                </pic:pic>
              </a:graphicData>
            </a:graphic>
          </wp:inline>
        </w:drawing>
      </w: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0" w:right="0" w:firstLine="360"/>
        <w:contextualSpacing w:val="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Figure 3.2</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Plot observation of plants</w:t>
      </w:r>
    </w:p>
    <w:p w:rsidR="00000000" w:rsidDel="00000000" w:rsidP="00000000" w:rsidRDefault="00000000" w:rsidRPr="00000000">
      <w:pPr>
        <w:keepNext w:val="0"/>
        <w:keepLines w:val="0"/>
        <w:widowControl w:val="0"/>
        <w:pBdr/>
        <w:spacing w:after="0" w:before="0" w:line="360" w:lineRule="auto"/>
        <w:ind w:left="360" w:right="0" w:firstLine="0"/>
        <w:contextualSpacing w:val="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Gungsuh" w:cs="Gungsuh" w:eastAsia="Gungsuh" w:hAnsi="Gungsuh"/>
          <w:b w:val="0"/>
          <w:i w:val="0"/>
          <w:smallCaps w:val="0"/>
          <w:strike w:val="0"/>
          <w:color w:val="000000"/>
          <w:sz w:val="24"/>
          <w:szCs w:val="24"/>
          <w:u w:val="none"/>
          <w:vertAlign w:val="baseline"/>
          <w:rtl w:val="0"/>
        </w:rPr>
        <w:t xml:space="preserve">Plot size 20 m x 5 m for analysis of trees with diameters ≥ 10 cm, 5x5 meters for tree analysis &lt;10 cm, shrubs and herbs. In this study, the analysis and measurement of trees are done based on life stages include trees, poles, stakes and seedlings. The characteristics of each of these steps are that the seedlings have a height of ≤ 1.5 m, Sapling height&gt; 1.5 m and DBH ≤ 10 cm, the pole has DBH 10cm &lt;DBH ≤ 20 cm and Tree (sawlog) DBH&gt; 20 cm.</w:t>
      </w:r>
    </w:p>
    <w:p w:rsidR="00000000" w:rsidDel="00000000" w:rsidP="00000000" w:rsidRDefault="00000000" w:rsidRPr="00000000">
      <w:pPr>
        <w:keepNext w:val="0"/>
        <w:keepLines w:val="0"/>
        <w:widowControl w:val="0"/>
        <w:pBdr/>
        <w:spacing w:after="0" w:before="0" w:line="360" w:lineRule="auto"/>
        <w:ind w:left="360" w:right="0" w:firstLine="0"/>
        <w:contextualSpacing w:val="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Gungsuh" w:cs="Gungsuh" w:eastAsia="Gungsuh" w:hAnsi="Gungsuh"/>
          <w:b w:val="0"/>
          <w:i w:val="0"/>
          <w:smallCaps w:val="0"/>
          <w:strike w:val="0"/>
          <w:color w:val="000000"/>
          <w:sz w:val="24"/>
          <w:szCs w:val="24"/>
          <w:u w:val="none"/>
          <w:vertAlign w:val="baseline"/>
          <w:rtl w:val="0"/>
        </w:rPr>
        <w:t xml:space="preserve">Data were taken for tree diameter ≥ 10 cm is DBH (diameter at breast height), as well as the number of individuals, trees &lt;10 cm is the percentage of boards and number of individuals. As for the shrubs and herbs of data taken is the percentage of hoards. Plants not identified in the field were duplicated for the herbarium and further identified at the Terrestrial Ecosystem Analysis Laboratory SITH ITB.</w:t>
      </w:r>
    </w:p>
    <w:p w:rsidR="00000000" w:rsidDel="00000000" w:rsidP="00000000" w:rsidRDefault="00000000" w:rsidRPr="00000000">
      <w:pPr>
        <w:keepNext w:val="0"/>
        <w:keepLines w:val="0"/>
        <w:widowControl w:val="0"/>
        <w:pBdr/>
        <w:spacing w:after="0" w:before="0" w:line="360" w:lineRule="auto"/>
        <w:ind w:left="360" w:right="0" w:firstLine="0"/>
        <w:contextualSpacing w:val="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measurement of DBH is the diameter of the rods approximately at the height of 1.3 meters above the ground. DBH is used to determine the basal area of ​​the tree (LAB) which is one of the important values ​​index parameters. The area of ​​the basal area is the surface area covered by the tree trunk. In the field conditions are often found a few exceptions due to the form of a variety of tree trunks. DBH measurement method on various tree shapes in Figure 3.3.</w:t>
      </w:r>
      <w:r w:rsidDel="00000000" w:rsidR="00000000" w:rsidRPr="00000000">
        <w:drawing>
          <wp:inline distB="0" distT="0" distL="0" distR="0">
            <wp:extent cx="3576319" cy="1385658"/>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576319" cy="1385658"/>
                    </a:xfrm>
                    <a:prstGeom prst="rect"/>
                    <a:ln/>
                  </pic:spPr>
                </pic:pic>
              </a:graphicData>
            </a:graphic>
          </wp:inline>
        </w:drawing>
      </w: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360" w:right="0" w:firstLine="0"/>
        <w:contextualSpacing w:val="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drawing>
          <wp:inline distB="0" distT="0" distL="0" distR="0">
            <wp:extent cx="3552649" cy="1559757"/>
            <wp:effectExtent b="0" l="0" r="0" t="0"/>
            <wp:docPr id="5" name="image10.png"/>
            <a:graphic>
              <a:graphicData uri="http://schemas.openxmlformats.org/drawingml/2006/picture">
                <pic:pic>
                  <pic:nvPicPr>
                    <pic:cNvPr id="0" name="image10.png"/>
                    <pic:cNvPicPr preferRelativeResize="0"/>
                  </pic:nvPicPr>
                  <pic:blipFill>
                    <a:blip r:embed="rId12"/>
                    <a:srcRect b="45590" l="0" r="0" t="0"/>
                    <a:stretch>
                      <a:fillRect/>
                    </a:stretch>
                  </pic:blipFill>
                  <pic:spPr>
                    <a:xfrm>
                      <a:off x="0" y="0"/>
                      <a:ext cx="3552649" cy="1559757"/>
                    </a:xfrm>
                    <a:prstGeom prst="rect"/>
                    <a:ln/>
                  </pic:spPr>
                </pic:pic>
              </a:graphicData>
            </a:graphic>
          </wp:inline>
        </w:drawing>
      </w:r>
      <w:r w:rsidDel="00000000" w:rsidR="00000000" w:rsidRPr="00000000">
        <w:drawing>
          <wp:inline distB="0" distT="0" distL="0" distR="0">
            <wp:extent cx="3544876" cy="1466464"/>
            <wp:effectExtent b="0" l="0" r="0" t="0"/>
            <wp:docPr id="1" name="image5.png"/>
            <a:graphic>
              <a:graphicData uri="http://schemas.openxmlformats.org/drawingml/2006/picture">
                <pic:pic>
                  <pic:nvPicPr>
                    <pic:cNvPr id="0" name="image5.png"/>
                    <pic:cNvPicPr preferRelativeResize="0"/>
                  </pic:nvPicPr>
                  <pic:blipFill>
                    <a:blip r:embed="rId13"/>
                    <a:srcRect b="0" l="0" r="0" t="53292"/>
                    <a:stretch>
                      <a:fillRect/>
                    </a:stretch>
                  </pic:blipFill>
                  <pic:spPr>
                    <a:xfrm>
                      <a:off x="0" y="0"/>
                      <a:ext cx="3544876" cy="1466464"/>
                    </a:xfrm>
                    <a:prstGeom prst="rect"/>
                    <a:ln/>
                  </pic:spPr>
                </pic:pic>
              </a:graphicData>
            </a:graphic>
          </wp:inline>
        </w:drawing>
      </w:r>
      <w:r w:rsidDel="00000000" w:rsidR="00000000" w:rsidRPr="00000000">
        <w:rPr>
          <w:rtl w:val="0"/>
        </w:rPr>
      </w:r>
    </w:p>
    <w:p w:rsidR="00000000" w:rsidDel="00000000" w:rsidP="00000000" w:rsidRDefault="00000000" w:rsidRPr="00000000">
      <w:pPr>
        <w:keepNext w:val="0"/>
        <w:keepLines w:val="0"/>
        <w:widowControl w:val="0"/>
        <w:pBdr/>
        <w:spacing w:after="160" w:before="0" w:line="360" w:lineRule="auto"/>
        <w:ind w:left="360" w:right="0" w:firstLine="0"/>
        <w:contextualSpacing w:val="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Figure 3.3</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DBH measurement method</w:t>
      </w:r>
    </w:p>
    <w:p w:rsidR="00000000" w:rsidDel="00000000" w:rsidP="00000000" w:rsidRDefault="00000000" w:rsidRPr="00000000">
      <w:pPr>
        <w:pBdr/>
        <w:spacing w:after="0"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hoards of saplings (saplings and seedlings), shrubs and herbs were determined using the Daubenmire closure class (Daubenmire, 1959) (Table 3.2).</w:t>
      </w:r>
    </w:p>
    <w:p w:rsidR="00000000" w:rsidDel="00000000" w:rsidP="00000000" w:rsidRDefault="00000000" w:rsidRPr="00000000">
      <w:pPr>
        <w:pBdr/>
        <w:spacing w:after="0" w:line="36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spacing w:after="0" w:line="36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3.2</w:t>
      </w:r>
      <w:r w:rsidDel="00000000" w:rsidR="00000000" w:rsidRPr="00000000">
        <w:rPr>
          <w:rFonts w:ascii="Times New Roman" w:cs="Times New Roman" w:eastAsia="Times New Roman" w:hAnsi="Times New Roman"/>
          <w:sz w:val="24"/>
          <w:szCs w:val="24"/>
          <w:rtl w:val="0"/>
        </w:rPr>
        <w:t xml:space="preserve"> The closing scale of Daubenmire (Daubenmire, 1959)</w:t>
      </w:r>
    </w:p>
    <w:tbl>
      <w:tblPr>
        <w:tblStyle w:val="Table2"/>
        <w:bidiVisual w:val="0"/>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7"/>
        <w:gridCol w:w="3115"/>
        <w:tblGridChange w:id="0">
          <w:tblGrid>
            <w:gridCol w:w="3118"/>
            <w:gridCol w:w="3117"/>
            <w:gridCol w:w="3115"/>
          </w:tblGrid>
        </w:tblGridChange>
      </w:tblGrid>
      <w:tr>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Closing class</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Closing range</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middle-grade value</w:t>
            </w:r>
          </w:p>
        </w:tc>
      </w:tr>
      <w:tr>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95-100</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97.5</w:t>
            </w:r>
          </w:p>
        </w:tc>
      </w:tr>
      <w:tr>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75-95</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r>
      <w:tr>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50-75</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62.5</w:t>
            </w:r>
          </w:p>
        </w:tc>
      </w:tr>
      <w:tr>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25-50</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37.5</w:t>
            </w:r>
          </w:p>
        </w:tc>
      </w:tr>
      <w:tr>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5-25</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c>
          <w:tcPr/>
          <w:p w:rsidR="00000000" w:rsidDel="00000000" w:rsidP="00000000" w:rsidRDefault="00000000" w:rsidRPr="00000000">
            <w:pPr>
              <w:pBdr/>
              <w:tabs>
                <w:tab w:val="left" w:pos="497"/>
                <w:tab w:val="center" w:pos="1451"/>
              </w:tabs>
              <w:spacing w:line="360" w:lineRule="auto"/>
              <w:contextualSpacing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1</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bl>
    <w:p w:rsidR="00000000" w:rsidDel="00000000" w:rsidP="00000000" w:rsidRDefault="00000000" w:rsidRPr="00000000">
      <w:pPr>
        <w:pBdr/>
        <w:spacing w:after="0" w:line="3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data analysis used middle-class value</w:t>
      </w:r>
    </w:p>
    <w:p w:rsidR="00000000" w:rsidDel="00000000" w:rsidP="00000000" w:rsidRDefault="00000000" w:rsidRPr="00000000">
      <w:pPr>
        <w:pBdr/>
        <w:spacing w:after="0" w:line="36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0"/>
        <w:keepLines w:val="0"/>
        <w:widowControl w:val="0"/>
        <w:numPr>
          <w:ilvl w:val="1"/>
          <w:numId w:val="2"/>
        </w:numPr>
        <w:pBdr/>
        <w:spacing w:after="160" w:before="0" w:line="360" w:lineRule="auto"/>
        <w:ind w:left="567" w:right="0" w:hanging="567"/>
        <w:contextualSpacing w:val="1"/>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Measurement of the Edaphic Factor</w:t>
      </w:r>
    </w:p>
    <w:p w:rsidR="00000000" w:rsidDel="00000000" w:rsidP="00000000" w:rsidRDefault="00000000" w:rsidRPr="00000000">
      <w:pPr>
        <w:pBd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Edaphic factors measured were pH, organic content, mineral content and bulk density. Soil pH measurements were performed directly in the middle of the subplot of size 5m x 5m, so there were five repetitions in 1 plot. Soil tester is used to measure pH and soil moisture. The way to use it is by plugging the whole sensor (probe) soil tester into the soil and pH can be read directly. After the used, cleaned the sensors and traces.</w:t>
      </w:r>
    </w:p>
    <w:p w:rsidR="00000000" w:rsidDel="00000000" w:rsidP="00000000" w:rsidRDefault="00000000" w:rsidRPr="00000000">
      <w:pPr>
        <w:pBd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Measurements of organic content, minerals and soil bulk density were carried out by sampling soil samples on each plot using auger and core sampler and then analysed further in Territorial Ecosystem Analysis Laboratory SITH ITB. Calculation of organic content and soil minerals is done by using an auger to take the soil layer on horizon A with 10 cm deep. Taken approximately 10 grammes of soil and put in a sealed container known to its weight. Using the scales, weighed to form a fresh weight. In the laboratory, soil samples are fed into an oven of 105°C to a constant weight. After that, cool for a while and weigh the dry weight of the soil. Taken extracts of dry soil 5 grammes of dry soil and then put into a dry porcelain that has been known to weigh. The spraying process can be done with a high-temperature furnace or furnace (450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for 4 hours. After that, the sample was cooled in the desiccator and weighed the soil weight of the soil.</w:t>
      </w:r>
    </w:p>
    <w:p w:rsidR="00000000" w:rsidDel="00000000" w:rsidP="00000000" w:rsidRDefault="00000000" w:rsidRPr="00000000">
      <w:pPr>
        <w:keepNext w:val="0"/>
        <w:keepLines w:val="0"/>
        <w:widowControl w:val="0"/>
        <w:pBdr/>
        <w:spacing w:after="0" w:before="0" w:line="360" w:lineRule="auto"/>
        <w:ind w:left="0" w:right="0" w:firstLine="360"/>
        <w:contextualSpacing w:val="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How to sample the soil to determine the value of the weight of the contents using the core sampler (rings). The ground surface is cleaned first from grass and litter. Core sampler placed on the ground. Made a circle with the same centre with the core sampler and his fingers twice the radius of the core sampler. In the circle is made a hole around the core sampler as deep as 10 cm, so that when the core sampler is inserted easily pressed into the ground. The core sampler is pressed carefully and remains in a vertical position. When the ground is hard enough, the core sampler is hit slowly. If the core sampler has entered all the ground, the ground beneath the core sampler is cut with a shovel or knife. The ground is levelled at the mouth of the core sampler with a thin blade or nylon thread. This intact piece of soil kept in a box is maintained so that it is not destroyed for further processing in the laboratory. Soil trailing was immediately weighed with fresh analytical scales (accuracy of 0.01 g). The trailer was dried in the oven at 105OC for 24 hours and weighed a constant dry weight.</w:t>
      </w:r>
    </w:p>
    <w:p w:rsidR="00000000" w:rsidDel="00000000" w:rsidP="00000000" w:rsidRDefault="00000000" w:rsidRPr="00000000">
      <w:pPr>
        <w:keepNext w:val="0"/>
        <w:keepLines w:val="0"/>
        <w:widowControl w:val="0"/>
        <w:pBdr/>
        <w:spacing w:after="0" w:before="0" w:line="360" w:lineRule="auto"/>
        <w:ind w:left="0" w:right="0" w:firstLine="360"/>
        <w:contextualSpacing w:val="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pPr>
        <w:keepNext w:val="0"/>
        <w:keepLines w:val="0"/>
        <w:widowControl w:val="0"/>
        <w:numPr>
          <w:ilvl w:val="0"/>
          <w:numId w:val="2"/>
        </w:numPr>
        <w:pBdr/>
        <w:spacing w:after="0" w:before="0" w:line="360" w:lineRule="auto"/>
        <w:ind w:left="426" w:right="0" w:hanging="426"/>
        <w:contextualSpacing w:val="1"/>
        <w:jc w:val="both"/>
        <w:rPr>
          <w:rFonts w:ascii="Times New Roman" w:cs="Times New Roman" w:eastAsia="Times New Roman" w:hAnsi="Times New Roman"/>
          <w:b w:val="1"/>
          <w:i w:val="0"/>
          <w:smallCaps w:val="0"/>
          <w:strike w:val="0"/>
          <w:color w:val="000000"/>
          <w:sz w:val="24"/>
          <w:szCs w:val="24"/>
          <w:u w:val="none"/>
          <w:vertAlign w:val="baseline"/>
        </w:rPr>
      </w:pPr>
      <w:bookmarkStart w:colFirst="0" w:colLast="0" w:name="_1fob9te" w:id="7"/>
      <w:bookmarkEnd w:id="7"/>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Data Analysis</w:t>
      </w:r>
    </w:p>
    <w:p w:rsidR="00000000" w:rsidDel="00000000" w:rsidP="00000000" w:rsidRDefault="00000000" w:rsidRPr="00000000">
      <w:pPr>
        <w:keepNext w:val="0"/>
        <w:keepLines w:val="0"/>
        <w:widowControl w:val="0"/>
        <w:numPr>
          <w:ilvl w:val="0"/>
          <w:numId w:val="3"/>
        </w:numPr>
        <w:pBdr/>
        <w:spacing w:after="0" w:before="0" w:line="360" w:lineRule="auto"/>
        <w:ind w:left="630" w:right="0" w:hanging="630"/>
        <w:contextualSpacing w:val="1"/>
        <w:jc w:val="both"/>
        <w:rPr>
          <w:rFonts w:ascii="Times New Roman" w:cs="Times New Roman" w:eastAsia="Times New Roman" w:hAnsi="Times New Roman"/>
          <w:smallCaps w:val="0"/>
          <w:strike w:val="0"/>
          <w:color w:val="000000"/>
          <w:sz w:val="24"/>
          <w:szCs w:val="24"/>
          <w:u w:val="none"/>
          <w:vertAlign w:val="baseline"/>
        </w:rPr>
      </w:pPr>
      <w:bookmarkStart w:colFirst="0" w:colLast="0" w:name="_3znysh7" w:id="8"/>
      <w:bookmarkEnd w:id="8"/>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Important Value Index (IVI)</w:t>
      </w:r>
    </w:p>
    <w:p w:rsidR="00000000" w:rsidDel="00000000" w:rsidP="00000000" w:rsidRDefault="00000000" w:rsidRPr="00000000">
      <w:pPr>
        <w:pBd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value indices show the relative dominance of species to other species within a community. Each species has a relative contribution to its community as a whole. The Important Value Index (IVI) is one of the analyses used to measure the relative contribution (Barbour et al., 1999). IVI is obtained from a combination of relative density values, relative hemp and relative frequency. The density indicates the number of individuals in a given area, the sheath is the percentage of the area controlled by the plant in a plot regardless of the closure of the other species, and the frequency is the encounter rate of a plant species during the observation.</w:t>
      </w:r>
    </w:p>
    <w:p w:rsidR="00000000" w:rsidDel="00000000" w:rsidP="00000000" w:rsidRDefault="00000000" w:rsidRPr="00000000">
      <w:pPr>
        <w:pBdr/>
        <w:spacing w:after="0" w:line="36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frequency (Frr) = </w:t>
      </w:r>
      <m:oMathPara>
        <m:oMathParaPr>
          <m:jc m:val="left"/>
        </m:oMathParaPr>
        <m:oMath>
          <m:f>
            <m:fPr>
              <m:ctrlPr>
                <w:rPr>
                  <w:rFonts w:ascii="Cambria" w:cs="Cambria" w:eastAsia="Cambria" w:hAnsi="Cambria"/>
                  <w:sz w:val="24"/>
                  <w:szCs w:val="24"/>
                </w:rPr>
              </m:ctrlPr>
            </m:fPr>
            <m:num>
              <m:r>
                <w:rPr>
                  <w:rFonts w:ascii="Cambria" w:cs="Cambria" w:eastAsia="Cambria" w:hAnsi="Cambria"/>
                  <w:sz w:val="24"/>
                  <w:szCs w:val="24"/>
                </w:rPr>
                <m:t xml:space="preserve">Type of frequency</m:t>
              </m:r>
            </m:num>
            <m:den>
              <m:r>
                <w:rPr>
                  <w:rFonts w:ascii="Cambria" w:cs="Cambria" w:eastAsia="Cambria" w:hAnsi="Cambria"/>
                  <w:sz w:val="24"/>
                  <w:szCs w:val="24"/>
                </w:rPr>
                <m:t xml:space="preserve"> Total frecuency</m:t>
              </m:r>
            </m:den>
          </m:f>
        </m:oMath>
      </m:oMathPara>
      <w:r w:rsidDel="00000000" w:rsidR="00000000" w:rsidRPr="00000000">
        <w:rPr>
          <w:rFonts w:ascii="Times New Roman" w:cs="Times New Roman" w:eastAsia="Times New Roman" w:hAnsi="Times New Roman"/>
          <w:sz w:val="24"/>
          <w:szCs w:val="24"/>
          <w:rtl w:val="0"/>
        </w:rPr>
        <w:t xml:space="preserve"> x 100%</w:t>
      </w:r>
    </w:p>
    <w:p w:rsidR="00000000" w:rsidDel="00000000" w:rsidP="00000000" w:rsidRDefault="00000000" w:rsidRPr="00000000">
      <w:pPr>
        <w:pBdr/>
        <w:spacing w:after="0" w:line="36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density (Krr) = </w:t>
      </w:r>
      <m:oMathPara>
        <m:oMathParaPr>
          <m:jc m:val="left"/>
        </m:oMathParaPr>
        <m:oMath>
          <m:f>
            <m:fPr>
              <m:ctrlPr>
                <w:rPr>
                  <w:rFonts w:ascii="Cambria" w:cs="Cambria" w:eastAsia="Cambria" w:hAnsi="Cambria"/>
                  <w:sz w:val="24"/>
                  <w:szCs w:val="24"/>
                </w:rPr>
              </m:ctrlPr>
            </m:fPr>
            <m:num>
              <m:r>
                <w:rPr>
                  <w:rFonts w:ascii="Cambria" w:cs="Cambria" w:eastAsia="Cambria" w:hAnsi="Cambria"/>
                  <w:sz w:val="24"/>
                  <w:szCs w:val="24"/>
                </w:rPr>
                <m:t xml:space="preserve">type of density</m:t>
              </m:r>
            </m:num>
            <m:den>
              <m:r>
                <w:rPr>
                  <w:rFonts w:ascii="Cambria" w:cs="Cambria" w:eastAsia="Cambria" w:hAnsi="Cambria"/>
                  <w:sz w:val="24"/>
                  <w:szCs w:val="24"/>
                </w:rPr>
                <m:t xml:space="preserve"> Total density</m:t>
              </m:r>
            </m:den>
          </m:f>
        </m:oMath>
      </m:oMathPara>
      <w:r w:rsidDel="00000000" w:rsidR="00000000" w:rsidRPr="00000000">
        <w:rPr>
          <w:rFonts w:ascii="Times New Roman" w:cs="Times New Roman" w:eastAsia="Times New Roman" w:hAnsi="Times New Roman"/>
          <w:sz w:val="24"/>
          <w:szCs w:val="24"/>
          <w:rtl w:val="0"/>
        </w:rPr>
        <w:t xml:space="preserve"> x 100%</w:t>
      </w:r>
    </w:p>
    <w:p w:rsidR="00000000" w:rsidDel="00000000" w:rsidP="00000000" w:rsidRDefault="00000000" w:rsidRPr="00000000">
      <w:pPr>
        <w:pBdr/>
        <w:spacing w:after="0" w:line="36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Relatif heap (Kbr) = </w:t>
      </w:r>
      <m:oMathPara>
        <m:oMathParaPr>
          <m:jc m:val="left"/>
        </m:oMathParaPr>
        <m:oMath>
          <m:f>
            <m:fPr>
              <m:ctrlPr>
                <w:rPr>
                  <w:rFonts w:ascii="Cambria" w:cs="Cambria" w:eastAsia="Cambria" w:hAnsi="Cambria"/>
                  <w:sz w:val="24"/>
                  <w:szCs w:val="24"/>
                </w:rPr>
              </m:ctrlPr>
            </m:fPr>
            <m:num>
              <m:r>
                <w:rPr>
                  <w:rFonts w:ascii="Cambria" w:cs="Cambria" w:eastAsia="Cambria" w:hAnsi="Cambria"/>
                  <w:sz w:val="24"/>
                  <w:szCs w:val="24"/>
                </w:rPr>
                <m:t xml:space="preserve">Type of heap</m:t>
              </m:r>
            </m:num>
            <m:den>
              <m:r>
                <w:rPr>
                  <w:rFonts w:ascii="Cambria" w:cs="Cambria" w:eastAsia="Cambria" w:hAnsi="Cambria"/>
                  <w:sz w:val="24"/>
                  <w:szCs w:val="24"/>
                </w:rPr>
                <m:t xml:space="preserve"> Total heap</m:t>
              </m:r>
            </m:den>
          </m:f>
        </m:oMath>
      </m:oMathPara>
      <w:r w:rsidDel="00000000" w:rsidR="00000000" w:rsidRPr="00000000">
        <w:rPr>
          <w:rFonts w:ascii="Times New Roman" w:cs="Times New Roman" w:eastAsia="Times New Roman" w:hAnsi="Times New Roman"/>
          <w:sz w:val="24"/>
          <w:szCs w:val="24"/>
          <w:rtl w:val="0"/>
        </w:rPr>
        <w:t xml:space="preserve"> x 100%</w:t>
      </w:r>
    </w:p>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IVI (Important Index Value) = Frr + Krr + Kbr</w:t>
      </w:r>
    </w:p>
    <w:p w:rsidR="00000000" w:rsidDel="00000000" w:rsidP="00000000" w:rsidRDefault="00000000" w:rsidRPr="00000000">
      <w:pPr>
        <w:pBdr/>
        <w:spacing w:after="0" w:line="360" w:lineRule="auto"/>
        <w:ind w:firstLine="36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IVI calculations such as the above formula can not be performed for all plant habitus (Table 3.3). For the third tree, the parameters include frequency, density and heaviness can be included in INP calculations while for shrubs and herbs only of two parameters ie frequency and shade.</w:t>
      </w:r>
    </w:p>
    <w:p w:rsidR="00000000" w:rsidDel="00000000" w:rsidP="00000000" w:rsidRDefault="00000000" w:rsidRPr="00000000">
      <w:pPr>
        <w:pBdr/>
        <w:spacing w:after="0" w:line="360" w:lineRule="auto"/>
        <w:ind w:firstLine="360"/>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spacing w:after="0" w:line="360" w:lineRule="auto"/>
        <w:ind w:firstLine="360"/>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3.3</w:t>
      </w:r>
      <w:r w:rsidDel="00000000" w:rsidR="00000000" w:rsidRPr="00000000">
        <w:rPr>
          <w:rFonts w:ascii="Times New Roman" w:cs="Times New Roman" w:eastAsia="Times New Roman" w:hAnsi="Times New Roman"/>
          <w:sz w:val="24"/>
          <w:szCs w:val="24"/>
          <w:rtl w:val="0"/>
        </w:rPr>
        <w:t xml:space="preserve"> IVI Calculation Parameters</w:t>
      </w:r>
    </w:p>
    <w:tbl>
      <w:tblPr>
        <w:tblStyle w:val="Table3"/>
        <w:bidiVisual w:val="0"/>
        <w:tblW w:w="68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6"/>
        <w:gridCol w:w="1889"/>
        <w:gridCol w:w="1663"/>
        <w:gridCol w:w="2205"/>
        <w:tblGridChange w:id="0">
          <w:tblGrid>
            <w:gridCol w:w="1056"/>
            <w:gridCol w:w="1889"/>
            <w:gridCol w:w="1663"/>
            <w:gridCol w:w="2205"/>
          </w:tblGrid>
        </w:tblGridChange>
      </w:tblGrid>
      <w:tr>
        <w:trPr>
          <w:trHeight w:val="280" w:hRule="atLeast"/>
        </w:trPr>
        <w:tc>
          <w:tcPr/>
          <w:p w:rsidR="00000000" w:rsidDel="00000000" w:rsidP="00000000" w:rsidRDefault="00000000" w:rsidRPr="00000000">
            <w:pPr>
              <w:pBdr/>
              <w:spacing w:line="360" w:lineRule="auto"/>
              <w:contextualSpacing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Relative Density</w:t>
            </w:r>
            <w:r w:rsidDel="00000000" w:rsidR="00000000" w:rsidRPr="00000000">
              <w:rPr>
                <w:rtl w:val="0"/>
              </w:rPr>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Relative Heap</w:t>
            </w:r>
            <w:r w:rsidDel="00000000" w:rsidR="00000000" w:rsidRPr="00000000">
              <w:rPr>
                <w:rtl w:val="0"/>
              </w:rPr>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Relative Frequency</w:t>
            </w:r>
            <w:r w:rsidDel="00000000" w:rsidR="00000000" w:rsidRPr="00000000">
              <w:rPr>
                <w:rtl w:val="0"/>
              </w:rPr>
            </w:r>
          </w:p>
        </w:tc>
      </w:tr>
      <w:tr>
        <w:trPr>
          <w:trHeight w:val="280" w:hRule="atLeast"/>
        </w:trPr>
        <w:tc>
          <w:tcPr/>
          <w:p w:rsidR="00000000" w:rsidDel="00000000" w:rsidP="00000000" w:rsidRDefault="00000000" w:rsidRPr="00000000">
            <w:pPr>
              <w:pBd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Seedling</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i w:val="1"/>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pPr>
              <w:pBdr/>
              <w:contextualSpacing w:val="0"/>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pPr>
              <w:pBdr/>
              <w:contextualSpacing w:val="0"/>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trHeight w:val="280" w:hRule="atLeast"/>
        </w:trPr>
        <w:tc>
          <w:tcPr/>
          <w:p w:rsidR="00000000" w:rsidDel="00000000" w:rsidP="00000000" w:rsidRDefault="00000000" w:rsidRPr="00000000">
            <w:pPr>
              <w:pBd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Stakes</w:t>
            </w:r>
          </w:p>
        </w:tc>
        <w:tc>
          <w:tcPr/>
          <w:p w:rsidR="00000000" w:rsidDel="00000000" w:rsidP="00000000" w:rsidRDefault="00000000" w:rsidRPr="00000000">
            <w:pPr>
              <w:pBdr/>
              <w:contextualSpacing w:val="0"/>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pPr>
              <w:pBdr/>
              <w:contextualSpacing w:val="0"/>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pPr>
              <w:pBdr/>
              <w:contextualSpacing w:val="0"/>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trHeight w:val="280" w:hRule="atLeast"/>
        </w:trPr>
        <w:tc>
          <w:tcPr/>
          <w:p w:rsidR="00000000" w:rsidDel="00000000" w:rsidP="00000000" w:rsidRDefault="00000000" w:rsidRPr="00000000">
            <w:pPr>
              <w:pBd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Poles</w:t>
            </w:r>
          </w:p>
        </w:tc>
        <w:tc>
          <w:tcPr/>
          <w:p w:rsidR="00000000" w:rsidDel="00000000" w:rsidP="00000000" w:rsidRDefault="00000000" w:rsidRPr="00000000">
            <w:pPr>
              <w:pBdr/>
              <w:contextualSpacing w:val="0"/>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24"/>
                <w:szCs w:val="24"/>
                <w:rtl w:val="0"/>
              </w:rPr>
              <w:t xml:space="preserve"> (LAB)</w:t>
            </w:r>
          </w:p>
        </w:tc>
        <w:tc>
          <w:tcPr/>
          <w:p w:rsidR="00000000" w:rsidDel="00000000" w:rsidP="00000000" w:rsidRDefault="00000000" w:rsidRPr="00000000">
            <w:pPr>
              <w:pBdr/>
              <w:contextualSpacing w:val="0"/>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trHeight w:val="280" w:hRule="atLeast"/>
        </w:trPr>
        <w:tc>
          <w:tcPr/>
          <w:p w:rsidR="00000000" w:rsidDel="00000000" w:rsidP="00000000" w:rsidRDefault="00000000" w:rsidRPr="00000000">
            <w:pPr>
              <w:pBd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Trees</w:t>
            </w:r>
          </w:p>
        </w:tc>
        <w:tc>
          <w:tcPr/>
          <w:p w:rsidR="00000000" w:rsidDel="00000000" w:rsidP="00000000" w:rsidRDefault="00000000" w:rsidRPr="00000000">
            <w:pPr>
              <w:pBdr/>
              <w:contextualSpacing w:val="0"/>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24"/>
                <w:szCs w:val="24"/>
                <w:rtl w:val="0"/>
              </w:rPr>
              <w:t xml:space="preserve"> (LAB)</w:t>
            </w:r>
          </w:p>
        </w:tc>
        <w:tc>
          <w:tcPr/>
          <w:p w:rsidR="00000000" w:rsidDel="00000000" w:rsidP="00000000" w:rsidRDefault="00000000" w:rsidRPr="00000000">
            <w:pPr>
              <w:pBdr/>
              <w:contextualSpacing w:val="0"/>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trHeight w:val="280" w:hRule="atLeast"/>
        </w:trPr>
        <w:tc>
          <w:tcPr/>
          <w:p w:rsidR="00000000" w:rsidDel="00000000" w:rsidP="00000000" w:rsidRDefault="00000000" w:rsidRPr="00000000">
            <w:pPr>
              <w:pBd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Shrubs</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pPr>
              <w:pBdr/>
              <w:contextualSpacing w:val="0"/>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pPr>
              <w:pBdr/>
              <w:contextualSpacing w:val="0"/>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trHeight w:val="280" w:hRule="atLeast"/>
        </w:trPr>
        <w:tc>
          <w:tcPr/>
          <w:p w:rsidR="00000000" w:rsidDel="00000000" w:rsidP="00000000" w:rsidRDefault="00000000" w:rsidRPr="00000000">
            <w:pPr>
              <w:pBd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Herbs</w:t>
            </w:r>
          </w:p>
        </w:tc>
        <w:tc>
          <w:tcPr/>
          <w:p w:rsidR="00000000" w:rsidDel="00000000" w:rsidP="00000000" w:rsidRDefault="00000000" w:rsidRPr="00000000">
            <w:pPr>
              <w:pBdr/>
              <w:spacing w:line="360" w:lineRule="auto"/>
              <w:contextualSpacing w:val="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pPr>
              <w:pBdr/>
              <w:contextualSpacing w:val="0"/>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pPr>
              <w:pBdr/>
              <w:contextualSpacing w:val="0"/>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bl>
    <w:p w:rsidR="00000000" w:rsidDel="00000000" w:rsidP="00000000" w:rsidRDefault="00000000" w:rsidRPr="00000000">
      <w:pPr>
        <w:pBdr/>
        <w:spacing w:after="0" w:line="360" w:lineRule="auto"/>
        <w:ind w:firstLine="360"/>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0"/>
        <w:keepLines w:val="0"/>
        <w:widowControl w:val="0"/>
        <w:numPr>
          <w:ilvl w:val="0"/>
          <w:numId w:val="3"/>
        </w:numPr>
        <w:pBdr/>
        <w:spacing w:after="0" w:before="0" w:line="360" w:lineRule="auto"/>
        <w:ind w:left="630" w:right="0" w:hanging="630"/>
        <w:contextualSpacing w:val="1"/>
        <w:jc w:val="both"/>
        <w:rPr>
          <w:rFonts w:ascii="Times New Roman" w:cs="Times New Roman" w:eastAsia="Times New Roman" w:hAnsi="Times New Roman"/>
          <w:smallCaps w:val="0"/>
          <w:strike w:val="0"/>
          <w:color w:val="000000"/>
          <w:sz w:val="24"/>
          <w:szCs w:val="24"/>
          <w:u w:val="none"/>
          <w:vertAlign w:val="baseline"/>
        </w:rPr>
      </w:pPr>
      <w:bookmarkStart w:colFirst="0" w:colLast="0" w:name="_2et92p0" w:id="9"/>
      <w:bookmarkEnd w:id="9"/>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Species Richness, Diversity Index and Dominance</w:t>
      </w:r>
    </w:p>
    <w:p w:rsidR="00000000" w:rsidDel="00000000" w:rsidP="00000000" w:rsidRDefault="00000000" w:rsidRPr="00000000">
      <w:pPr>
        <w:keepNext w:val="0"/>
        <w:keepLines w:val="0"/>
        <w:widowControl w:val="0"/>
        <w:pBdr/>
        <w:spacing w:after="0" w:before="0" w:line="360" w:lineRule="auto"/>
        <w:ind w:left="0" w:right="0" w:firstLine="360"/>
        <w:contextualSpacing w:val="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Species richness (Species Richness) is the total number of species found in a research area. The calculation of species diversity uses the Shannon-Wiener (H ') diversity index. Calculation of dominance is done using the index of a dominant position (J). The index value of diversity and dominance is derived from the equation:</w:t>
      </w:r>
    </w:p>
    <w:p w:rsidR="00000000" w:rsidDel="00000000" w:rsidP="00000000" w:rsidRDefault="00000000" w:rsidRPr="00000000">
      <w:pPr>
        <w:keepNext w:val="0"/>
        <w:keepLines w:val="0"/>
        <w:widowControl w:val="0"/>
        <w:pBdr/>
        <w:spacing w:after="0" w:before="0" w:line="360" w:lineRule="auto"/>
        <w:ind w:left="0" w:right="0" w:firstLine="360"/>
        <w:contextualSpacing w:val="0"/>
        <w:jc w:val="center"/>
        <w:rPr>
          <w:rFonts w:ascii="Times New Roman" w:cs="Times New Roman" w:eastAsia="Times New Roman" w:hAnsi="Times New Roman"/>
          <w:b w:val="0"/>
          <w:i w:val="0"/>
          <w:smallCaps w:val="0"/>
          <w:strike w:val="0"/>
          <w:color w:val="000000"/>
          <w:sz w:val="24"/>
          <w:szCs w:val="24"/>
          <w:u w:val="none"/>
          <w:vertAlign w:val="baseline"/>
        </w:rPr>
      </w:pPr>
      <m:oMathPara>
        <m:oMathParaPr>
          <m:jc m:val="left"/>
        </m:oMathParaPr>
        <m:oMath>
          <m:sSup>
            <m:sSupPr>
              <m:ctrlPr>
                <w:rPr>
                  <w:rFonts w:ascii="Cambria" w:cs="Cambria" w:eastAsia="Cambria" w:hAnsi="Cambria"/>
                  <w:b w:val="0"/>
                  <w:i w:val="0"/>
                  <w:smallCaps w:val="0"/>
                  <w:strike w:val="0"/>
                  <w:color w:val="000000"/>
                  <w:sz w:val="24"/>
                  <w:szCs w:val="24"/>
                  <w:u w:val="none"/>
                  <w:vertAlign w:val="baseline"/>
                </w:rPr>
              </m:ctrlPr>
            </m:sSupPr>
            <m:e>
              <m:r>
                <w:rPr>
                  <w:rFonts w:ascii="Cambria" w:cs="Cambria" w:eastAsia="Cambria" w:hAnsi="Cambria"/>
                  <w:b w:val="0"/>
                  <w:i w:val="0"/>
                  <w:smallCaps w:val="0"/>
                  <w:strike w:val="0"/>
                  <w:color w:val="000000"/>
                  <w:sz w:val="24"/>
                  <w:szCs w:val="24"/>
                  <w:u w:val="none"/>
                  <w:vertAlign w:val="baseline"/>
                </w:rPr>
                <m:t xml:space="preserve">H</m:t>
              </m:r>
            </m:e>
            <m:sup>
              <m:r>
                <w:rPr>
                  <w:rFonts w:ascii="Cambria" w:cs="Cambria" w:eastAsia="Cambria" w:hAnsi="Cambria"/>
                  <w:b w:val="0"/>
                  <w:i w:val="0"/>
                  <w:smallCaps w:val="0"/>
                  <w:strike w:val="0"/>
                  <w:color w:val="000000"/>
                  <w:sz w:val="24"/>
                  <w:szCs w:val="24"/>
                  <w:u w:val="none"/>
                  <w:vertAlign w:val="baseline"/>
                </w:rPr>
                <m:t xml:space="preserve">'</m:t>
              </m:r>
            </m:sup>
          </m:sSup>
          <m:r>
            <w:rPr>
              <w:rFonts w:ascii="Cambria" w:cs="Cambria" w:eastAsia="Cambria" w:hAnsi="Cambria"/>
              <w:b w:val="0"/>
              <w:i w:val="0"/>
              <w:smallCaps w:val="0"/>
              <w:strike w:val="0"/>
              <w:color w:val="000000"/>
              <w:sz w:val="24"/>
              <w:szCs w:val="24"/>
              <w:u w:val="none"/>
              <w:vertAlign w:val="baseline"/>
            </w:rPr>
            <m:t xml:space="preserve">= </m:t>
          </m:r>
          <m:nary>
            <m:naryPr>
              <m:chr m:val="∑"/>
              <m:ctrlPr>
                <w:rPr>
                  <w:rFonts w:ascii="Cambria" w:cs="Cambria" w:eastAsia="Cambria" w:hAnsi="Cambria"/>
                  <w:b w:val="0"/>
                  <w:i w:val="0"/>
                  <w:smallCaps w:val="0"/>
                  <w:strike w:val="0"/>
                  <w:color w:val="000000"/>
                  <w:sz w:val="24"/>
                  <w:szCs w:val="24"/>
                  <w:u w:val="none"/>
                  <w:vertAlign w:val="baseline"/>
                </w:rPr>
              </m:ctrlPr>
            </m:naryPr>
            <m:sub>
              <m:r>
                <w:rPr>
                  <w:rFonts w:ascii="Cambria" w:cs="Cambria" w:eastAsia="Cambria" w:hAnsi="Cambria"/>
                  <w:b w:val="0"/>
                  <w:i w:val="0"/>
                  <w:smallCaps w:val="0"/>
                  <w:strike w:val="0"/>
                  <w:color w:val="000000"/>
                  <w:sz w:val="24"/>
                  <w:szCs w:val="24"/>
                  <w:u w:val="none"/>
                  <w:vertAlign w:val="baseline"/>
                </w:rPr>
                <m:t xml:space="preserve">i=1</m:t>
              </m:r>
            </m:sub>
            <m:sup>
              <m:r>
                <w:rPr>
                  <w:rFonts w:ascii="Cambria" w:cs="Cambria" w:eastAsia="Cambria" w:hAnsi="Cambria"/>
                  <w:b w:val="0"/>
                  <w:i w:val="0"/>
                  <w:smallCaps w:val="0"/>
                  <w:strike w:val="0"/>
                  <w:color w:val="000000"/>
                  <w:sz w:val="24"/>
                  <w:szCs w:val="24"/>
                  <w:u w:val="none"/>
                  <w:vertAlign w:val="baseline"/>
                </w:rPr>
                <m:t xml:space="preserve">s</m:t>
              </m:r>
            </m:sup>
          </m:nary>
          <m:r>
            <w:rPr>
              <w:rFonts w:ascii="Cambria" w:cs="Cambria" w:eastAsia="Cambria" w:hAnsi="Cambria"/>
              <w:b w:val="0"/>
              <w:i w:val="0"/>
              <w:smallCaps w:val="0"/>
              <w:strike w:val="0"/>
              <w:color w:val="000000"/>
              <w:sz w:val="24"/>
              <w:szCs w:val="24"/>
              <w:u w:val="none"/>
              <w:vertAlign w:val="baseline"/>
            </w:rPr>
            <m:t xml:space="preserve">pi ln pi                                       </m:t>
          </m:r>
        </m:oMath>
      </m:oMathPara>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J = </w:t>
      </w:r>
      <m:oMathPara>
        <m:oMathParaPr>
          <m:jc m:val="left"/>
        </m:oMathParaPr>
        <m:oMath>
          <m:nary>
            <m:naryPr>
              <m:chr m:val="∑"/>
              <m:ctrlPr>
                <w:rPr>
                  <w:rFonts w:ascii="Cambria" w:cs="Cambria" w:eastAsia="Cambria" w:hAnsi="Cambria"/>
                  <w:b w:val="0"/>
                  <w:i w:val="0"/>
                  <w:smallCaps w:val="0"/>
                  <w:strike w:val="0"/>
                  <w:color w:val="000000"/>
                  <w:sz w:val="24"/>
                  <w:szCs w:val="24"/>
                  <w:u w:val="none"/>
                  <w:vertAlign w:val="baseline"/>
                </w:rPr>
              </m:ctrlPr>
            </m:naryPr>
            <m:sub>
              <m:r>
                <w:rPr>
                  <w:rFonts w:ascii="Cambria" w:cs="Cambria" w:eastAsia="Cambria" w:hAnsi="Cambria"/>
                  <w:b w:val="0"/>
                  <w:i w:val="0"/>
                  <w:smallCaps w:val="0"/>
                  <w:strike w:val="0"/>
                  <w:color w:val="000000"/>
                  <w:sz w:val="24"/>
                  <w:szCs w:val="24"/>
                  <w:u w:val="none"/>
                  <w:vertAlign w:val="baseline"/>
                </w:rPr>
                <m:t xml:space="preserve">i=1</m:t>
              </m:r>
            </m:sub>
            <m:sup>
              <m:r>
                <w:rPr>
                  <w:rFonts w:ascii="Cambria" w:cs="Cambria" w:eastAsia="Cambria" w:hAnsi="Cambria"/>
                  <w:b w:val="0"/>
                  <w:i w:val="0"/>
                  <w:smallCaps w:val="0"/>
                  <w:strike w:val="0"/>
                  <w:color w:val="000000"/>
                  <w:sz w:val="24"/>
                  <w:szCs w:val="24"/>
                  <w:u w:val="none"/>
                  <w:vertAlign w:val="baseline"/>
                </w:rPr>
                <m:t xml:space="preserve">s</m:t>
              </m:r>
            </m:sup>
          </m:nary>
          <m:sSup>
            <m:sSupPr>
              <m:ctrlPr>
                <w:rPr>
                  <w:rFonts w:ascii="Cambria" w:cs="Cambria" w:eastAsia="Cambria" w:hAnsi="Cambria"/>
                  <w:b w:val="0"/>
                  <w:i w:val="0"/>
                  <w:smallCaps w:val="0"/>
                  <w:strike w:val="0"/>
                  <w:color w:val="000000"/>
                  <w:sz w:val="24"/>
                  <w:szCs w:val="24"/>
                  <w:u w:val="none"/>
                  <w:vertAlign w:val="baseline"/>
                </w:rPr>
              </m:ctrlPr>
            </m:sSupPr>
            <m:e>
              <m:r>
                <w:rPr>
                  <w:rFonts w:ascii="Cambria" w:cs="Cambria" w:eastAsia="Cambria" w:hAnsi="Cambria"/>
                  <w:b w:val="0"/>
                  <w:i w:val="0"/>
                  <w:smallCaps w:val="0"/>
                  <w:strike w:val="0"/>
                  <w:color w:val="000000"/>
                  <w:sz w:val="24"/>
                  <w:szCs w:val="24"/>
                  <w:u w:val="none"/>
                  <w:vertAlign w:val="baseline"/>
                </w:rPr>
                <m:t xml:space="preserve">pi</m:t>
              </m:r>
            </m:e>
            <m:sup>
              <m:r>
                <w:rPr>
                  <w:rFonts w:ascii="Cambria" w:cs="Cambria" w:eastAsia="Cambria" w:hAnsi="Cambria"/>
                  <w:b w:val="0"/>
                  <w:i w:val="0"/>
                  <w:smallCaps w:val="0"/>
                  <w:strike w:val="0"/>
                  <w:color w:val="000000"/>
                  <w:sz w:val="24"/>
                  <w:szCs w:val="24"/>
                  <w:u w:val="none"/>
                  <w:vertAlign w:val="baseline"/>
                </w:rPr>
                <m:t xml:space="preserve">2</m:t>
              </m:r>
            </m:sup>
          </m:sSup>
        </m:oMath>
      </m:oMathPara>
      <w:r w:rsidDel="00000000" w:rsidR="00000000" w:rsidRPr="00000000">
        <w:rPr>
          <w:rtl w:val="0"/>
        </w:rPr>
      </w:r>
    </w:p>
    <w:p w:rsidR="00000000" w:rsidDel="00000000" w:rsidP="00000000" w:rsidRDefault="00000000" w:rsidRPr="00000000">
      <w:pPr>
        <w:pBdr/>
        <w:spacing w:after="0"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pPr>
        <w:pBdr/>
        <w:spacing w:after="0"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w:t>
        <w:tab/>
        <w:t xml:space="preserve">: Total types</w:t>
        <w:tab/>
        <w:t xml:space="preserve">  </w:t>
      </w:r>
    </w:p>
    <w:p w:rsidR="00000000" w:rsidDel="00000000" w:rsidP="00000000" w:rsidRDefault="00000000" w:rsidRPr="00000000">
      <w:pPr>
        <w:pBdr/>
        <w:spacing w:after="0"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w:t>
        <w:tab/>
        <w:t xml:space="preserve">: The proportion of the number of a species to the total number of species</w:t>
      </w:r>
    </w:p>
    <w:p w:rsidR="00000000" w:rsidDel="00000000" w:rsidP="00000000" w:rsidRDefault="00000000" w:rsidRPr="00000000">
      <w:pPr>
        <w:pBdr/>
        <w:spacing w:after="0" w:line="36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0"/>
        <w:keepLines w:val="0"/>
        <w:widowControl w:val="0"/>
        <w:numPr>
          <w:ilvl w:val="0"/>
          <w:numId w:val="3"/>
        </w:numPr>
        <w:pBdr/>
        <w:spacing w:after="0" w:before="0" w:line="360" w:lineRule="auto"/>
        <w:ind w:left="360" w:right="0" w:hanging="360"/>
        <w:contextualSpacing w:val="1"/>
        <w:jc w:val="both"/>
        <w:rPr>
          <w:rFonts w:ascii="Times New Roman" w:cs="Times New Roman" w:eastAsia="Times New Roman" w:hAnsi="Times New Roman"/>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Mineral content, Soil Organics and Bulk Density</w:t>
      </w:r>
    </w:p>
    <w:p w:rsidR="00000000" w:rsidDel="00000000" w:rsidP="00000000" w:rsidRDefault="00000000" w:rsidRPr="00000000">
      <w:pPr>
        <w:pBdr/>
        <w:spacing w:after="0" w:line="36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Calculation of mineral content, organic soil and bulk density as follows.</w:t>
      </w:r>
    </w:p>
    <w:p w:rsidR="00000000" w:rsidDel="00000000" w:rsidP="00000000" w:rsidRDefault="00000000" w:rsidRPr="00000000">
      <w:pPr>
        <w:keepNext w:val="0"/>
        <w:keepLines w:val="0"/>
        <w:widowControl w:val="0"/>
        <w:pBdr/>
        <w:spacing w:after="0" w:before="0" w:line="360" w:lineRule="auto"/>
        <w:ind w:left="630" w:right="0" w:firstLine="0"/>
        <w:contextualSpacing w:val="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Organic soil content (%) = </w:t>
      </w:r>
      <m:oMathPara>
        <m:oMathParaPr>
          <m:jc m:val="left"/>
        </m:oMathParaPr>
        <m:oMath>
          <m:f>
            <m:fPr>
              <m:ctrlPr>
                <w:rPr>
                  <w:rFonts w:ascii="Cambria" w:cs="Cambria" w:eastAsia="Cambria" w:hAnsi="Cambria"/>
                  <w:b w:val="0"/>
                  <w:i w:val="0"/>
                  <w:smallCaps w:val="0"/>
                  <w:strike w:val="0"/>
                  <w:color w:val="000000"/>
                  <w:sz w:val="24"/>
                  <w:szCs w:val="24"/>
                  <w:u w:val="none"/>
                  <w:vertAlign w:val="baseline"/>
                </w:rPr>
              </m:ctrlPr>
            </m:fPr>
            <m:num>
              <m:r>
                <w:rPr>
                  <w:rFonts w:ascii="Cambria" w:cs="Cambria" w:eastAsia="Cambria" w:hAnsi="Cambria"/>
                  <w:b w:val="0"/>
                  <w:i w:val="0"/>
                  <w:smallCaps w:val="0"/>
                  <w:strike w:val="0"/>
                  <w:color w:val="000000"/>
                  <w:sz w:val="24"/>
                  <w:szCs w:val="24"/>
                  <w:u w:val="none"/>
                  <w:vertAlign w:val="baseline"/>
                </w:rPr>
                <m:t xml:space="preserve">soil dry weigh-ash weigh </m:t>
              </m:r>
            </m:num>
            <m:den>
              <m:r>
                <w:rPr>
                  <w:rFonts w:ascii="Cambria" w:cs="Cambria" w:eastAsia="Cambria" w:hAnsi="Cambria"/>
                  <w:b w:val="0"/>
                  <w:i w:val="0"/>
                  <w:smallCaps w:val="0"/>
                  <w:strike w:val="0"/>
                  <w:color w:val="000000"/>
                  <w:sz w:val="24"/>
                  <w:szCs w:val="24"/>
                  <w:u w:val="none"/>
                  <w:vertAlign w:val="baseline"/>
                </w:rPr>
                <m:t xml:space="preserve">soil dry weigh</m:t>
              </m:r>
            </m:den>
          </m:f>
          <m:r>
            <w:rPr>
              <w:rFonts w:ascii="Cambria" w:cs="Cambria" w:eastAsia="Cambria" w:hAnsi="Cambria"/>
              <w:b w:val="0"/>
              <w:i w:val="0"/>
              <w:smallCaps w:val="0"/>
              <w:strike w:val="0"/>
              <w:color w:val="000000"/>
              <w:sz w:val="24"/>
              <w:szCs w:val="24"/>
              <w:u w:val="none"/>
              <w:vertAlign w:val="baseline"/>
            </w:rPr>
            <m:t xml:space="preserve">100%</m:t>
          </m:r>
        </m:oMath>
      </m:oMathPara>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630" w:right="0" w:firstLine="0"/>
        <w:contextualSpacing w:val="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Soil mineral content (%) = </w:t>
      </w:r>
      <m:oMathPara>
        <m:oMathParaPr>
          <m:jc m:val="left"/>
        </m:oMathParaPr>
        <m:oMath>
          <m:f>
            <m:fPr>
              <m:ctrlPr>
                <w:rPr>
                  <w:rFonts w:ascii="Cambria" w:cs="Cambria" w:eastAsia="Cambria" w:hAnsi="Cambria"/>
                  <w:b w:val="0"/>
                  <w:i w:val="0"/>
                  <w:smallCaps w:val="0"/>
                  <w:strike w:val="0"/>
                  <w:color w:val="000000"/>
                  <w:sz w:val="24"/>
                  <w:szCs w:val="24"/>
                  <w:u w:val="none"/>
                  <w:vertAlign w:val="baseline"/>
                </w:rPr>
              </m:ctrlPr>
            </m:fPr>
            <m:num>
              <m:r>
                <w:rPr>
                  <w:rFonts w:ascii="Cambria" w:cs="Cambria" w:eastAsia="Cambria" w:hAnsi="Cambria"/>
                  <w:b w:val="0"/>
                  <w:i w:val="0"/>
                  <w:smallCaps w:val="0"/>
                  <w:strike w:val="0"/>
                  <w:color w:val="000000"/>
                  <w:sz w:val="24"/>
                  <w:szCs w:val="24"/>
                  <w:u w:val="none"/>
                  <w:vertAlign w:val="baseline"/>
                </w:rPr>
                <m:t xml:space="preserve">ash  weigh </m:t>
              </m:r>
            </m:num>
            <m:den>
              <m:r>
                <w:rPr>
                  <w:rFonts w:ascii="Cambria" w:cs="Cambria" w:eastAsia="Cambria" w:hAnsi="Cambria"/>
                  <w:b w:val="0"/>
                  <w:i w:val="0"/>
                  <w:smallCaps w:val="0"/>
                  <w:strike w:val="0"/>
                  <w:color w:val="000000"/>
                  <w:sz w:val="24"/>
                  <w:szCs w:val="24"/>
                  <w:u w:val="none"/>
                  <w:vertAlign w:val="baseline"/>
                </w:rPr>
                <m:t xml:space="preserve">soil dry weigh</m:t>
              </m:r>
            </m:den>
          </m:f>
          <m:r>
            <w:rPr>
              <w:rFonts w:ascii="Cambria" w:cs="Cambria" w:eastAsia="Cambria" w:hAnsi="Cambria"/>
              <w:b w:val="0"/>
              <w:i w:val="0"/>
              <w:smallCaps w:val="0"/>
              <w:strike w:val="0"/>
              <w:color w:val="000000"/>
              <w:sz w:val="24"/>
              <w:szCs w:val="24"/>
              <w:u w:val="none"/>
              <w:vertAlign w:val="baseline"/>
            </w:rPr>
            <m:t xml:space="preserve">100%</m:t>
          </m:r>
        </m:oMath>
      </m:oMathPara>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630" w:right="0" w:firstLine="0"/>
        <w:contextualSpacing w:val="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Bulk density (g/cm</w:t>
      </w:r>
      <w:r w:rsidDel="00000000" w:rsidR="00000000" w:rsidRPr="00000000">
        <w:rPr>
          <w:rFonts w:ascii="Times New Roman" w:cs="Times New Roman" w:eastAsia="Times New Roman" w:hAnsi="Times New Roman"/>
          <w:b w:val="0"/>
          <w:i w:val="0"/>
          <w:smallCaps w:val="0"/>
          <w:strike w:val="0"/>
          <w:color w:val="000000"/>
          <w:sz w:val="24"/>
          <w:szCs w:val="24"/>
          <w:u w:val="none"/>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 </w:t>
      </w:r>
      <m:oMathPara>
        <m:oMathParaPr>
          <m:jc m:val="left"/>
        </m:oMathParaPr>
        <m:oMath>
          <m:f>
            <m:fPr>
              <m:ctrlPr>
                <w:rPr>
                  <w:rFonts w:ascii="Cambria" w:cs="Cambria" w:eastAsia="Cambria" w:hAnsi="Cambria"/>
                  <w:b w:val="0"/>
                  <w:i w:val="0"/>
                  <w:smallCaps w:val="0"/>
                  <w:strike w:val="0"/>
                  <w:color w:val="000000"/>
                  <w:sz w:val="24"/>
                  <w:szCs w:val="24"/>
                  <w:u w:val="none"/>
                  <w:vertAlign w:val="baseline"/>
                </w:rPr>
              </m:ctrlPr>
            </m:fPr>
            <m:num>
              <m:r>
                <w:rPr>
                  <w:rFonts w:ascii="Cambria" w:cs="Cambria" w:eastAsia="Cambria" w:hAnsi="Cambria"/>
                  <w:b w:val="0"/>
                  <w:i w:val="0"/>
                  <w:smallCaps w:val="0"/>
                  <w:strike w:val="0"/>
                  <w:color w:val="000000"/>
                  <w:sz w:val="24"/>
                  <w:szCs w:val="24"/>
                  <w:u w:val="none"/>
                  <w:vertAlign w:val="baseline"/>
                </w:rPr>
                <m:t xml:space="preserve">soil dry weigh </m:t>
              </m:r>
            </m:num>
            <m:den>
              <m:r>
                <w:rPr>
                  <w:rFonts w:ascii="Cambria" w:cs="Cambria" w:eastAsia="Cambria" w:hAnsi="Cambria"/>
                  <w:b w:val="0"/>
                  <w:i w:val="0"/>
                  <w:smallCaps w:val="0"/>
                  <w:strike w:val="0"/>
                  <w:color w:val="000000"/>
                  <w:sz w:val="24"/>
                  <w:szCs w:val="24"/>
                  <w:u w:val="none"/>
                  <w:vertAlign w:val="baseline"/>
                </w:rPr>
                <m:t xml:space="preserve">volume core sampler</m:t>
              </m:r>
            </m:den>
          </m:f>
        </m:oMath>
      </m:oMathPara>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630" w:right="0" w:firstLine="0"/>
        <w:contextualSpacing w:val="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pPr>
        <w:pBdr/>
        <w:spacing w:after="0" w:line="360" w:lineRule="auto"/>
        <w:contextualSpacing w:val="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sectPr>
      <w:pgSz w:h="15840" w:w="12240"/>
      <w:pgMar w:bottom="1440" w:top="1440" w:left="1440" w:right="1440" w:head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Dasapta Erwin Irawan" w:id="0" w:date="2017-06-15T02:29:19Z">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wait for inputs from students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Times New Roman"/>
  <w:font w:name="Georgia"/>
  <w:font w:name="Gungsuh"/>
  <w:font w:name="Cambria"/>
  <w:font w:name="Arial Unicode M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3.%1"/>
      <w:lvlJc w:val="left"/>
      <w:pPr>
        <w:ind w:left="360" w:firstLine="0"/>
      </w:pPr>
      <w:rPr/>
    </w:lvl>
    <w:lvl w:ilvl="1">
      <w:start w:val="1"/>
      <w:numFmt w:val="decimal"/>
      <w:lvlText w:val="3.2.%2"/>
      <w:lvlJc w:val="left"/>
      <w:pPr>
        <w:ind w:left="792" w:firstLine="360"/>
      </w:pPr>
      <w:rPr/>
    </w:lvl>
    <w:lvl w:ilvl="2">
      <w:start w:val="1"/>
      <w:numFmt w:val="decimal"/>
      <w:lvlText w:val="%1.%2.%3."/>
      <w:lvlJc w:val="left"/>
      <w:pPr>
        <w:ind w:left="1224" w:firstLine="720"/>
      </w:pPr>
      <w:rPr/>
    </w:lvl>
    <w:lvl w:ilvl="3">
      <w:start w:val="1"/>
      <w:numFmt w:val="decimal"/>
      <w:lvlText w:val="%1.%2.%3.%4."/>
      <w:lvlJc w:val="left"/>
      <w:pPr>
        <w:ind w:left="1728" w:firstLine="1080.0000000000002"/>
      </w:pPr>
      <w:rPr/>
    </w:lvl>
    <w:lvl w:ilvl="4">
      <w:start w:val="1"/>
      <w:numFmt w:val="decimal"/>
      <w:lvlText w:val="%1.%2.%3.%4.%5."/>
      <w:lvlJc w:val="left"/>
      <w:pPr>
        <w:ind w:left="2232" w:firstLine="1440"/>
      </w:pPr>
      <w:rPr/>
    </w:lvl>
    <w:lvl w:ilvl="5">
      <w:start w:val="1"/>
      <w:numFmt w:val="decimal"/>
      <w:lvlText w:val="%1.%2.%3.%4.%5.%6."/>
      <w:lvlJc w:val="left"/>
      <w:pPr>
        <w:ind w:left="2736" w:firstLine="1800.0000000000002"/>
      </w:pPr>
      <w:rPr/>
    </w:lvl>
    <w:lvl w:ilvl="6">
      <w:start w:val="1"/>
      <w:numFmt w:val="decimal"/>
      <w:lvlText w:val="%1.%2.%3.%4.%5.%6.%7."/>
      <w:lvlJc w:val="left"/>
      <w:pPr>
        <w:ind w:left="3240" w:firstLine="2160"/>
      </w:pPr>
      <w:rPr/>
    </w:lvl>
    <w:lvl w:ilvl="7">
      <w:start w:val="1"/>
      <w:numFmt w:val="decimal"/>
      <w:lvlText w:val="%1.%2.%3.%4.%5.%6.%7.%8."/>
      <w:lvlJc w:val="left"/>
      <w:pPr>
        <w:ind w:left="3744" w:firstLine="2519.9999999999995"/>
      </w:pPr>
      <w:rPr/>
    </w:lvl>
    <w:lvl w:ilvl="8">
      <w:start w:val="1"/>
      <w:numFmt w:val="decimal"/>
      <w:lvlText w:val="%1.%2.%3.%4.%5.%6.%7.%8.%9."/>
      <w:lvlJc w:val="left"/>
      <w:pPr>
        <w:ind w:left="4320" w:firstLine="2880"/>
      </w:pPr>
      <w:rPr/>
    </w:lvl>
  </w:abstractNum>
  <w:abstractNum w:abstractNumId="3">
    <w:lvl w:ilvl="0">
      <w:start w:val="1"/>
      <w:numFmt w:val="decimal"/>
      <w:lvlText w:val="3.3.%1"/>
      <w:lvlJc w:val="left"/>
      <w:pPr>
        <w:ind w:left="3510" w:firstLine="3150"/>
      </w:pPr>
      <w:rPr>
        <w:b w:val="0"/>
        <w:i w:val="0"/>
      </w:rPr>
    </w:lvl>
    <w:lvl w:ilvl="1">
      <w:start w:val="1"/>
      <w:numFmt w:val="lowerLetter"/>
      <w:lvlText w:val="%2."/>
      <w:lvlJc w:val="left"/>
      <w:pPr>
        <w:ind w:left="4230" w:firstLine="3870"/>
      </w:pPr>
      <w:rPr/>
    </w:lvl>
    <w:lvl w:ilvl="2">
      <w:start w:val="1"/>
      <w:numFmt w:val="lowerRoman"/>
      <w:lvlText w:val="%3."/>
      <w:lvlJc w:val="right"/>
      <w:pPr>
        <w:ind w:left="4950" w:firstLine="4770"/>
      </w:pPr>
      <w:rPr/>
    </w:lvl>
    <w:lvl w:ilvl="3">
      <w:start w:val="1"/>
      <w:numFmt w:val="decimal"/>
      <w:lvlText w:val="%4."/>
      <w:lvlJc w:val="left"/>
      <w:pPr>
        <w:ind w:left="5670" w:firstLine="5310"/>
      </w:pPr>
      <w:rPr/>
    </w:lvl>
    <w:lvl w:ilvl="4">
      <w:start w:val="1"/>
      <w:numFmt w:val="lowerLetter"/>
      <w:lvlText w:val="%5."/>
      <w:lvlJc w:val="left"/>
      <w:pPr>
        <w:ind w:left="6390" w:firstLine="6030"/>
      </w:pPr>
      <w:rPr/>
    </w:lvl>
    <w:lvl w:ilvl="5">
      <w:start w:val="1"/>
      <w:numFmt w:val="lowerRoman"/>
      <w:lvlText w:val="%6."/>
      <w:lvlJc w:val="right"/>
      <w:pPr>
        <w:ind w:left="7110" w:firstLine="6930"/>
      </w:pPr>
      <w:rPr/>
    </w:lvl>
    <w:lvl w:ilvl="6">
      <w:start w:val="1"/>
      <w:numFmt w:val="decimal"/>
      <w:lvlText w:val="%7."/>
      <w:lvlJc w:val="left"/>
      <w:pPr>
        <w:ind w:left="7830" w:firstLine="7470"/>
      </w:pPr>
      <w:rPr/>
    </w:lvl>
    <w:lvl w:ilvl="7">
      <w:start w:val="1"/>
      <w:numFmt w:val="lowerLetter"/>
      <w:lvlText w:val="%8."/>
      <w:lvlJc w:val="left"/>
      <w:pPr>
        <w:ind w:left="8550" w:firstLine="8190"/>
      </w:pPr>
      <w:rPr/>
    </w:lvl>
    <w:lvl w:ilvl="8">
      <w:start w:val="1"/>
      <w:numFmt w:val="lowerRoman"/>
      <w:lvlText w:val="%9."/>
      <w:lvlJc w:val="right"/>
      <w:pPr>
        <w:ind w:left="9270" w:firstLine="909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0"/>
        <w:pBdr/>
        <w:spacing w:after="160" w:before="0" w:line="259"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pBdr/>
      <w:spacing w:after="0" w:before="240" w:line="259" w:lineRule="auto"/>
      <w:ind w:left="0" w:right="0" w:firstLine="0"/>
      <w:jc w:val="center"/>
    </w:pPr>
    <w:rPr>
      <w:rFonts w:ascii="Times New Roman" w:cs="Times New Roman" w:eastAsia="Times New Roman" w:hAnsi="Times New Roman"/>
      <w:b w:val="0"/>
      <w:i w:val="0"/>
      <w:smallCaps w:val="0"/>
      <w:strike w:val="0"/>
      <w:color w:val="000000"/>
      <w:sz w:val="24"/>
      <w:szCs w:val="24"/>
      <w:u w:val="none"/>
      <w:vertAlign w:val="baseline"/>
    </w:rPr>
  </w:style>
  <w:style w:type="paragraph" w:styleId="Heading2">
    <w:name w:val="heading 2"/>
    <w:basedOn w:val="Normal"/>
    <w:next w:val="Normal"/>
    <w:pPr>
      <w:keepNext w:val="1"/>
      <w:keepLines w:val="1"/>
      <w:pBdr/>
      <w:spacing w:after="80" w:before="360" w:lineRule="auto"/>
      <w:contextualSpacing w:val="1"/>
    </w:pPr>
    <w:rPr>
      <w:b w:val="1"/>
      <w:sz w:val="36"/>
      <w:szCs w:val="36"/>
    </w:rPr>
  </w:style>
  <w:style w:type="paragraph" w:styleId="Heading3">
    <w:name w:val="heading 3"/>
    <w:basedOn w:val="Normal"/>
    <w:next w:val="Normal"/>
    <w:pPr>
      <w:keepNext w:val="1"/>
      <w:keepLines w:val="1"/>
      <w:pBdr/>
      <w:spacing w:after="80" w:before="280" w:lineRule="auto"/>
      <w:contextualSpacing w:val="1"/>
    </w:pPr>
    <w:rPr>
      <w:b w:val="1"/>
      <w:sz w:val="28"/>
      <w:szCs w:val="28"/>
    </w:rPr>
  </w:style>
  <w:style w:type="paragraph" w:styleId="Heading4">
    <w:name w:val="heading 4"/>
    <w:basedOn w:val="Normal"/>
    <w:next w:val="Normal"/>
    <w:pPr>
      <w:keepNext w:val="1"/>
      <w:keepLines w:val="1"/>
      <w:pBdr/>
      <w:spacing w:after="40" w:before="240" w:lineRule="auto"/>
      <w:contextualSpacing w:val="1"/>
    </w:pPr>
    <w:rPr>
      <w:b w:val="1"/>
      <w:sz w:val="24"/>
      <w:szCs w:val="24"/>
    </w:rPr>
  </w:style>
  <w:style w:type="paragraph" w:styleId="Heading5">
    <w:name w:val="heading 5"/>
    <w:basedOn w:val="Normal"/>
    <w:next w:val="Normal"/>
    <w:pPr>
      <w:keepNext w:val="1"/>
      <w:keepLines w:val="1"/>
      <w:pBdr/>
      <w:spacing w:after="40" w:before="220" w:lineRule="auto"/>
      <w:contextualSpacing w:val="1"/>
    </w:pPr>
    <w:rPr>
      <w:b w:val="1"/>
      <w:sz w:val="22"/>
      <w:szCs w:val="22"/>
    </w:rPr>
  </w:style>
  <w:style w:type="paragraph" w:styleId="Heading6">
    <w:name w:val="heading 6"/>
    <w:basedOn w:val="Normal"/>
    <w:next w:val="Normal"/>
    <w:pPr>
      <w:keepNext w:val="1"/>
      <w:keepLines w:val="1"/>
      <w:pBdr/>
      <w:spacing w:after="40" w:before="200" w:lineRule="auto"/>
      <w:contextualSpacing w:val="1"/>
    </w:pPr>
    <w:rPr>
      <w:b w:val="1"/>
      <w:sz w:val="20"/>
      <w:szCs w:val="20"/>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pPr>
      <w:pBdr/>
      <w:spacing w:after="0" w:line="240" w:lineRule="auto"/>
      <w:contextualSpacing w:val="1"/>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pPr>
      <w:pBdr/>
      <w:spacing w:after="0" w:line="240" w:lineRule="auto"/>
      <w:contextualSpacing w:val="1"/>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comments" Target="comment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5.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