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1EA8" w:rsidRPr="007652F1" w:rsidRDefault="007652F1" w:rsidP="00167445">
      <w:pPr>
        <w:pStyle w:val="Title"/>
        <w:rPr>
          <w:lang w:val="en-US"/>
        </w:rPr>
      </w:pPr>
      <w:r>
        <w:rPr>
          <w:lang w:val="en-US"/>
        </w:rPr>
        <w:t xml:space="preserve">Blood </w:t>
      </w:r>
      <w:r w:rsidR="00167445" w:rsidRPr="007652F1">
        <w:rPr>
          <w:lang w:val="en-US"/>
        </w:rPr>
        <w:t>collection protocol</w:t>
      </w:r>
    </w:p>
    <w:p w:rsidR="00167445" w:rsidRPr="00167445" w:rsidRDefault="00167445" w:rsidP="00167445">
      <w:pPr>
        <w:spacing w:after="0" w:line="240" w:lineRule="auto"/>
        <w:rPr>
          <w:rFonts w:ascii="Calibri" w:eastAsia="Times New Roman" w:hAnsi="Calibri" w:cs="Calibri"/>
          <w:color w:val="5B9BD5"/>
          <w:sz w:val="24"/>
          <w:szCs w:val="24"/>
          <w:lang w:val="en-US" w:eastAsia="nl-BE"/>
        </w:rPr>
      </w:pPr>
      <w:r w:rsidRPr="00167445">
        <w:rPr>
          <w:rFonts w:ascii="Calibri" w:eastAsia="Times New Roman" w:hAnsi="Calibri" w:cs="Calibri"/>
          <w:color w:val="5B9BD5"/>
          <w:sz w:val="24"/>
          <w:szCs w:val="24"/>
          <w:lang w:val="en-US" w:eastAsia="nl-BE"/>
        </w:rPr>
        <w:t> </w:t>
      </w:r>
    </w:p>
    <w:p w:rsidR="00167445" w:rsidRPr="00167445" w:rsidRDefault="00167445" w:rsidP="00167445">
      <w:pPr>
        <w:spacing w:after="0" w:line="240" w:lineRule="auto"/>
        <w:rPr>
          <w:rFonts w:ascii="Calibri" w:eastAsia="Times New Roman" w:hAnsi="Calibri" w:cs="Calibri"/>
          <w:sz w:val="24"/>
          <w:szCs w:val="24"/>
          <w:lang w:val="en-US" w:eastAsia="nl-BE"/>
        </w:rPr>
      </w:pPr>
      <w:r w:rsidRPr="00167445">
        <w:rPr>
          <w:rFonts w:ascii="Calibri" w:eastAsia="Times New Roman" w:hAnsi="Calibri" w:cs="Calibri"/>
          <w:sz w:val="24"/>
          <w:szCs w:val="24"/>
          <w:lang w:val="en-US" w:eastAsia="nl-BE"/>
        </w:rPr>
        <w:t xml:space="preserve">Adapted from SOP Virginia Tech: Mouse Blood Collection from </w:t>
      </w:r>
      <w:proofErr w:type="spellStart"/>
      <w:r w:rsidRPr="00167445">
        <w:rPr>
          <w:rFonts w:ascii="Calibri" w:eastAsia="Times New Roman" w:hAnsi="Calibri" w:cs="Calibri"/>
          <w:sz w:val="24"/>
          <w:szCs w:val="24"/>
          <w:lang w:val="en-US" w:eastAsia="nl-BE"/>
        </w:rPr>
        <w:t>Submandibullar</w:t>
      </w:r>
      <w:proofErr w:type="spellEnd"/>
      <w:r w:rsidRPr="00167445">
        <w:rPr>
          <w:rFonts w:ascii="Calibri" w:eastAsia="Times New Roman" w:hAnsi="Calibri" w:cs="Calibri"/>
          <w:sz w:val="24"/>
          <w:szCs w:val="24"/>
          <w:lang w:val="en-US" w:eastAsia="nl-BE"/>
        </w:rPr>
        <w:t xml:space="preserve"> Vein (Cheek Punch)</w:t>
      </w:r>
    </w:p>
    <w:p w:rsidR="00167445" w:rsidRPr="00167445" w:rsidRDefault="00167445" w:rsidP="00167445">
      <w:pPr>
        <w:spacing w:after="0" w:line="240" w:lineRule="auto"/>
        <w:rPr>
          <w:rFonts w:ascii="Calibri" w:eastAsia="Times New Roman" w:hAnsi="Calibri" w:cs="Calibri"/>
          <w:sz w:val="24"/>
          <w:szCs w:val="24"/>
          <w:lang w:val="en-US" w:eastAsia="nl-BE"/>
        </w:rPr>
      </w:pPr>
      <w:r w:rsidRPr="00167445">
        <w:rPr>
          <w:rFonts w:ascii="Calibri" w:eastAsia="Times New Roman" w:hAnsi="Calibri" w:cs="Calibri"/>
          <w:sz w:val="24"/>
          <w:szCs w:val="24"/>
          <w:lang w:val="en-US" w:eastAsia="nl-BE"/>
        </w:rPr>
        <w:t> </w:t>
      </w:r>
    </w:p>
    <w:p w:rsidR="00167445" w:rsidRPr="007652F1" w:rsidRDefault="00167445" w:rsidP="007652F1">
      <w:pPr>
        <w:spacing w:after="0" w:line="240" w:lineRule="auto"/>
        <w:rPr>
          <w:rFonts w:ascii="Calibri" w:eastAsia="Times New Roman" w:hAnsi="Calibri" w:cs="Calibri"/>
          <w:b/>
          <w:sz w:val="24"/>
          <w:szCs w:val="24"/>
          <w:lang w:val="en-US" w:eastAsia="nl-BE"/>
        </w:rPr>
      </w:pPr>
      <w:r w:rsidRPr="007652F1">
        <w:rPr>
          <w:rFonts w:ascii="Calibri" w:eastAsia="Times New Roman" w:hAnsi="Calibri" w:cs="Calibri"/>
          <w:b/>
          <w:sz w:val="24"/>
          <w:szCs w:val="24"/>
          <w:lang w:val="en-US" w:eastAsia="nl-BE"/>
        </w:rPr>
        <w:t>Materials List</w:t>
      </w:r>
    </w:p>
    <w:p w:rsidR="007652F1" w:rsidRDefault="00167445" w:rsidP="007652F1">
      <w:pPr>
        <w:pStyle w:val="ListParagraph"/>
        <w:numPr>
          <w:ilvl w:val="0"/>
          <w:numId w:val="9"/>
        </w:numPr>
        <w:spacing w:after="0" w:line="240" w:lineRule="auto"/>
        <w:textAlignment w:val="center"/>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 xml:space="preserve">Appropriate collection tubes (e.g., </w:t>
      </w:r>
      <w:r w:rsidR="00B11760">
        <w:rPr>
          <w:rFonts w:ascii="Calibri" w:eastAsia="Times New Roman" w:hAnsi="Calibri" w:cs="Calibri"/>
          <w:sz w:val="24"/>
          <w:szCs w:val="24"/>
          <w:lang w:val="en-US" w:eastAsia="nl-BE"/>
        </w:rPr>
        <w:t>EDTA coated tubes, low-protein binding tubes)</w:t>
      </w:r>
    </w:p>
    <w:p w:rsidR="007652F1" w:rsidRDefault="00167445" w:rsidP="007652F1">
      <w:pPr>
        <w:pStyle w:val="ListParagraph"/>
        <w:numPr>
          <w:ilvl w:val="0"/>
          <w:numId w:val="9"/>
        </w:numPr>
        <w:spacing w:after="0" w:line="240" w:lineRule="auto"/>
        <w:textAlignment w:val="center"/>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 xml:space="preserve">Ice container </w:t>
      </w:r>
    </w:p>
    <w:p w:rsidR="007652F1" w:rsidRDefault="00167445" w:rsidP="007652F1">
      <w:pPr>
        <w:pStyle w:val="ListParagraph"/>
        <w:numPr>
          <w:ilvl w:val="0"/>
          <w:numId w:val="9"/>
        </w:numPr>
        <w:spacing w:after="0" w:line="240" w:lineRule="auto"/>
        <w:textAlignment w:val="center"/>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Lancet</w:t>
      </w:r>
    </w:p>
    <w:p w:rsidR="007652F1" w:rsidRDefault="00167445" w:rsidP="007652F1">
      <w:pPr>
        <w:pStyle w:val="ListParagraph"/>
        <w:numPr>
          <w:ilvl w:val="1"/>
          <w:numId w:val="9"/>
        </w:numPr>
        <w:spacing w:after="0" w:line="240" w:lineRule="auto"/>
        <w:textAlignment w:val="center"/>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4mm for a small/young mouse</w:t>
      </w:r>
    </w:p>
    <w:p w:rsidR="007652F1" w:rsidRPr="007652F1" w:rsidRDefault="00167445" w:rsidP="007652F1">
      <w:pPr>
        <w:pStyle w:val="ListParagraph"/>
        <w:numPr>
          <w:ilvl w:val="1"/>
          <w:numId w:val="9"/>
        </w:numPr>
        <w:spacing w:after="0" w:line="240" w:lineRule="auto"/>
        <w:textAlignment w:val="center"/>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5mm to 5.5mm for an average adult mouse</w:t>
      </w:r>
    </w:p>
    <w:p w:rsidR="007652F1" w:rsidRDefault="00167445" w:rsidP="007652F1">
      <w:pPr>
        <w:pStyle w:val="ListParagraph"/>
        <w:numPr>
          <w:ilvl w:val="0"/>
          <w:numId w:val="9"/>
        </w:numPr>
        <w:spacing w:after="0" w:line="240" w:lineRule="auto"/>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Gauze pads</w:t>
      </w:r>
    </w:p>
    <w:p w:rsidR="00167445" w:rsidRPr="007652F1" w:rsidRDefault="00167445" w:rsidP="007652F1">
      <w:pPr>
        <w:pStyle w:val="ListParagraph"/>
        <w:numPr>
          <w:ilvl w:val="0"/>
          <w:numId w:val="9"/>
        </w:numPr>
        <w:spacing w:after="0" w:line="240" w:lineRule="auto"/>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 xml:space="preserve">Micropipette and </w:t>
      </w:r>
      <w:r w:rsidRPr="007652F1">
        <w:rPr>
          <w:rFonts w:ascii="Calibri" w:eastAsia="Times New Roman" w:hAnsi="Calibri" w:cs="Calibri"/>
          <w:sz w:val="24"/>
          <w:szCs w:val="24"/>
          <w:u w:val="single"/>
          <w:lang w:val="en-US" w:eastAsia="nl-BE"/>
        </w:rPr>
        <w:t>filtered</w:t>
      </w:r>
      <w:r w:rsidRPr="007652F1">
        <w:rPr>
          <w:rFonts w:ascii="Calibri" w:eastAsia="Times New Roman" w:hAnsi="Calibri" w:cs="Calibri"/>
          <w:sz w:val="24"/>
          <w:szCs w:val="24"/>
          <w:lang w:val="en-US" w:eastAsia="nl-BE"/>
        </w:rPr>
        <w:t xml:space="preserve"> tips (100ul)</w:t>
      </w:r>
    </w:p>
    <w:p w:rsidR="00167445" w:rsidRDefault="00167445" w:rsidP="00167445">
      <w:pPr>
        <w:pStyle w:val="ListParagraph"/>
        <w:numPr>
          <w:ilvl w:val="0"/>
          <w:numId w:val="9"/>
        </w:numPr>
        <w:spacing w:after="0" w:line="240" w:lineRule="auto"/>
        <w:textAlignment w:val="center"/>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Scale - All mice should be weighted prior to blood collection</w:t>
      </w:r>
    </w:p>
    <w:p w:rsidR="00B11760" w:rsidRPr="007652F1" w:rsidRDefault="00B11760" w:rsidP="00167445">
      <w:pPr>
        <w:pStyle w:val="ListParagraph"/>
        <w:numPr>
          <w:ilvl w:val="0"/>
          <w:numId w:val="9"/>
        </w:numPr>
        <w:spacing w:after="0" w:line="240" w:lineRule="auto"/>
        <w:textAlignment w:val="center"/>
        <w:rPr>
          <w:rFonts w:ascii="Calibri" w:eastAsia="Times New Roman" w:hAnsi="Calibri" w:cs="Calibri"/>
          <w:sz w:val="24"/>
          <w:szCs w:val="24"/>
          <w:lang w:val="en-US" w:eastAsia="nl-BE"/>
        </w:rPr>
      </w:pPr>
      <w:r>
        <w:rPr>
          <w:rFonts w:ascii="Calibri" w:eastAsia="Times New Roman" w:hAnsi="Calibri" w:cs="Calibri"/>
          <w:sz w:val="24"/>
          <w:szCs w:val="24"/>
          <w:lang w:val="en-US" w:eastAsia="nl-BE"/>
        </w:rPr>
        <w:t>centrifuge</w:t>
      </w:r>
    </w:p>
    <w:p w:rsidR="00167445" w:rsidRPr="00167445" w:rsidRDefault="00167445" w:rsidP="00167445">
      <w:pPr>
        <w:spacing w:after="0" w:line="240" w:lineRule="auto"/>
        <w:rPr>
          <w:rFonts w:ascii="Calibri" w:eastAsia="Times New Roman" w:hAnsi="Calibri" w:cs="Calibri"/>
          <w:sz w:val="24"/>
          <w:szCs w:val="24"/>
          <w:lang w:val="en-US" w:eastAsia="nl-BE"/>
        </w:rPr>
      </w:pPr>
      <w:r w:rsidRPr="00167445">
        <w:rPr>
          <w:rFonts w:ascii="Calibri" w:eastAsia="Times New Roman" w:hAnsi="Calibri" w:cs="Calibri"/>
          <w:sz w:val="24"/>
          <w:szCs w:val="24"/>
          <w:lang w:val="en-US" w:eastAsia="nl-BE"/>
        </w:rPr>
        <w:t> </w:t>
      </w:r>
    </w:p>
    <w:p w:rsidR="00B11760" w:rsidRPr="00B11760" w:rsidRDefault="00B11760" w:rsidP="00B11760">
      <w:pPr>
        <w:pStyle w:val="ListParagraph"/>
        <w:numPr>
          <w:ilvl w:val="0"/>
          <w:numId w:val="13"/>
        </w:numPr>
        <w:spacing w:after="0" w:line="240" w:lineRule="auto"/>
        <w:rPr>
          <w:rFonts w:ascii="Calibri" w:eastAsia="Times New Roman" w:hAnsi="Calibri" w:cs="Calibri"/>
          <w:color w:val="5B9BD5"/>
          <w:sz w:val="24"/>
          <w:szCs w:val="24"/>
          <w:lang w:val="en-US" w:eastAsia="nl-BE"/>
        </w:rPr>
      </w:pPr>
      <w:r w:rsidRPr="00B11760">
        <w:rPr>
          <w:rFonts w:ascii="Calibri" w:eastAsia="Times New Roman" w:hAnsi="Calibri" w:cs="Calibri"/>
          <w:b/>
          <w:bCs/>
          <w:color w:val="5B9BD5"/>
          <w:sz w:val="24"/>
          <w:szCs w:val="24"/>
          <w:lang w:val="en-US" w:eastAsia="nl-BE"/>
        </w:rPr>
        <w:t>Facial Vein Collection</w:t>
      </w:r>
    </w:p>
    <w:p w:rsidR="007652F1" w:rsidRDefault="007652F1" w:rsidP="007652F1">
      <w:pPr>
        <w:spacing w:after="0" w:line="240" w:lineRule="auto"/>
        <w:rPr>
          <w:rFonts w:ascii="Calibri" w:eastAsia="Times New Roman" w:hAnsi="Calibri" w:cs="Calibri"/>
          <w:b/>
          <w:sz w:val="24"/>
          <w:szCs w:val="24"/>
          <w:lang w:val="en-US" w:eastAsia="nl-BE"/>
        </w:rPr>
      </w:pPr>
      <w:r>
        <w:rPr>
          <w:rFonts w:ascii="Calibri" w:eastAsia="Times New Roman" w:hAnsi="Calibri" w:cs="Calibri"/>
          <w:b/>
          <w:sz w:val="24"/>
          <w:szCs w:val="24"/>
          <w:lang w:val="en-US" w:eastAsia="nl-BE"/>
        </w:rPr>
        <w:t>Notes</w:t>
      </w:r>
    </w:p>
    <w:p w:rsidR="007652F1" w:rsidRDefault="007652F1" w:rsidP="007652F1">
      <w:pPr>
        <w:pStyle w:val="ListParagraph"/>
        <w:numPr>
          <w:ilvl w:val="0"/>
          <w:numId w:val="10"/>
        </w:numPr>
        <w:spacing w:after="0" w:line="240" w:lineRule="auto"/>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Frequency: The submandibular vein can be used for serial blood collection of small samples by alternating cheek sides, and/or by gently removing the clot/scab.</w:t>
      </w:r>
    </w:p>
    <w:p w:rsidR="007652F1" w:rsidRPr="007652F1" w:rsidRDefault="007652F1" w:rsidP="007652F1">
      <w:pPr>
        <w:pStyle w:val="ListParagraph"/>
        <w:numPr>
          <w:ilvl w:val="0"/>
          <w:numId w:val="10"/>
        </w:numPr>
        <w:spacing w:after="0" w:line="240" w:lineRule="auto"/>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Anesthesia: This method can be performed without anesthesia, but does require training to perfect technique.</w:t>
      </w:r>
    </w:p>
    <w:p w:rsidR="007652F1" w:rsidRDefault="007652F1" w:rsidP="007652F1">
      <w:pPr>
        <w:spacing w:after="0" w:line="240" w:lineRule="auto"/>
        <w:rPr>
          <w:rFonts w:ascii="Calibri" w:eastAsia="Times New Roman" w:hAnsi="Calibri" w:cs="Calibri"/>
          <w:b/>
          <w:sz w:val="24"/>
          <w:szCs w:val="24"/>
          <w:lang w:val="en-US" w:eastAsia="nl-BE"/>
        </w:rPr>
      </w:pPr>
    </w:p>
    <w:p w:rsidR="00167445" w:rsidRPr="007652F1" w:rsidRDefault="00167445" w:rsidP="007652F1">
      <w:pPr>
        <w:spacing w:after="0" w:line="240" w:lineRule="auto"/>
        <w:rPr>
          <w:rFonts w:ascii="Calibri" w:eastAsia="Times New Roman" w:hAnsi="Calibri" w:cs="Calibri"/>
          <w:b/>
          <w:sz w:val="24"/>
          <w:szCs w:val="24"/>
          <w:lang w:val="en-US" w:eastAsia="nl-BE"/>
        </w:rPr>
      </w:pPr>
      <w:r w:rsidRPr="007652F1">
        <w:rPr>
          <w:rFonts w:ascii="Calibri" w:eastAsia="Times New Roman" w:hAnsi="Calibri" w:cs="Calibri"/>
          <w:b/>
          <w:sz w:val="24"/>
          <w:szCs w:val="24"/>
          <w:lang w:val="en-US" w:eastAsia="nl-BE"/>
        </w:rPr>
        <w:t>Procedure</w:t>
      </w:r>
    </w:p>
    <w:p w:rsidR="007652F1" w:rsidRDefault="00167445" w:rsidP="007652F1">
      <w:pPr>
        <w:pStyle w:val="ListParagraph"/>
        <w:numPr>
          <w:ilvl w:val="0"/>
          <w:numId w:val="11"/>
        </w:numPr>
        <w:spacing w:after="0" w:line="240" w:lineRule="auto"/>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Properly restrain the animal with one hand, which will apply adequate pressure to the maxillary vein.</w:t>
      </w:r>
    </w:p>
    <w:p w:rsidR="007652F1" w:rsidRDefault="00167445" w:rsidP="007652F1">
      <w:pPr>
        <w:pStyle w:val="ListParagraph"/>
        <w:numPr>
          <w:ilvl w:val="0"/>
          <w:numId w:val="11"/>
        </w:numPr>
        <w:spacing w:after="0" w:line="240" w:lineRule="auto"/>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Visualize landmarks</w:t>
      </w:r>
    </w:p>
    <w:p w:rsidR="007652F1" w:rsidRDefault="00167445" w:rsidP="007652F1">
      <w:pPr>
        <w:pStyle w:val="ListParagraph"/>
        <w:numPr>
          <w:ilvl w:val="1"/>
          <w:numId w:val="10"/>
        </w:numPr>
        <w:spacing w:after="0" w:line="240" w:lineRule="auto"/>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Albino mice have a convenient landmark in the area of the maxillary vein. Often viewed as a small bald spot or hair whorl, you can find this along the curvature of the mandible;</w:t>
      </w:r>
      <w:r w:rsidR="007652F1">
        <w:rPr>
          <w:rFonts w:ascii="Calibri" w:eastAsia="Times New Roman" w:hAnsi="Calibri" w:cs="Calibri"/>
          <w:sz w:val="24"/>
          <w:szCs w:val="24"/>
          <w:lang w:val="en-US" w:eastAsia="nl-BE"/>
        </w:rPr>
        <w:t xml:space="preserve"> </w:t>
      </w:r>
      <w:r w:rsidRPr="007652F1">
        <w:rPr>
          <w:rFonts w:ascii="Calibri" w:eastAsia="Times New Roman" w:hAnsi="Calibri" w:cs="Calibri"/>
          <w:sz w:val="24"/>
          <w:szCs w:val="24"/>
          <w:lang w:val="en-US" w:eastAsia="nl-BE"/>
        </w:rPr>
        <w:t>the vein is just below this mark in the groove past the jawbone. Darker mice have the same spot but it may be more difficult to see.</w:t>
      </w:r>
    </w:p>
    <w:p w:rsidR="00167445" w:rsidRPr="007652F1" w:rsidRDefault="00167445" w:rsidP="007652F1">
      <w:pPr>
        <w:pStyle w:val="ListParagraph"/>
        <w:numPr>
          <w:ilvl w:val="1"/>
          <w:numId w:val="10"/>
        </w:numPr>
        <w:spacing w:after="0" w:line="240" w:lineRule="auto"/>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You can also align a lancet caudal to the angle of the mandible, extending to the ear. Location of the puncture site is at the midway point of the lancet.</w:t>
      </w:r>
    </w:p>
    <w:p w:rsidR="007652F1" w:rsidRDefault="00167445" w:rsidP="007652F1">
      <w:pPr>
        <w:pStyle w:val="ListParagraph"/>
        <w:numPr>
          <w:ilvl w:val="0"/>
          <w:numId w:val="11"/>
        </w:numPr>
        <w:spacing w:after="0" w:line="240" w:lineRule="auto"/>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Using the point of the lancet, apply firm pressure at the point, caudal to the eye and ventral to the ear, where the submandibular vein is located, then release until blood flows.</w:t>
      </w:r>
    </w:p>
    <w:p w:rsidR="00167445" w:rsidRDefault="00167445" w:rsidP="007652F1">
      <w:pPr>
        <w:pStyle w:val="ListParagraph"/>
        <w:numPr>
          <w:ilvl w:val="1"/>
          <w:numId w:val="10"/>
        </w:numPr>
        <w:spacing w:after="0" w:line="240" w:lineRule="auto"/>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CAUTION: hold needle or lancet perpendicular to the bleed site to avoid puncturing the ear canal.</w:t>
      </w:r>
    </w:p>
    <w:p w:rsidR="00B11760" w:rsidRPr="00B11760" w:rsidRDefault="00B11760" w:rsidP="00B11760">
      <w:pPr>
        <w:pStyle w:val="ListParagraph"/>
        <w:numPr>
          <w:ilvl w:val="0"/>
          <w:numId w:val="11"/>
        </w:numPr>
        <w:spacing w:after="0" w:line="240" w:lineRule="auto"/>
        <w:rPr>
          <w:rFonts w:ascii="Calibri" w:eastAsia="Times New Roman" w:hAnsi="Calibri" w:cs="Calibri"/>
          <w:sz w:val="24"/>
          <w:szCs w:val="24"/>
          <w:lang w:val="en-US" w:eastAsia="nl-BE"/>
        </w:rPr>
      </w:pPr>
      <w:r w:rsidRPr="00B11760">
        <w:rPr>
          <w:rFonts w:ascii="Calibri" w:eastAsia="Times New Roman" w:hAnsi="Calibri" w:cs="Calibri"/>
          <w:sz w:val="24"/>
          <w:szCs w:val="24"/>
          <w:lang w:val="en-US" w:eastAsia="nl-BE"/>
        </w:rPr>
        <w:t>Quickly place blood collection tube below the puncture site until desired volume of blood is collected.</w:t>
      </w:r>
    </w:p>
    <w:p w:rsidR="00B11760" w:rsidRDefault="00B11760" w:rsidP="00B11760">
      <w:pPr>
        <w:pStyle w:val="ListParagraph"/>
        <w:numPr>
          <w:ilvl w:val="0"/>
          <w:numId w:val="11"/>
        </w:numPr>
        <w:spacing w:after="0" w:line="240" w:lineRule="auto"/>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Apply gentle pressure with gauze until bleeding has stopped.</w:t>
      </w:r>
    </w:p>
    <w:p w:rsidR="00B11760" w:rsidRDefault="00B11760" w:rsidP="00B11760">
      <w:pPr>
        <w:pStyle w:val="ListParagraph"/>
        <w:numPr>
          <w:ilvl w:val="0"/>
          <w:numId w:val="11"/>
        </w:numPr>
        <w:spacing w:after="0" w:line="240" w:lineRule="auto"/>
        <w:rPr>
          <w:rFonts w:ascii="Calibri" w:eastAsia="Times New Roman" w:hAnsi="Calibri" w:cs="Calibri"/>
          <w:sz w:val="24"/>
          <w:szCs w:val="24"/>
          <w:lang w:val="en-US" w:eastAsia="nl-BE"/>
        </w:rPr>
      </w:pPr>
      <w:r w:rsidRPr="007652F1">
        <w:rPr>
          <w:rFonts w:ascii="Calibri" w:eastAsia="Times New Roman" w:hAnsi="Calibri" w:cs="Calibri"/>
          <w:sz w:val="24"/>
          <w:szCs w:val="24"/>
          <w:lang w:val="en-US" w:eastAsia="nl-BE"/>
        </w:rPr>
        <w:t>Dispose of the needle/lancet into the approved sharps container</w:t>
      </w:r>
    </w:p>
    <w:p w:rsidR="00B11760" w:rsidRPr="00B11760" w:rsidRDefault="00B11760" w:rsidP="00B11760">
      <w:pPr>
        <w:spacing w:after="0" w:line="240" w:lineRule="auto"/>
        <w:rPr>
          <w:rFonts w:ascii="Calibri" w:eastAsia="Times New Roman" w:hAnsi="Calibri" w:cs="Calibri"/>
          <w:sz w:val="24"/>
          <w:szCs w:val="24"/>
          <w:lang w:val="en-US" w:eastAsia="nl-BE"/>
        </w:rPr>
      </w:pPr>
    </w:p>
    <w:p w:rsidR="00167445" w:rsidRPr="00B11760" w:rsidRDefault="00B11760" w:rsidP="00B11760">
      <w:pPr>
        <w:spacing w:after="0" w:line="240" w:lineRule="auto"/>
        <w:jc w:val="center"/>
        <w:rPr>
          <w:rFonts w:ascii="Calibri" w:eastAsia="Times New Roman" w:hAnsi="Calibri" w:cs="Calibri"/>
          <w:lang w:val="en-US" w:eastAsia="nl-BE"/>
        </w:rPr>
      </w:pPr>
      <w:r w:rsidRPr="00167445">
        <w:rPr>
          <w:rFonts w:ascii="Calibri" w:eastAsia="Times New Roman" w:hAnsi="Calibri" w:cs="Calibri"/>
          <w:noProof/>
          <w:lang w:eastAsia="nl-BE"/>
        </w:rPr>
        <w:lastRenderedPageBreak/>
        <w:drawing>
          <wp:inline distT="0" distB="0" distL="0" distR="0" wp14:anchorId="38EACFB0" wp14:editId="232E5B18">
            <wp:extent cx="4069080" cy="2615838"/>
            <wp:effectExtent l="0" t="0" r="7620" b="0"/>
            <wp:docPr id="2" name="Picture 2" descr="LAB_020 Blood Collection – Facial Bleed (Sub-Mandibular) in Mice LAB_020 Blood  Collection – Facial Bleed (Sub-Mandibular)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B_020 Blood Collection – Facial Bleed (Sub-Mandibular) in Mice LAB_020 Blood  Collection – Facial Bleed (Sub-Mandibular) 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98233" cy="2634579"/>
                    </a:xfrm>
                    <a:prstGeom prst="rect">
                      <a:avLst/>
                    </a:prstGeom>
                    <a:noFill/>
                    <a:ln>
                      <a:noFill/>
                    </a:ln>
                  </pic:spPr>
                </pic:pic>
              </a:graphicData>
            </a:graphic>
          </wp:inline>
        </w:drawing>
      </w:r>
    </w:p>
    <w:p w:rsidR="00167445" w:rsidRPr="00B11760" w:rsidRDefault="00167445" w:rsidP="00167445">
      <w:pPr>
        <w:spacing w:after="0" w:line="240" w:lineRule="auto"/>
        <w:rPr>
          <w:rFonts w:ascii="Calibri" w:eastAsia="Times New Roman" w:hAnsi="Calibri" w:cs="Calibri"/>
          <w:lang w:val="en-US" w:eastAsia="nl-BE"/>
        </w:rPr>
      </w:pPr>
    </w:p>
    <w:p w:rsidR="00B11760" w:rsidRDefault="00B11760" w:rsidP="00B11760">
      <w:pPr>
        <w:spacing w:after="0" w:line="240" w:lineRule="auto"/>
        <w:rPr>
          <w:rFonts w:ascii="Calibri" w:eastAsia="Times New Roman" w:hAnsi="Calibri" w:cs="Calibri"/>
          <w:sz w:val="24"/>
          <w:szCs w:val="24"/>
          <w:lang w:val="en-US" w:eastAsia="nl-BE"/>
        </w:rPr>
      </w:pPr>
    </w:p>
    <w:p w:rsidR="00B11760" w:rsidRPr="00B11760" w:rsidRDefault="00B11760" w:rsidP="00B11760">
      <w:pPr>
        <w:pStyle w:val="ListParagraph"/>
        <w:numPr>
          <w:ilvl w:val="0"/>
          <w:numId w:val="13"/>
        </w:numPr>
        <w:spacing w:after="0" w:line="240" w:lineRule="auto"/>
        <w:rPr>
          <w:rFonts w:ascii="Calibri" w:eastAsia="Times New Roman" w:hAnsi="Calibri" w:cs="Calibri"/>
          <w:b/>
          <w:bCs/>
          <w:color w:val="5B9BD5"/>
          <w:sz w:val="24"/>
          <w:szCs w:val="24"/>
          <w:lang w:val="en-US" w:eastAsia="nl-BE"/>
        </w:rPr>
      </w:pPr>
      <w:r w:rsidRPr="00B11760">
        <w:rPr>
          <w:rFonts w:ascii="Calibri" w:eastAsia="Times New Roman" w:hAnsi="Calibri" w:cs="Calibri"/>
          <w:b/>
          <w:bCs/>
          <w:color w:val="5B9BD5"/>
          <w:sz w:val="24"/>
          <w:szCs w:val="24"/>
          <w:lang w:val="en-US" w:eastAsia="nl-BE"/>
        </w:rPr>
        <w:t xml:space="preserve">Plasma separation </w:t>
      </w:r>
    </w:p>
    <w:p w:rsidR="00B11760" w:rsidRPr="00B11760" w:rsidRDefault="00B11760" w:rsidP="00B11760">
      <w:pPr>
        <w:pStyle w:val="ListParagraph"/>
        <w:numPr>
          <w:ilvl w:val="0"/>
          <w:numId w:val="12"/>
        </w:numPr>
        <w:rPr>
          <w:sz w:val="24"/>
          <w:lang w:val="en-GB" w:eastAsia="nl-BE"/>
        </w:rPr>
      </w:pPr>
      <w:r w:rsidRPr="00B11760">
        <w:rPr>
          <w:sz w:val="24"/>
          <w:lang w:val="en-GB" w:eastAsia="nl-BE"/>
        </w:rPr>
        <w:t>Blood is collected into commercially available anticoagulant-treated tubes e.g., EDTA-treated (lavender tops US, red-tops EUROPE).</w:t>
      </w:r>
    </w:p>
    <w:p w:rsidR="00B11760" w:rsidRPr="00B11760" w:rsidRDefault="00B11760" w:rsidP="00B11760">
      <w:pPr>
        <w:pStyle w:val="ListParagraph"/>
        <w:numPr>
          <w:ilvl w:val="0"/>
          <w:numId w:val="12"/>
        </w:numPr>
        <w:rPr>
          <w:sz w:val="24"/>
          <w:lang w:val="en-GB" w:eastAsia="nl-BE"/>
        </w:rPr>
      </w:pPr>
      <w:r w:rsidRPr="00B11760">
        <w:rPr>
          <w:sz w:val="24"/>
          <w:lang w:val="en-GB" w:eastAsia="nl-BE"/>
        </w:rPr>
        <w:t xml:space="preserve">Cells are removed from plasma by centrifugation for 15 minutes at 2,000 x g using a refrigerated centrifuge (4°C). The resulting supernatant is designated plasma. </w:t>
      </w:r>
    </w:p>
    <w:p w:rsidR="00B11760" w:rsidRPr="00B11760" w:rsidRDefault="00B11760" w:rsidP="00B11760">
      <w:pPr>
        <w:pStyle w:val="ListParagraph"/>
        <w:numPr>
          <w:ilvl w:val="0"/>
          <w:numId w:val="12"/>
        </w:numPr>
        <w:rPr>
          <w:sz w:val="24"/>
          <w:lang w:val="en-GB" w:eastAsia="nl-BE"/>
        </w:rPr>
      </w:pPr>
      <w:r w:rsidRPr="00B11760">
        <w:rPr>
          <w:sz w:val="24"/>
          <w:lang w:val="en-GB" w:eastAsia="nl-BE"/>
        </w:rPr>
        <w:t>Immediately transfer the liquid component (plasma) into a clean polypropylene low-protein binding tube using a micropipette.</w:t>
      </w:r>
    </w:p>
    <w:p w:rsidR="00B11760" w:rsidRPr="00B11760" w:rsidRDefault="00B11760" w:rsidP="00B11760">
      <w:pPr>
        <w:pStyle w:val="ListParagraph"/>
        <w:numPr>
          <w:ilvl w:val="0"/>
          <w:numId w:val="12"/>
        </w:numPr>
        <w:rPr>
          <w:sz w:val="24"/>
          <w:lang w:val="en-GB" w:eastAsia="nl-BE"/>
        </w:rPr>
      </w:pPr>
      <w:r w:rsidRPr="00B11760">
        <w:rPr>
          <w:sz w:val="24"/>
          <w:lang w:val="en-GB" w:eastAsia="nl-BE"/>
        </w:rPr>
        <w:t xml:space="preserve">The samples should be maintained at 2–8°C while handling. </w:t>
      </w:r>
    </w:p>
    <w:p w:rsidR="00B11760" w:rsidRPr="00B11760" w:rsidRDefault="00B11760" w:rsidP="00B11760">
      <w:pPr>
        <w:pStyle w:val="ListParagraph"/>
        <w:numPr>
          <w:ilvl w:val="0"/>
          <w:numId w:val="12"/>
        </w:numPr>
        <w:rPr>
          <w:sz w:val="24"/>
          <w:lang w:val="en-GB" w:eastAsia="nl-BE"/>
        </w:rPr>
      </w:pPr>
      <w:r w:rsidRPr="00B11760">
        <w:rPr>
          <w:sz w:val="24"/>
          <w:lang w:val="en-GB" w:eastAsia="nl-BE"/>
        </w:rPr>
        <w:t xml:space="preserve">If the plasma is not </w:t>
      </w:r>
      <w:r w:rsidRPr="00B11760">
        <w:rPr>
          <w:sz w:val="24"/>
          <w:lang w:val="en-GB" w:eastAsia="nl-BE"/>
        </w:rPr>
        <w:t>analysed</w:t>
      </w:r>
      <w:r w:rsidRPr="00B11760">
        <w:rPr>
          <w:sz w:val="24"/>
          <w:lang w:val="en-GB" w:eastAsia="nl-BE"/>
        </w:rPr>
        <w:t xml:space="preserve"> immediately, the plasma should be apportioned into 0.5 ml aliquots, stored, and transported at –80°C or lower. </w:t>
      </w:r>
    </w:p>
    <w:p w:rsidR="00B11760" w:rsidRPr="00B11760" w:rsidRDefault="00B11760" w:rsidP="00B11760">
      <w:pPr>
        <w:pStyle w:val="ListParagraph"/>
        <w:numPr>
          <w:ilvl w:val="1"/>
          <w:numId w:val="12"/>
        </w:numPr>
        <w:rPr>
          <w:sz w:val="24"/>
          <w:lang w:val="en-GB" w:eastAsia="nl-BE"/>
        </w:rPr>
      </w:pPr>
      <w:r w:rsidRPr="00B11760">
        <w:rPr>
          <w:sz w:val="24"/>
          <w:lang w:val="en-GB" w:eastAsia="nl-BE"/>
        </w:rPr>
        <w:t xml:space="preserve">It is important to avoid freeze-thaw cycles. </w:t>
      </w:r>
      <w:bookmarkStart w:id="0" w:name="_GoBack"/>
      <w:bookmarkEnd w:id="0"/>
    </w:p>
    <w:p w:rsidR="00B11760" w:rsidRPr="00B11760" w:rsidRDefault="00B11760" w:rsidP="00B11760">
      <w:pPr>
        <w:spacing w:after="0" w:line="240" w:lineRule="auto"/>
        <w:rPr>
          <w:rFonts w:ascii="Calibri" w:eastAsia="Times New Roman" w:hAnsi="Calibri" w:cs="Calibri"/>
          <w:sz w:val="24"/>
          <w:szCs w:val="24"/>
          <w:lang w:val="en-GB" w:eastAsia="nl-BE"/>
        </w:rPr>
      </w:pPr>
    </w:p>
    <w:sectPr w:rsidR="00B11760" w:rsidRPr="00B117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200C7"/>
    <w:multiLevelType w:val="multilevel"/>
    <w:tmpl w:val="0242EE8A"/>
    <w:lvl w:ilvl="0">
      <w:start w:val="1"/>
      <w:numFmt w:val="upperRoman"/>
      <w:lvlText w:val="%1."/>
      <w:lvlJc w:val="right"/>
      <w:pPr>
        <w:tabs>
          <w:tab w:val="num" w:pos="720"/>
        </w:tabs>
        <w:ind w:left="720" w:hanging="360"/>
      </w:pPr>
    </w:lvl>
    <w:lvl w:ilvl="1">
      <w:start w:val="1"/>
      <w:numFmt w:val="low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221361AE"/>
    <w:multiLevelType w:val="hybridMultilevel"/>
    <w:tmpl w:val="4344F340"/>
    <w:lvl w:ilvl="0" w:tplc="08130011">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2B767A44"/>
    <w:multiLevelType w:val="multilevel"/>
    <w:tmpl w:val="AACE47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000B12"/>
    <w:multiLevelType w:val="multilevel"/>
    <w:tmpl w:val="E642F25E"/>
    <w:lvl w:ilvl="0">
      <w:start w:val="1"/>
      <w:numFmt w:val="upperRoman"/>
      <w:lvlText w:val="%1."/>
      <w:lvlJc w:val="right"/>
      <w:pPr>
        <w:tabs>
          <w:tab w:val="num" w:pos="720"/>
        </w:tabs>
        <w:ind w:left="720" w:hanging="360"/>
      </w:pPr>
    </w:lvl>
    <w:lvl w:ilvl="1">
      <w:start w:val="1"/>
      <w:numFmt w:val="bullet"/>
      <w:lvlText w:val=""/>
      <w:lvlJc w:val="right"/>
      <w:pPr>
        <w:tabs>
          <w:tab w:val="num" w:pos="1440"/>
        </w:tabs>
        <w:ind w:left="1440" w:hanging="360"/>
      </w:pPr>
      <w:rPr>
        <w:rFonts w:ascii="Symbol" w:hAnsi="Symbol" w:hint="default"/>
        <w:sz w:val="20"/>
      </w:rPr>
    </w:lvl>
    <w:lvl w:ilvl="2">
      <w:start w:val="1"/>
      <w:numFmt w:val="bullet"/>
      <w:lvlText w:val=""/>
      <w:lvlJc w:val="right"/>
      <w:pPr>
        <w:tabs>
          <w:tab w:val="num" w:pos="2160"/>
        </w:tabs>
        <w:ind w:left="2160" w:hanging="360"/>
      </w:pPr>
      <w:rPr>
        <w:rFonts w:ascii="Symbol" w:hAnsi="Symbol" w:hint="default"/>
        <w:sz w:val="20"/>
      </w:r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40716A58"/>
    <w:multiLevelType w:val="hybridMultilevel"/>
    <w:tmpl w:val="C2B429E8"/>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50865A16"/>
    <w:multiLevelType w:val="hybridMultilevel"/>
    <w:tmpl w:val="A17A433A"/>
    <w:lvl w:ilvl="0" w:tplc="5A469BF6">
      <w:numFmt w:val="bullet"/>
      <w:lvlText w:val="-"/>
      <w:lvlJc w:val="left"/>
      <w:pPr>
        <w:ind w:left="720" w:hanging="360"/>
      </w:pPr>
      <w:rPr>
        <w:rFonts w:ascii="Calibri" w:eastAsia="Times New Roman"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53F23DBA"/>
    <w:multiLevelType w:val="hybridMultilevel"/>
    <w:tmpl w:val="BC0EDE30"/>
    <w:lvl w:ilvl="0" w:tplc="DBF851F0">
      <w:start w:val="1"/>
      <w:numFmt w:val="upperLetter"/>
      <w:lvlText w:val="%1."/>
      <w:lvlJc w:val="left"/>
      <w:pPr>
        <w:ind w:left="720" w:hanging="360"/>
      </w:pPr>
      <w:rPr>
        <w:rFonts w:hint="default"/>
        <w:b/>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5A4B2847"/>
    <w:multiLevelType w:val="multilevel"/>
    <w:tmpl w:val="E948F4E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15:restartNumberingAfterBreak="0">
    <w:nsid w:val="6326782F"/>
    <w:multiLevelType w:val="hybridMultilevel"/>
    <w:tmpl w:val="C5642F8A"/>
    <w:lvl w:ilvl="0" w:tplc="5A469BF6">
      <w:numFmt w:val="bullet"/>
      <w:lvlText w:val="-"/>
      <w:lvlJc w:val="left"/>
      <w:pPr>
        <w:ind w:left="720" w:hanging="360"/>
      </w:pPr>
      <w:rPr>
        <w:rFonts w:ascii="Calibri" w:eastAsia="Times New Roman"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66563352"/>
    <w:multiLevelType w:val="multilevel"/>
    <w:tmpl w:val="3B547B0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6F544707"/>
    <w:multiLevelType w:val="multilevel"/>
    <w:tmpl w:val="2668C4F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71C85DA0"/>
    <w:multiLevelType w:val="multilevel"/>
    <w:tmpl w:val="1B24B3B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abstractNumId w:val="2"/>
  </w:num>
  <w:num w:numId="2">
    <w:abstractNumId w:val="3"/>
    <w:lvlOverride w:ilvl="0">
      <w:startOverride w:val="1"/>
    </w:lvlOverride>
  </w:num>
  <w:num w:numId="3">
    <w:abstractNumId w:val="7"/>
    <w:lvlOverride w:ilvl="0">
      <w:startOverride w:val="2"/>
    </w:lvlOverride>
  </w:num>
  <w:num w:numId="4">
    <w:abstractNumId w:val="0"/>
    <w:lvlOverride w:ilvl="0">
      <w:startOverride w:val="3"/>
    </w:lvlOverride>
  </w:num>
  <w:num w:numId="5">
    <w:abstractNumId w:val="0"/>
    <w:lvlOverride w:ilvl="0"/>
    <w:lvlOverride w:ilvl="1">
      <w:startOverride w:val="1"/>
    </w:lvlOverride>
  </w:num>
  <w:num w:numId="6">
    <w:abstractNumId w:val="10"/>
    <w:lvlOverride w:ilvl="0">
      <w:startOverride w:val="4"/>
    </w:lvlOverride>
  </w:num>
  <w:num w:numId="7">
    <w:abstractNumId w:val="11"/>
    <w:lvlOverride w:ilvl="0">
      <w:startOverride w:val="4"/>
    </w:lvlOverride>
  </w:num>
  <w:num w:numId="8">
    <w:abstractNumId w:val="9"/>
    <w:lvlOverride w:ilvl="0">
      <w:startOverride w:val="6"/>
    </w:lvlOverride>
  </w:num>
  <w:num w:numId="9">
    <w:abstractNumId w:val="5"/>
  </w:num>
  <w:num w:numId="10">
    <w:abstractNumId w:val="8"/>
  </w:num>
  <w:num w:numId="11">
    <w:abstractNumId w:val="4"/>
  </w:num>
  <w:num w:numId="12">
    <w:abstractNumId w:val="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445"/>
    <w:rsid w:val="00167445"/>
    <w:rsid w:val="007652F1"/>
    <w:rsid w:val="00781EA8"/>
    <w:rsid w:val="00B1176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AB902"/>
  <w15:chartTrackingRefBased/>
  <w15:docId w15:val="{43FE5006-A4E4-4DA2-B731-A0F1EFC7B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7445"/>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Title">
    <w:name w:val="Title"/>
    <w:basedOn w:val="Normal"/>
    <w:next w:val="Normal"/>
    <w:link w:val="TitleChar"/>
    <w:uiPriority w:val="10"/>
    <w:qFormat/>
    <w:rsid w:val="001674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44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652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637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389</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Schoonvliet</dc:creator>
  <cp:keywords/>
  <dc:description/>
  <cp:lastModifiedBy>Nina Schoonvliet</cp:lastModifiedBy>
  <cp:revision>3</cp:revision>
  <dcterms:created xsi:type="dcterms:W3CDTF">2024-01-09T14:07:00Z</dcterms:created>
  <dcterms:modified xsi:type="dcterms:W3CDTF">2024-01-09T15:27:00Z</dcterms:modified>
</cp:coreProperties>
</file>