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Arial Unicode MS" w:cs="Times New Roman"/>
          <w:b/>
          <w:bCs/>
          <w:highlight w:val="none"/>
        </w:rPr>
      </w:pPr>
      <w:r>
        <w:rPr>
          <w:rFonts w:ascii="Times New Roman" w:hAnsi="Times New Roman" w:eastAsia="Arial Unicode MS" w:cs="Times New Roman"/>
          <w:b/>
          <w:bCs/>
          <w:highlight w:val="none"/>
        </w:rPr>
        <w:t>Virus isolation and sequencing.</w:t>
      </w:r>
    </w:p>
    <w:p>
      <w:pPr>
        <w:numPr>
          <w:ilvl w:val="0"/>
          <w:numId w:val="1"/>
        </w:numPr>
        <w:rPr>
          <w:rFonts w:ascii="Times New Roman" w:hAnsi="Times New Roman" w:eastAsia="Arial Unicode MS" w:cs="Times New Roman"/>
          <w:highlight w:val="none"/>
        </w:rPr>
      </w:pPr>
      <w:r>
        <w:rPr>
          <w:rFonts w:ascii="Times New Roman" w:hAnsi="Times New Roman" w:eastAsia="Arial Unicode MS" w:cs="Times New Roman"/>
          <w:highlight w:val="none"/>
        </w:rPr>
        <w:t xml:space="preserve">Viruses were isolated from cultured rhabdomyosarcoma (RD) cells and human epidermoid cancer cells (Hep-2) cells. </w:t>
      </w:r>
    </w:p>
    <w:p>
      <w:pPr>
        <w:numPr>
          <w:ilvl w:val="0"/>
          <w:numId w:val="1"/>
        </w:numPr>
      </w:pPr>
      <w:r>
        <w:rPr>
          <w:rFonts w:ascii="Times New Roman" w:hAnsi="Times New Roman" w:eastAsia="Arial Unicode MS" w:cs="Times New Roman"/>
          <w:highlight w:val="none"/>
        </w:rPr>
        <w:t xml:space="preserve">After the cells were inoculated with virally contaminated samples, they were cultured at 37°C and observed for three passages. </w:t>
      </w:r>
    </w:p>
    <w:p>
      <w:pPr>
        <w:numPr>
          <w:ilvl w:val="0"/>
          <w:numId w:val="1"/>
        </w:numPr>
      </w:pPr>
      <w:r>
        <w:rPr>
          <w:rFonts w:ascii="Times New Roman" w:hAnsi="Times New Roman" w:eastAsia="Arial Unicode MS" w:cs="Times New Roman"/>
          <w:highlight w:val="none"/>
        </w:rPr>
        <w:t xml:space="preserve">When the cytopathic effect (CPE) affected 75–100% of the cell monolayer, the virus was harvested. It needed to pass three generation when no CPE was observed in the initial cell culture. </w:t>
      </w:r>
    </w:p>
    <w:p>
      <w:pPr>
        <w:numPr>
          <w:ilvl w:val="0"/>
          <w:numId w:val="1"/>
        </w:numPr>
      </w:pPr>
      <w:r>
        <w:rPr>
          <w:rFonts w:ascii="Times New Roman" w:hAnsi="Times New Roman" w:eastAsia="Arial Unicode MS" w:cs="Times New Roman"/>
          <w:highlight w:val="none"/>
        </w:rPr>
        <w:t xml:space="preserve">Collected viral particles were analyzed using RT-PCR and the complete VP1 gene sequences from the EV71 and CA16 isolates were amplified. </w:t>
      </w:r>
    </w:p>
    <w:p>
      <w:pPr>
        <w:numPr>
          <w:ilvl w:val="0"/>
          <w:numId w:val="1"/>
        </w:numPr>
      </w:pPr>
      <w:bookmarkStart w:id="1" w:name="_GoBack"/>
      <w:bookmarkEnd w:id="1"/>
      <w:r>
        <w:rPr>
          <w:rFonts w:ascii="Times New Roman" w:hAnsi="Times New Roman" w:eastAsia="Arial Unicode MS" w:cs="Times New Roman"/>
          <w:highlight w:val="none"/>
        </w:rPr>
        <w:t xml:space="preserve">The amplified products were sent to Sangon Biotech Co., Ltd (Shanghai, China) for DNA </w:t>
      </w:r>
      <w:bookmarkStart w:id="0" w:name="OLE_LINK39"/>
      <w:r>
        <w:rPr>
          <w:rFonts w:ascii="Times New Roman" w:hAnsi="Times New Roman" w:eastAsia="Arial Unicode MS" w:cs="Times New Roman"/>
          <w:highlight w:val="none"/>
        </w:rPr>
        <w:t>Sanger sequenc</w:t>
      </w:r>
      <w:bookmarkEnd w:id="0"/>
      <w:r>
        <w:rPr>
          <w:rFonts w:ascii="Times New Roman" w:hAnsi="Times New Roman" w:eastAsia="Arial Unicode MS" w:cs="Times New Roman"/>
          <w:highlight w:val="none"/>
        </w:rPr>
        <w:t>ing.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0"/>
    <w:family w:val="modern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9B93AC"/>
    <w:multiLevelType w:val="singleLevel"/>
    <w:tmpl w:val="599B93AC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63491"/>
    <w:rsid w:val="15222EFD"/>
    <w:rsid w:val="158E7592"/>
    <w:rsid w:val="3FE634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2017-08-22T02:08:00Z</dcterms:created>
  <dc:creator>Administrator</dc:creator>
  <cp:lastModifiedBy>Administrator</cp:lastModifiedBy>
  <dcterms:modified xsi:type="dcterms:W3CDTF">2017-08-22T02:09:51Z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