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518AA" w14:textId="77777777" w:rsidR="00C22FFE" w:rsidRPr="00C22FFE" w:rsidRDefault="00C22FFE" w:rsidP="00C22FFE">
      <w:pPr>
        <w:pStyle w:val="NoSpacing"/>
        <w:spacing w:line="480" w:lineRule="auto"/>
        <w:rPr>
          <w:rFonts w:cstheme="minorHAnsi"/>
          <w:b/>
          <w:bCs/>
          <w:sz w:val="24"/>
          <w:szCs w:val="24"/>
          <w:lang w:val="en-US"/>
        </w:rPr>
      </w:pPr>
      <w:r w:rsidRPr="00C22FFE">
        <w:rPr>
          <w:rFonts w:cstheme="minorHAnsi"/>
          <w:b/>
          <w:bCs/>
          <w:sz w:val="24"/>
          <w:szCs w:val="24"/>
          <w:lang w:val="en-US"/>
        </w:rPr>
        <w:t>Appendix I – Extended Methods section</w:t>
      </w:r>
    </w:p>
    <w:p w14:paraId="49FFD20D" w14:textId="77777777" w:rsidR="00C22FFE" w:rsidRPr="00C22FFE" w:rsidRDefault="00C22FFE" w:rsidP="00C22FFE">
      <w:pPr>
        <w:pStyle w:val="NoSpacing"/>
        <w:spacing w:line="480" w:lineRule="auto"/>
        <w:rPr>
          <w:rFonts w:cstheme="minorHAnsi"/>
          <w:u w:val="single"/>
          <w:lang w:val="en-US"/>
        </w:rPr>
      </w:pPr>
      <w:r w:rsidRPr="00C22FFE">
        <w:rPr>
          <w:rFonts w:cstheme="minorHAnsi"/>
          <w:u w:val="single"/>
          <w:lang w:val="en-US"/>
        </w:rPr>
        <w:t>Morphological analysis and immunohistochemistry</w:t>
      </w:r>
    </w:p>
    <w:p w14:paraId="762A2193" w14:textId="77777777" w:rsidR="00C22FFE" w:rsidRPr="00C22FFE" w:rsidRDefault="00C22FFE" w:rsidP="00C22FFE">
      <w:pPr>
        <w:pStyle w:val="NoSpacing"/>
        <w:rPr>
          <w:rFonts w:cstheme="minorHAnsi"/>
          <w:lang w:val="en-US"/>
        </w:rPr>
      </w:pPr>
      <w:r w:rsidRPr="00C22FFE">
        <w:rPr>
          <w:rFonts w:cstheme="minorHAnsi"/>
          <w:lang w:val="en-US"/>
        </w:rPr>
        <w:t xml:space="preserve">A 50 </w:t>
      </w:r>
      <w:proofErr w:type="spellStart"/>
      <w:r w:rsidRPr="00C22FFE">
        <w:rPr>
          <w:rFonts w:cstheme="minorHAnsi"/>
          <w:color w:val="000000"/>
          <w:shd w:val="clear" w:color="auto" w:fill="FFFFFF"/>
          <w:lang w:val="en-US"/>
        </w:rPr>
        <w:t>μL</w:t>
      </w:r>
      <w:proofErr w:type="spellEnd"/>
      <w:r w:rsidRPr="00C22FFE">
        <w:rPr>
          <w:rFonts w:cstheme="minorHAnsi"/>
          <w:lang w:val="en-US"/>
        </w:rPr>
        <w:t xml:space="preserve"> aliquot of the processed sample was centrifuged on a </w:t>
      </w:r>
      <w:proofErr w:type="spellStart"/>
      <w:r w:rsidRPr="00C22FFE">
        <w:rPr>
          <w:rFonts w:cstheme="minorHAnsi"/>
          <w:lang w:val="en-US"/>
        </w:rPr>
        <w:t>cytoslide</w:t>
      </w:r>
      <w:proofErr w:type="spellEnd"/>
      <w:r w:rsidRPr="00C22FFE">
        <w:rPr>
          <w:rFonts w:cstheme="minorHAnsi"/>
          <w:lang w:val="en-US"/>
        </w:rPr>
        <w:t xml:space="preserve"> (Menzel Glaser, </w:t>
      </w:r>
      <w:proofErr w:type="spellStart"/>
      <w:r w:rsidRPr="00C22FFE">
        <w:rPr>
          <w:rFonts w:cstheme="minorHAnsi"/>
          <w:lang w:val="en-US"/>
        </w:rPr>
        <w:t>Thermo</w:t>
      </w:r>
      <w:proofErr w:type="spellEnd"/>
      <w:r w:rsidRPr="00C22FFE">
        <w:rPr>
          <w:rFonts w:cstheme="minorHAnsi"/>
          <w:lang w:val="en-US"/>
        </w:rPr>
        <w:t xml:space="preserve"> Scientific Inc, USA) at 100 × g at 4</w:t>
      </w:r>
      <w:r w:rsidRPr="00C22FFE">
        <w:rPr>
          <w:rFonts w:ascii="Cambria Math" w:hAnsi="Cambria Math" w:cs="Cambria Math"/>
          <w:lang w:val="en-US"/>
        </w:rPr>
        <w:t>℃</w:t>
      </w:r>
      <w:r w:rsidRPr="00C22FFE">
        <w:rPr>
          <w:rFonts w:cstheme="minorHAnsi"/>
          <w:lang w:val="en-US"/>
        </w:rPr>
        <w:t xml:space="preserve"> using a Shandon </w:t>
      </w:r>
      <w:proofErr w:type="spellStart"/>
      <w:r w:rsidRPr="00C22FFE">
        <w:rPr>
          <w:rFonts w:cstheme="minorHAnsi"/>
          <w:lang w:val="en-US"/>
        </w:rPr>
        <w:t>Cytospin</w:t>
      </w:r>
      <w:proofErr w:type="spellEnd"/>
      <w:r w:rsidRPr="00C22FFE">
        <w:rPr>
          <w:rFonts w:cstheme="minorHAnsi"/>
          <w:lang w:val="en-US"/>
        </w:rPr>
        <w:t xml:space="preserve"> 4 (</w:t>
      </w:r>
      <w:proofErr w:type="spellStart"/>
      <w:r w:rsidRPr="00C22FFE">
        <w:rPr>
          <w:rFonts w:cstheme="minorHAnsi"/>
          <w:lang w:val="en-US"/>
        </w:rPr>
        <w:t>Thermo</w:t>
      </w:r>
      <w:proofErr w:type="spellEnd"/>
      <w:r w:rsidRPr="00C22FFE">
        <w:rPr>
          <w:rFonts w:cstheme="minorHAnsi"/>
          <w:lang w:val="en-US"/>
        </w:rPr>
        <w:t xml:space="preserve"> Scientific Inc, USA). The amount of cells per 10 mL was estimated based on systematic cell counting using </w:t>
      </w:r>
      <w:proofErr w:type="spellStart"/>
      <w:r w:rsidRPr="00C22FFE">
        <w:rPr>
          <w:rFonts w:cstheme="minorHAnsi"/>
          <w:lang w:val="en-US"/>
        </w:rPr>
        <w:t>Türk’s</w:t>
      </w:r>
      <w:proofErr w:type="spellEnd"/>
      <w:r w:rsidRPr="00C22FFE">
        <w:rPr>
          <w:rFonts w:cstheme="minorHAnsi"/>
          <w:lang w:val="en-US"/>
        </w:rPr>
        <w:t xml:space="preserve"> Solution (Acetic acid gentian violet solution, Merck Life Science, Germany), a </w:t>
      </w:r>
      <w:proofErr w:type="spellStart"/>
      <w:r w:rsidRPr="00C22FFE">
        <w:rPr>
          <w:rFonts w:cstheme="minorHAnsi"/>
          <w:lang w:val="en-US"/>
        </w:rPr>
        <w:t>Bürker</w:t>
      </w:r>
      <w:proofErr w:type="spellEnd"/>
      <w:r w:rsidRPr="00C22FFE">
        <w:rPr>
          <w:rFonts w:cstheme="minorHAnsi"/>
          <w:lang w:val="en-US"/>
        </w:rPr>
        <w:t xml:space="preserve"> counting chamber, and a Olympus BH2 microscope (Olympus Scientific Solutions, Japan).</w:t>
      </w:r>
    </w:p>
    <w:p w14:paraId="495707FA" w14:textId="77777777" w:rsidR="00C22FFE" w:rsidRPr="00C22FFE" w:rsidRDefault="00C22FFE" w:rsidP="00C22FFE">
      <w:pPr>
        <w:pStyle w:val="NoSpacing"/>
        <w:rPr>
          <w:rFonts w:cstheme="minorHAnsi"/>
          <w:lang w:val="en-US"/>
        </w:rPr>
      </w:pPr>
      <w:r w:rsidRPr="00C22FFE">
        <w:rPr>
          <w:rFonts w:cstheme="minorHAnsi"/>
          <w:lang w:val="en-US"/>
        </w:rPr>
        <w:t>Morphology of the cells was examined by a May-</w:t>
      </w:r>
      <w:proofErr w:type="spellStart"/>
      <w:r w:rsidRPr="00C22FFE">
        <w:rPr>
          <w:rFonts w:cstheme="minorHAnsi"/>
          <w:lang w:val="en-US"/>
        </w:rPr>
        <w:t>Grünwald</w:t>
      </w:r>
      <w:proofErr w:type="spellEnd"/>
      <w:r w:rsidRPr="00C22FFE">
        <w:rPr>
          <w:rFonts w:cstheme="minorHAnsi"/>
          <w:lang w:val="en-US"/>
        </w:rPr>
        <w:t>-Giemsa staining, in which incubation in cold methanol (1-10</w:t>
      </w:r>
      <w:r w:rsidRPr="00C22FFE">
        <w:rPr>
          <w:rFonts w:ascii="Cambria Math" w:hAnsi="Cambria Math" w:cs="Cambria Math"/>
          <w:lang w:val="en-US"/>
        </w:rPr>
        <w:t>℃)</w:t>
      </w:r>
      <w:r w:rsidRPr="00C22FFE">
        <w:rPr>
          <w:rFonts w:cstheme="minorHAnsi"/>
          <w:lang w:val="en-US"/>
        </w:rPr>
        <w:t xml:space="preserve"> for 3 min was followed by May-</w:t>
      </w:r>
      <w:proofErr w:type="spellStart"/>
      <w:r w:rsidRPr="00C22FFE">
        <w:rPr>
          <w:rFonts w:cstheme="minorHAnsi"/>
          <w:lang w:val="en-US"/>
        </w:rPr>
        <w:t>Grünwald</w:t>
      </w:r>
      <w:proofErr w:type="spellEnd"/>
      <w:r w:rsidRPr="00C22FFE">
        <w:rPr>
          <w:rFonts w:cstheme="minorHAnsi"/>
          <w:lang w:val="en-US"/>
        </w:rPr>
        <w:t xml:space="preserve"> staining-liquid for 2 min and Giemsa staining-liquid for 10 min at 20</w:t>
      </w:r>
      <w:r w:rsidRPr="00C22FFE">
        <w:rPr>
          <w:rFonts w:ascii="Cambria Math" w:hAnsi="Cambria Math" w:cs="Cambria Math"/>
          <w:lang w:val="en-US"/>
        </w:rPr>
        <w:t>℃</w:t>
      </w:r>
      <w:r w:rsidRPr="00C22FFE">
        <w:rPr>
          <w:rFonts w:cstheme="minorHAnsi"/>
          <w:lang w:val="en-US"/>
        </w:rPr>
        <w:t>.</w:t>
      </w:r>
    </w:p>
    <w:p w14:paraId="2AD9DA2A" w14:textId="0A7DDD6A" w:rsidR="00C22FFE" w:rsidRPr="00C22FFE" w:rsidRDefault="00C22FFE" w:rsidP="00C22FFE">
      <w:pPr>
        <w:pStyle w:val="NoSpacing"/>
        <w:rPr>
          <w:rFonts w:cstheme="minorHAnsi"/>
          <w:lang w:val="en-US"/>
        </w:rPr>
      </w:pPr>
      <w:r w:rsidRPr="00C22FFE">
        <w:rPr>
          <w:rFonts w:cstheme="minorHAnsi"/>
          <w:lang w:val="en-US"/>
        </w:rPr>
        <w:t>For immunohistochemistry, slides were labelled with the primary monoclonal antibody diluted in 1% bovine serum albumin(BSA)/PBS through incubation overnight at 20</w:t>
      </w:r>
      <w:r w:rsidRPr="00C22FFE">
        <w:rPr>
          <w:rFonts w:ascii="Cambria Math" w:hAnsi="Cambria Math" w:cs="Cambria Math"/>
          <w:lang w:val="en-US"/>
        </w:rPr>
        <w:t>℃</w:t>
      </w:r>
      <w:r w:rsidRPr="00C22FFE">
        <w:rPr>
          <w:rFonts w:cstheme="minorHAnsi"/>
          <w:lang w:val="en-US"/>
        </w:rPr>
        <w:t xml:space="preserve"> (details in Supplemental Table 1). After washing with PBS, the secondary antibody, Anti-Mouse Envision + System HRP labelled polymer (</w:t>
      </w:r>
      <w:proofErr w:type="spellStart"/>
      <w:r w:rsidRPr="00C22FFE">
        <w:rPr>
          <w:rFonts w:cstheme="minorHAnsi"/>
          <w:lang w:val="en-US"/>
        </w:rPr>
        <w:t>Dako</w:t>
      </w:r>
      <w:proofErr w:type="spellEnd"/>
      <w:r w:rsidRPr="00C22FFE">
        <w:rPr>
          <w:rFonts w:cstheme="minorHAnsi"/>
          <w:lang w:val="en-US"/>
        </w:rPr>
        <w:t>, Denmark) was incubated for 30 min at 20</w:t>
      </w:r>
      <w:r w:rsidRPr="00C22FFE">
        <w:rPr>
          <w:rFonts w:ascii="Cambria Math" w:hAnsi="Cambria Math" w:cs="Cambria Math"/>
          <w:lang w:val="en-US"/>
        </w:rPr>
        <w:t>℃</w:t>
      </w:r>
      <w:r w:rsidRPr="00C22FFE">
        <w:rPr>
          <w:rFonts w:cstheme="minorHAnsi"/>
          <w:lang w:val="en-US"/>
        </w:rPr>
        <w:t>. Negative controls were isotype matched. Visualization was achieved by incubation of 50</w:t>
      </w:r>
      <w:r w:rsidR="002752E2">
        <w:rPr>
          <w:rFonts w:cstheme="minorHAnsi"/>
          <w:lang w:val="en-US"/>
        </w:rPr>
        <w:t>-</w:t>
      </w:r>
      <w:r w:rsidRPr="00C22FFE">
        <w:rPr>
          <w:rFonts w:cstheme="minorHAnsi"/>
          <w:lang w:val="en-US"/>
        </w:rPr>
        <w:t>times</w:t>
      </w:r>
      <w:r w:rsidR="002752E2">
        <w:rPr>
          <w:rFonts w:cstheme="minorHAnsi"/>
          <w:lang w:val="en-US"/>
        </w:rPr>
        <w:t>-</w:t>
      </w:r>
      <w:r w:rsidRPr="00C22FFE">
        <w:rPr>
          <w:rFonts w:cstheme="minorHAnsi"/>
          <w:lang w:val="en-US"/>
        </w:rPr>
        <w:t xml:space="preserve">diluted diaminobenzidine solution (Real DAB, </w:t>
      </w:r>
      <w:proofErr w:type="spellStart"/>
      <w:r w:rsidRPr="00C22FFE">
        <w:rPr>
          <w:rFonts w:cstheme="minorHAnsi"/>
          <w:lang w:val="en-US"/>
        </w:rPr>
        <w:t>Dako</w:t>
      </w:r>
      <w:proofErr w:type="spellEnd"/>
      <w:r w:rsidRPr="00C22FFE">
        <w:rPr>
          <w:rFonts w:cstheme="minorHAnsi"/>
          <w:lang w:val="en-US"/>
        </w:rPr>
        <w:t>, Denmark) for 5 min at 20</w:t>
      </w:r>
      <w:r w:rsidRPr="00C22FFE">
        <w:rPr>
          <w:rFonts w:ascii="Cambria Math" w:hAnsi="Cambria Math" w:cs="Cambria Math"/>
          <w:lang w:val="en-US"/>
        </w:rPr>
        <w:t>℃</w:t>
      </w:r>
      <w:r w:rsidRPr="00C22FFE">
        <w:rPr>
          <w:rFonts w:cstheme="minorHAnsi"/>
          <w:lang w:val="en-US"/>
        </w:rPr>
        <w:t xml:space="preserve">. </w:t>
      </w:r>
      <w:proofErr w:type="spellStart"/>
      <w:r w:rsidRPr="00C22FFE">
        <w:rPr>
          <w:rFonts w:cstheme="minorHAnsi"/>
          <w:lang w:val="en-US"/>
        </w:rPr>
        <w:t>Haematoxylin</w:t>
      </w:r>
      <w:proofErr w:type="spellEnd"/>
      <w:r w:rsidRPr="00C22FFE">
        <w:rPr>
          <w:rFonts w:cstheme="minorHAnsi"/>
          <w:lang w:val="en-US"/>
        </w:rPr>
        <w:t xml:space="preserve"> was used for counterstaining before slides were dehydrated and covered using mounting medium.</w:t>
      </w:r>
    </w:p>
    <w:p w14:paraId="029336A8" w14:textId="77777777" w:rsidR="00C22FFE" w:rsidRPr="00C22FFE" w:rsidRDefault="00C22FFE" w:rsidP="00C22FFE">
      <w:pPr>
        <w:pStyle w:val="NoSpacing"/>
        <w:rPr>
          <w:rFonts w:cstheme="minorHAnsi"/>
          <w:lang w:val="en-US"/>
        </w:rPr>
      </w:pPr>
    </w:p>
    <w:p w14:paraId="64A483C0" w14:textId="77777777" w:rsidR="00C22FFE" w:rsidRPr="00C22FFE" w:rsidRDefault="00C22FFE" w:rsidP="00C22FFE">
      <w:pPr>
        <w:pStyle w:val="NoSpacing"/>
        <w:spacing w:line="480" w:lineRule="auto"/>
        <w:rPr>
          <w:rFonts w:cstheme="minorHAnsi"/>
          <w:u w:val="single"/>
          <w:lang w:val="en-US"/>
        </w:rPr>
      </w:pPr>
      <w:r w:rsidRPr="00C22FFE">
        <w:rPr>
          <w:rFonts w:cstheme="minorHAnsi"/>
          <w:u w:val="single"/>
          <w:lang w:val="en-US"/>
        </w:rPr>
        <w:t>Immunofluorescence</w:t>
      </w:r>
    </w:p>
    <w:p w14:paraId="165F49DA" w14:textId="77777777" w:rsidR="00C22FFE" w:rsidRPr="00C22FFE" w:rsidRDefault="00C22FFE" w:rsidP="00C22FFE">
      <w:pPr>
        <w:pStyle w:val="NoSpacing"/>
        <w:rPr>
          <w:rFonts w:cstheme="minorHAnsi"/>
          <w:lang w:val="en-US"/>
        </w:rPr>
      </w:pPr>
      <w:r w:rsidRPr="00C22FFE">
        <w:rPr>
          <w:rFonts w:cstheme="minorHAnsi"/>
          <w:lang w:val="en-US"/>
        </w:rPr>
        <w:t>The primary antibody was diluted in 1% BSA/PBS and incubated for 1 h at 20</w:t>
      </w:r>
      <w:r w:rsidRPr="00C22FFE">
        <w:rPr>
          <w:rFonts w:ascii="Cambria Math" w:hAnsi="Cambria Math" w:cs="Cambria Math"/>
          <w:lang w:val="en-US"/>
        </w:rPr>
        <w:t>℃</w:t>
      </w:r>
      <w:r w:rsidRPr="00C22FFE">
        <w:rPr>
          <w:rFonts w:cstheme="minorHAnsi"/>
          <w:lang w:val="en-US"/>
        </w:rPr>
        <w:t xml:space="preserve"> (details in Supplemental Table 1). Slides were washed in PBS and the secondary antibody was incubated for 30 min at 20</w:t>
      </w:r>
      <w:r w:rsidRPr="00C22FFE">
        <w:rPr>
          <w:rFonts w:ascii="Cambria Math" w:hAnsi="Cambria Math" w:cs="Cambria Math"/>
          <w:lang w:val="en-US"/>
        </w:rPr>
        <w:t>℃</w:t>
      </w:r>
      <w:r w:rsidRPr="00C22FFE">
        <w:rPr>
          <w:rFonts w:cstheme="minorHAnsi"/>
          <w:lang w:val="en-US"/>
        </w:rPr>
        <w:t xml:space="preserve">. Then 20 </w:t>
      </w:r>
      <w:proofErr w:type="spellStart"/>
      <w:r w:rsidRPr="00C22FFE">
        <w:rPr>
          <w:rFonts w:cstheme="minorHAnsi"/>
          <w:color w:val="000000"/>
          <w:shd w:val="clear" w:color="auto" w:fill="FFFFFF"/>
          <w:lang w:val="en-US"/>
        </w:rPr>
        <w:t>μL</w:t>
      </w:r>
      <w:proofErr w:type="spellEnd"/>
      <w:r w:rsidRPr="00C22FFE">
        <w:rPr>
          <w:rFonts w:cstheme="minorHAnsi"/>
          <w:lang w:val="en-US"/>
        </w:rPr>
        <w:t xml:space="preserve"> of Invitrogen Prolog Gold antifade reagent with DAPI (</w:t>
      </w:r>
      <w:proofErr w:type="spellStart"/>
      <w:r w:rsidRPr="00C22FFE">
        <w:rPr>
          <w:rFonts w:cstheme="minorHAnsi"/>
          <w:lang w:val="en-US"/>
        </w:rPr>
        <w:t>Thermo</w:t>
      </w:r>
      <w:proofErr w:type="spellEnd"/>
      <w:r w:rsidRPr="00C22FFE">
        <w:rPr>
          <w:rFonts w:cstheme="minorHAnsi"/>
          <w:lang w:val="en-US"/>
        </w:rPr>
        <w:t xml:space="preserve"> Fisher Scientific Inc., USA) was added. The slides were analyzed using a </w:t>
      </w:r>
      <w:proofErr w:type="spellStart"/>
      <w:r w:rsidRPr="00C22FFE">
        <w:rPr>
          <w:rFonts w:cstheme="minorHAnsi"/>
          <w:lang w:val="en-US"/>
        </w:rPr>
        <w:t>Pannoramic</w:t>
      </w:r>
      <w:proofErr w:type="spellEnd"/>
      <w:r w:rsidRPr="00C22FFE">
        <w:rPr>
          <w:rFonts w:cstheme="minorHAnsi"/>
          <w:lang w:val="en-US"/>
        </w:rPr>
        <w:t xml:space="preserve"> MIDI II fluorescence microscope and scanner (3DHistech, Hungary). Pre- and post-isolation immunofluorescence cell counting was automated through </w:t>
      </w:r>
      <w:proofErr w:type="spellStart"/>
      <w:r w:rsidRPr="00C22FFE">
        <w:rPr>
          <w:rFonts w:cstheme="minorHAnsi"/>
          <w:lang w:val="en-US"/>
        </w:rPr>
        <w:t>Histoquant</w:t>
      </w:r>
      <w:proofErr w:type="spellEnd"/>
      <w:r w:rsidRPr="00C22FFE">
        <w:rPr>
          <w:rFonts w:cstheme="minorHAnsi"/>
          <w:lang w:val="en-US"/>
        </w:rPr>
        <w:t xml:space="preserve"> software (3DHistech, Hungary). A quantification algorithm was calibrated and applied to all slides. A random selection of slides was additionally counted manually as reference control, for which the observer was blinded for the sample.</w:t>
      </w:r>
    </w:p>
    <w:p w14:paraId="60A0E64B" w14:textId="77777777" w:rsidR="00C22FFE" w:rsidRPr="00C22FFE" w:rsidRDefault="00C22FFE" w:rsidP="00C22FFE">
      <w:pPr>
        <w:pStyle w:val="NoSpacing"/>
        <w:rPr>
          <w:rFonts w:cstheme="minorHAnsi"/>
          <w:lang w:val="en-US"/>
        </w:rPr>
      </w:pPr>
    </w:p>
    <w:p w14:paraId="17AFAAA2" w14:textId="77777777" w:rsidR="00C22FFE" w:rsidRPr="00C22FFE" w:rsidRDefault="00C22FFE" w:rsidP="00C22FFE">
      <w:pPr>
        <w:pStyle w:val="NoSpacing"/>
        <w:spacing w:line="480" w:lineRule="auto"/>
        <w:rPr>
          <w:rFonts w:cstheme="minorHAnsi"/>
          <w:u w:val="single"/>
          <w:lang w:val="en-US"/>
        </w:rPr>
      </w:pPr>
      <w:r w:rsidRPr="00C22FFE">
        <w:rPr>
          <w:rFonts w:cstheme="minorHAnsi"/>
          <w:u w:val="single"/>
          <w:lang w:val="en-US"/>
        </w:rPr>
        <w:t xml:space="preserve">Immunomagnetic trophoblast isolation by </w:t>
      </w:r>
      <w:proofErr w:type="spellStart"/>
      <w:r w:rsidRPr="00C22FFE">
        <w:rPr>
          <w:rFonts w:cstheme="minorHAnsi"/>
          <w:u w:val="single"/>
          <w:lang w:val="en-US"/>
        </w:rPr>
        <w:t>Easysep</w:t>
      </w:r>
      <w:proofErr w:type="spellEnd"/>
      <w:r w:rsidRPr="00C22FFE">
        <w:rPr>
          <w:rFonts w:cstheme="minorHAnsi"/>
          <w:u w:val="single"/>
          <w:lang w:val="en-US"/>
        </w:rPr>
        <w:t xml:space="preserve"> or MACS (extended)</w:t>
      </w:r>
    </w:p>
    <w:p w14:paraId="4931C518" w14:textId="77777777" w:rsidR="00C22FFE" w:rsidRPr="00C22FFE" w:rsidRDefault="00C22FFE" w:rsidP="00C22FFE">
      <w:pPr>
        <w:pStyle w:val="NoSpacing"/>
        <w:rPr>
          <w:rFonts w:cstheme="minorHAnsi"/>
          <w:lang w:val="en-US"/>
        </w:rPr>
      </w:pPr>
      <w:r w:rsidRPr="00C22FFE">
        <w:rPr>
          <w:rFonts w:cstheme="minorHAnsi"/>
          <w:lang w:val="en-US"/>
        </w:rPr>
        <w:t xml:space="preserve">The </w:t>
      </w:r>
      <w:proofErr w:type="spellStart"/>
      <w:r w:rsidRPr="00C22FFE">
        <w:rPr>
          <w:rFonts w:cstheme="minorHAnsi"/>
          <w:lang w:val="en-US"/>
        </w:rPr>
        <w:t>Easysep</w:t>
      </w:r>
      <w:proofErr w:type="spellEnd"/>
      <w:r w:rsidRPr="00C22FFE">
        <w:rPr>
          <w:rFonts w:cstheme="minorHAnsi"/>
          <w:lang w:val="en-US"/>
        </w:rPr>
        <w:t xml:space="preserve"> protocol (</w:t>
      </w:r>
      <w:proofErr w:type="spellStart"/>
      <w:r w:rsidRPr="00C22FFE">
        <w:rPr>
          <w:rFonts w:cstheme="minorHAnsi"/>
          <w:lang w:val="en-US"/>
        </w:rPr>
        <w:t>Stemcell</w:t>
      </w:r>
      <w:proofErr w:type="spellEnd"/>
      <w:r w:rsidRPr="00C22FFE">
        <w:rPr>
          <w:rFonts w:cstheme="minorHAnsi"/>
          <w:lang w:val="en-US"/>
        </w:rPr>
        <w:t xml:space="preserve"> Technologies, Germany) was used for the immunomagnetic trophoblast isolation using either Phycoerythrin- (PE) or Biotin-conjugated anti-human HLA-G antibody (Supplemental Table 1). The sample was suspended in PBS-EDTA and centrifuged for 5 min at 250 × </w:t>
      </w:r>
      <w:r w:rsidRPr="00C22FFE">
        <w:rPr>
          <w:rFonts w:cstheme="minorHAnsi"/>
          <w:i/>
          <w:iCs/>
          <w:lang w:val="en-US"/>
        </w:rPr>
        <w:t>g.</w:t>
      </w:r>
      <w:r w:rsidRPr="00C22FFE">
        <w:rPr>
          <w:rFonts w:cstheme="minorHAnsi"/>
          <w:lang w:val="en-US"/>
        </w:rPr>
        <w:t xml:space="preserve"> The antibody was added together with a </w:t>
      </w:r>
      <w:proofErr w:type="spellStart"/>
      <w:r w:rsidRPr="00C22FFE">
        <w:rPr>
          <w:rFonts w:cstheme="minorHAnsi"/>
          <w:lang w:val="en-US"/>
        </w:rPr>
        <w:t>FcR</w:t>
      </w:r>
      <w:proofErr w:type="spellEnd"/>
      <w:r w:rsidRPr="00C22FFE">
        <w:rPr>
          <w:rFonts w:cstheme="minorHAnsi"/>
          <w:lang w:val="en-US"/>
        </w:rPr>
        <w:t xml:space="preserve"> blocker, and incubated for 15 min at 20</w:t>
      </w:r>
      <w:r w:rsidRPr="00C22FFE">
        <w:rPr>
          <w:rFonts w:ascii="Cambria Math" w:hAnsi="Cambria Math" w:cs="Cambria Math"/>
          <w:lang w:val="en-US"/>
        </w:rPr>
        <w:t>℃</w:t>
      </w:r>
      <w:r w:rsidRPr="00C22FFE">
        <w:rPr>
          <w:rFonts w:cstheme="minorHAnsi"/>
          <w:lang w:val="en-US"/>
        </w:rPr>
        <w:t xml:space="preserve">. Then, the samples were centrifuged for 6 min at 400 × </w:t>
      </w:r>
      <w:r w:rsidRPr="00C22FFE">
        <w:rPr>
          <w:rFonts w:cstheme="minorHAnsi"/>
          <w:i/>
          <w:iCs/>
          <w:lang w:val="en-US"/>
        </w:rPr>
        <w:t>g</w:t>
      </w:r>
      <w:r w:rsidRPr="00C22FFE">
        <w:rPr>
          <w:rFonts w:cstheme="minorHAnsi"/>
          <w:lang w:val="en-US"/>
        </w:rPr>
        <w:t xml:space="preserve">. After addition and incubation of the supplied </w:t>
      </w:r>
      <w:r w:rsidRPr="00C22FFE">
        <w:rPr>
          <w:rFonts w:cstheme="minorHAnsi"/>
          <w:i/>
          <w:iCs/>
          <w:lang w:val="en-US"/>
        </w:rPr>
        <w:t>Selection Cocktail</w:t>
      </w:r>
      <w:r w:rsidRPr="00C22FFE">
        <w:rPr>
          <w:rFonts w:cstheme="minorHAnsi"/>
          <w:lang w:val="en-US"/>
        </w:rPr>
        <w:t xml:space="preserve"> for 15 min, the </w:t>
      </w:r>
      <w:proofErr w:type="spellStart"/>
      <w:r w:rsidRPr="00C22FFE">
        <w:rPr>
          <w:rFonts w:cstheme="minorHAnsi"/>
          <w:i/>
          <w:iCs/>
          <w:lang w:val="en-US"/>
        </w:rPr>
        <w:t>RapidSpheres</w:t>
      </w:r>
      <w:proofErr w:type="spellEnd"/>
      <w:r w:rsidRPr="00C22FFE">
        <w:rPr>
          <w:rFonts w:cstheme="minorHAnsi"/>
          <w:lang w:val="en-US"/>
        </w:rPr>
        <w:t xml:space="preserve"> solution was added and incubated for 10 min, all at 20</w:t>
      </w:r>
      <w:r w:rsidRPr="00C22FFE">
        <w:rPr>
          <w:rFonts w:ascii="Cambria Math" w:hAnsi="Cambria Math" w:cs="Cambria Math"/>
          <w:lang w:val="en-US"/>
        </w:rPr>
        <w:t>℃</w:t>
      </w:r>
      <w:r w:rsidRPr="00C22FFE">
        <w:rPr>
          <w:rFonts w:cstheme="minorHAnsi"/>
          <w:lang w:val="en-US"/>
        </w:rPr>
        <w:t xml:space="preserve">. Lastly, PBS/EDTA was added and the mixture was placed in an </w:t>
      </w:r>
      <w:proofErr w:type="spellStart"/>
      <w:r w:rsidRPr="00C22FFE">
        <w:rPr>
          <w:rFonts w:cstheme="minorHAnsi"/>
          <w:lang w:val="en-US"/>
        </w:rPr>
        <w:t>EasySep</w:t>
      </w:r>
      <w:proofErr w:type="spellEnd"/>
      <w:r w:rsidRPr="00C22FFE">
        <w:rPr>
          <w:rFonts w:cstheme="minorHAnsi"/>
          <w:lang w:val="en-US"/>
        </w:rPr>
        <w:t xml:space="preserve"> magnet for 5 min before the supernatant was discarded. This procedure was repeated twice.</w:t>
      </w:r>
    </w:p>
    <w:p w14:paraId="12C5D40A" w14:textId="0240CAC9" w:rsidR="00C22FFE" w:rsidRPr="00D443CE" w:rsidRDefault="00C22FFE" w:rsidP="00D443CE">
      <w:pPr>
        <w:pStyle w:val="NoSpacing"/>
        <w:rPr>
          <w:rFonts w:cstheme="minorHAnsi"/>
          <w:lang w:val="en-US"/>
        </w:rPr>
      </w:pPr>
      <w:r w:rsidRPr="00C22FFE">
        <w:rPr>
          <w:rFonts w:cstheme="minorHAnsi"/>
          <w:color w:val="000000"/>
          <w:shd w:val="clear" w:color="auto" w:fill="FFFFFF"/>
          <w:lang w:val="en-US"/>
        </w:rPr>
        <w:t>In case of the MACS protocol (</w:t>
      </w:r>
      <w:proofErr w:type="spellStart"/>
      <w:r w:rsidRPr="00C22FFE">
        <w:rPr>
          <w:rFonts w:cstheme="minorHAnsi"/>
          <w:color w:val="000000"/>
          <w:shd w:val="clear" w:color="auto" w:fill="FFFFFF"/>
          <w:lang w:val="en-US"/>
        </w:rPr>
        <w:t>Miltenyi</w:t>
      </w:r>
      <w:proofErr w:type="spellEnd"/>
      <w:r w:rsidRPr="00C22FFE">
        <w:rPr>
          <w:rFonts w:cstheme="minorHAnsi"/>
          <w:color w:val="000000"/>
          <w:shd w:val="clear" w:color="auto" w:fill="FFFFFF"/>
          <w:lang w:val="en-US"/>
        </w:rPr>
        <w:t xml:space="preserve"> </w:t>
      </w:r>
      <w:proofErr w:type="spellStart"/>
      <w:r w:rsidRPr="00C22FFE">
        <w:rPr>
          <w:rFonts w:cstheme="minorHAnsi"/>
          <w:color w:val="000000"/>
          <w:shd w:val="clear" w:color="auto" w:fill="FFFFFF"/>
          <w:lang w:val="en-US"/>
        </w:rPr>
        <w:t>Biotec</w:t>
      </w:r>
      <w:proofErr w:type="spellEnd"/>
      <w:r w:rsidRPr="00C22FFE">
        <w:rPr>
          <w:rFonts w:cstheme="minorHAnsi"/>
          <w:color w:val="000000"/>
          <w:shd w:val="clear" w:color="auto" w:fill="FFFFFF"/>
          <w:lang w:val="en-US"/>
        </w:rPr>
        <w:t xml:space="preserve">, Germany) comparison, </w:t>
      </w:r>
      <w:r w:rsidRPr="00C22FFE">
        <w:rPr>
          <w:rFonts w:cstheme="minorHAnsi"/>
          <w:lang w:val="en-US"/>
        </w:rPr>
        <w:t>after incubation overnight,</w:t>
      </w:r>
      <w:r w:rsidRPr="00C22FFE">
        <w:rPr>
          <w:rFonts w:cstheme="minorHAnsi"/>
          <w:color w:val="000000"/>
          <w:shd w:val="clear" w:color="auto" w:fill="FFFFFF"/>
          <w:lang w:val="en-US"/>
        </w:rPr>
        <w:t xml:space="preserve"> the </w:t>
      </w:r>
      <w:r w:rsidRPr="00C22FFE">
        <w:rPr>
          <w:rFonts w:cstheme="minorHAnsi"/>
          <w:lang w:val="en-US"/>
        </w:rPr>
        <w:t>sample-nanoparticle mixture was centrifuged and the supernatant was aspirated. The cell pellet was resuspended in 1 mL of MACS buffer (PBS/3%FBS/2m EDTA) and placed in a rinsed LS column within the MACS magnetic separator. The column was washed three times with 3 mL of MACS buffer and the magnetically labelled cells were eluted by taking out the separator and adding 5 mL of MACS buffer.</w:t>
      </w:r>
    </w:p>
    <w:sectPr w:rsidR="00C22FFE" w:rsidRPr="00D443CE" w:rsidSect="00D443CE">
      <w:pgSz w:w="11906" w:h="16838"/>
      <w:pgMar w:top="1440" w:right="1440" w:bottom="1440" w:left="1440" w:header="708" w:footer="708" w:gutter="0"/>
      <w:lnNumType w:countBy="1" w:restart="continuou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9A2BA" w14:textId="77777777" w:rsidR="00D443CE" w:rsidRDefault="00D443CE">
      <w:pPr>
        <w:spacing w:after="0" w:line="240" w:lineRule="auto"/>
      </w:pPr>
      <w:r>
        <w:separator/>
      </w:r>
    </w:p>
  </w:endnote>
  <w:endnote w:type="continuationSeparator" w:id="0">
    <w:p w14:paraId="370C4720" w14:textId="77777777" w:rsidR="00D443CE" w:rsidRDefault="00D44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5B66F" w14:textId="77777777" w:rsidR="00D443CE" w:rsidRDefault="00D443CE">
      <w:pPr>
        <w:spacing w:after="0" w:line="240" w:lineRule="auto"/>
      </w:pPr>
      <w:r>
        <w:separator/>
      </w:r>
    </w:p>
  </w:footnote>
  <w:footnote w:type="continuationSeparator" w:id="0">
    <w:p w14:paraId="7E6094CB" w14:textId="77777777" w:rsidR="00D443CE" w:rsidRDefault="00D443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FFE"/>
    <w:rsid w:val="002752E2"/>
    <w:rsid w:val="00457A8C"/>
    <w:rsid w:val="00495673"/>
    <w:rsid w:val="009F40F1"/>
    <w:rsid w:val="00AE0406"/>
    <w:rsid w:val="00C22FFE"/>
    <w:rsid w:val="00D443CE"/>
    <w:rsid w:val="00E02442"/>
    <w:rsid w:val="00F6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B06AB"/>
  <w15:chartTrackingRefBased/>
  <w15:docId w15:val="{4A343F1F-4085-469B-BF86-FD76125AB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FFE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22FFE"/>
    <w:pPr>
      <w:spacing w:after="0" w:line="240" w:lineRule="auto"/>
    </w:pPr>
    <w:rPr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22FF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22F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FFE"/>
    <w:rPr>
      <w:kern w:val="0"/>
      <w14:ligatures w14:val="none"/>
    </w:rPr>
  </w:style>
  <w:style w:type="table" w:styleId="TableGrid">
    <w:name w:val="Table Grid"/>
    <w:basedOn w:val="TableNormal"/>
    <w:uiPriority w:val="59"/>
    <w:rsid w:val="00C22FF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22FFE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22FFE"/>
  </w:style>
  <w:style w:type="paragraph" w:styleId="Revision">
    <w:name w:val="Revision"/>
    <w:hidden/>
    <w:uiPriority w:val="99"/>
    <w:semiHidden/>
    <w:rsid w:val="002752E2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Hof, L.J. van 't (IMMU)</dc:creator>
  <cp:keywords/>
  <dc:description/>
  <cp:lastModifiedBy>Hof, L.J. van 't (IMMU)</cp:lastModifiedBy>
  <cp:revision>2</cp:revision>
  <dcterms:created xsi:type="dcterms:W3CDTF">2025-02-11T14:36:00Z</dcterms:created>
  <dcterms:modified xsi:type="dcterms:W3CDTF">2025-02-11T14:36:00Z</dcterms:modified>
</cp:coreProperties>
</file>