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67069">
      <w:pPr>
        <w:keepNext w:val="0"/>
        <w:keepLines w:val="0"/>
        <w:widowControl/>
        <w:suppressLineNumbers w:val="0"/>
        <w:jc w:val="left"/>
        <w:textAlignment w:val="center"/>
        <w:rPr>
          <w:rFonts w:hint="default" w:ascii="Times New Roman" w:hAnsi="Times New Roman" w:eastAsia="宋体" w:cs="Times New Roman"/>
          <w:i w:val="0"/>
          <w:iCs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Tabel S1. The detail information of drugs used in nICT and AT </w:t>
      </w:r>
    </w:p>
    <w:tbl>
      <w:tblPr>
        <w:tblStyle w:val="2"/>
        <w:tblW w:w="7673" w:type="dxa"/>
        <w:jc w:val="center"/>
        <w:tblBorders>
          <w:top w:val="none" w:color="auto" w:sz="0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2"/>
        <w:gridCol w:w="2053"/>
        <w:gridCol w:w="2028"/>
      </w:tblGrid>
      <w:tr w14:paraId="1C6037FE"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3592" w:type="dxa"/>
            <w:tcBorders>
              <w:top w:val="single" w:color="auto" w:sz="12" w:space="0"/>
              <w:bottom w:val="single" w:color="auto" w:sz="8" w:space="0"/>
            </w:tcBorders>
            <w:shd w:val="clear" w:color="auto" w:fill="FFFFFF"/>
            <w:vAlign w:val="center"/>
          </w:tcPr>
          <w:p w14:paraId="451A4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Variables</w:t>
            </w:r>
          </w:p>
        </w:tc>
        <w:tc>
          <w:tcPr>
            <w:tcW w:w="2053" w:type="dxa"/>
            <w:tcBorders>
              <w:top w:val="single" w:color="auto" w:sz="12" w:space="0"/>
              <w:bottom w:val="single" w:color="auto" w:sz="8" w:space="0"/>
            </w:tcBorders>
            <w:shd w:val="clear" w:color="auto" w:fill="FFFFFF"/>
            <w:vAlign w:val="center"/>
          </w:tcPr>
          <w:p w14:paraId="2BAC6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  <w:t>N</w:t>
            </w:r>
          </w:p>
        </w:tc>
        <w:tc>
          <w:tcPr>
            <w:tcW w:w="2028" w:type="dxa"/>
            <w:tcBorders>
              <w:top w:val="single" w:color="auto" w:sz="12" w:space="0"/>
              <w:bottom w:val="single" w:color="auto" w:sz="8" w:space="0"/>
            </w:tcBorders>
            <w:shd w:val="clear" w:color="auto" w:fill="FFFFFF"/>
            <w:vAlign w:val="center"/>
          </w:tcPr>
          <w:p w14:paraId="18A0D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（%）</w:t>
            </w:r>
          </w:p>
        </w:tc>
      </w:tr>
      <w:tr w14:paraId="29E1F3ED"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  <w:jc w:val="center"/>
        </w:trPr>
        <w:tc>
          <w:tcPr>
            <w:tcW w:w="35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9E71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Neoadjuvant chemotherapy regimen</w:t>
            </w:r>
          </w:p>
        </w:tc>
        <w:tc>
          <w:tcPr>
            <w:tcW w:w="205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803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0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ADF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  <w:tr w14:paraId="0D3C4BFD"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35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599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docetaxel/paclitaxel with platinum </w:t>
            </w:r>
          </w:p>
        </w:tc>
        <w:tc>
          <w:tcPr>
            <w:tcW w:w="205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127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304</w:t>
            </w:r>
          </w:p>
        </w:tc>
        <w:tc>
          <w:tcPr>
            <w:tcW w:w="20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942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9.35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%</w:t>
            </w:r>
          </w:p>
        </w:tc>
      </w:tr>
      <w:tr w14:paraId="1768EF50"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35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A5D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Others*</w:t>
            </w:r>
          </w:p>
        </w:tc>
        <w:tc>
          <w:tcPr>
            <w:tcW w:w="205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E18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0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644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0.65%</w:t>
            </w:r>
          </w:p>
        </w:tc>
      </w:tr>
      <w:tr w14:paraId="1A6FF667"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35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967B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Immune drugs </w:t>
            </w:r>
          </w:p>
        </w:tc>
        <w:tc>
          <w:tcPr>
            <w:tcW w:w="205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BA2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0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06B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19D84C4D"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35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144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sintilimab</w:t>
            </w:r>
          </w:p>
        </w:tc>
        <w:tc>
          <w:tcPr>
            <w:tcW w:w="205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372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20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86F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23.20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%</w:t>
            </w:r>
          </w:p>
        </w:tc>
      </w:tr>
      <w:tr w14:paraId="4979BFC6"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35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D8C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camrelizumab</w:t>
            </w:r>
          </w:p>
        </w:tc>
        <w:tc>
          <w:tcPr>
            <w:tcW w:w="205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89B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131</w:t>
            </w:r>
          </w:p>
        </w:tc>
        <w:tc>
          <w:tcPr>
            <w:tcW w:w="20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8DDC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42.81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%</w:t>
            </w:r>
          </w:p>
        </w:tc>
      </w:tr>
      <w:tr w14:paraId="7F49FF8D"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35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5F8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tislelizuma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b</w:t>
            </w:r>
          </w:p>
        </w:tc>
        <w:tc>
          <w:tcPr>
            <w:tcW w:w="205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A7E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20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F76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12.09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%</w:t>
            </w:r>
          </w:p>
        </w:tc>
      </w:tr>
      <w:tr w14:paraId="6FC95B36"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35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083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toripalimab</w:t>
            </w:r>
          </w:p>
        </w:tc>
        <w:tc>
          <w:tcPr>
            <w:tcW w:w="205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3B9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20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9CD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5.23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%</w:t>
            </w:r>
          </w:p>
        </w:tc>
      </w:tr>
      <w:tr w14:paraId="7CD7F1EB"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35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890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pembrolizumab</w:t>
            </w:r>
          </w:p>
        </w:tc>
        <w:tc>
          <w:tcPr>
            <w:tcW w:w="205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F2F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20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424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16.67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%</w:t>
            </w:r>
          </w:p>
        </w:tc>
      </w:tr>
      <w:tr w14:paraId="4C411E2E"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3592" w:type="dxa"/>
            <w:shd w:val="clear" w:color="auto" w:fill="FFFFFF"/>
            <w:vAlign w:val="center"/>
          </w:tcPr>
          <w:p w14:paraId="7A950C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Adjuvant therapy 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regimen</w:t>
            </w:r>
          </w:p>
        </w:tc>
        <w:tc>
          <w:tcPr>
            <w:tcW w:w="2053" w:type="dxa"/>
            <w:shd w:val="clear" w:color="auto" w:fill="FFFFFF"/>
            <w:vAlign w:val="center"/>
          </w:tcPr>
          <w:p w14:paraId="3364D456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028" w:type="dxa"/>
            <w:shd w:val="clear" w:color="auto" w:fill="FFFFFF"/>
            <w:vAlign w:val="center"/>
          </w:tcPr>
          <w:p w14:paraId="444C6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  <w:tr w14:paraId="205EBE5C"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3592" w:type="dxa"/>
            <w:shd w:val="clear" w:color="auto" w:fill="FFFFFF"/>
            <w:vAlign w:val="center"/>
          </w:tcPr>
          <w:p w14:paraId="78F8C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aICT</w:t>
            </w:r>
          </w:p>
        </w:tc>
        <w:tc>
          <w:tcPr>
            <w:tcW w:w="2053" w:type="dxa"/>
            <w:shd w:val="clear" w:color="auto" w:fill="FFFFFF"/>
            <w:vAlign w:val="center"/>
          </w:tcPr>
          <w:p w14:paraId="7A598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2028" w:type="dxa"/>
            <w:shd w:val="clear" w:color="auto" w:fill="FFFFFF"/>
            <w:vAlign w:val="center"/>
          </w:tcPr>
          <w:p w14:paraId="13462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64.05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%</w:t>
            </w:r>
          </w:p>
        </w:tc>
      </w:tr>
      <w:tr w14:paraId="49206FE3"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3592" w:type="dxa"/>
            <w:shd w:val="clear" w:color="auto" w:fill="FFFFFF"/>
            <w:vAlign w:val="center"/>
          </w:tcPr>
          <w:p w14:paraId="28DA9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aCT</w:t>
            </w:r>
          </w:p>
        </w:tc>
        <w:tc>
          <w:tcPr>
            <w:tcW w:w="2053" w:type="dxa"/>
            <w:shd w:val="clear" w:color="auto" w:fill="FFFFFF"/>
            <w:vAlign w:val="center"/>
          </w:tcPr>
          <w:p w14:paraId="2183C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2028" w:type="dxa"/>
            <w:shd w:val="clear" w:color="auto" w:fill="FFFFFF"/>
            <w:vAlign w:val="center"/>
          </w:tcPr>
          <w:p w14:paraId="07368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25.49%</w:t>
            </w:r>
          </w:p>
        </w:tc>
      </w:tr>
      <w:tr w14:paraId="3A3813C6"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3592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7EBD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aIT</w:t>
            </w:r>
          </w:p>
        </w:tc>
        <w:tc>
          <w:tcPr>
            <w:tcW w:w="2053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08EB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2028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652A4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10.46%</w:t>
            </w:r>
          </w:p>
        </w:tc>
      </w:tr>
    </w:tbl>
    <w:p w14:paraId="248B91FB">
      <w:pPr>
        <w:jc w:val="left"/>
        <w:rPr>
          <w:rFonts w:hint="eastAsia" w:ascii="Times New Roman" w:hAnsi="Times New Roman" w:cs="Times New Roman"/>
          <w:i w:val="0"/>
          <w:iCs w:val="0"/>
          <w:color w:val="auto"/>
          <w:kern w:val="0"/>
          <w:sz w:val="22"/>
          <w:szCs w:val="22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color w:val="auto"/>
          <w:kern w:val="0"/>
          <w:sz w:val="22"/>
          <w:szCs w:val="22"/>
          <w:highlight w:val="none"/>
          <w:lang w:val="en-US" w:eastAsia="zh-CN"/>
        </w:rPr>
        <w:t>aICT：adjuvant chemoimmunotherapy; aCT: adjuvant chemotherapy; aIT: adjuvant immunotherapy.</w:t>
      </w:r>
    </w:p>
    <w:p w14:paraId="37F4E181">
      <w:pPr>
        <w:jc w:val="left"/>
        <w:rPr>
          <w:rFonts w:hint="eastAsia" w:ascii="Times New Roman" w:hAnsi="Times New Roman" w:cs="Times New Roman"/>
          <w:i w:val="0"/>
          <w:iCs w:val="0"/>
          <w:color w:val="auto"/>
          <w:kern w:val="0"/>
          <w:sz w:val="22"/>
          <w:szCs w:val="22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color w:val="auto"/>
          <w:kern w:val="0"/>
          <w:sz w:val="22"/>
          <w:szCs w:val="22"/>
          <w:highlight w:val="none"/>
          <w:lang w:val="en-US" w:eastAsia="zh-CN"/>
        </w:rPr>
        <w:t>*: 2 patients take platinum with tegafur as neoadjuvant chemotherapy regimen.</w:t>
      </w:r>
    </w:p>
    <w:p w14:paraId="12098931">
      <w:pPr>
        <w:tabs>
          <w:tab w:val="left" w:pos="464"/>
        </w:tabs>
        <w:jc w:val="left"/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color w:val="auto"/>
          <w:kern w:val="0"/>
          <w:sz w:val="22"/>
          <w:szCs w:val="22"/>
          <w:highlight w:val="none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/>
          <w:bCs/>
          <w:color w:val="auto"/>
          <w:sz w:val="24"/>
          <w:szCs w:val="24"/>
          <w:lang w:val="en-US" w:eastAsia="zh-CN"/>
        </w:rPr>
        <w:t>Table S2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: Characteristics comparison of pCR patients and non-pCR patients in the MPR group before and after matching.</w:t>
      </w:r>
    </w:p>
    <w:tbl>
      <w:tblPr>
        <w:tblStyle w:val="2"/>
        <w:tblW w:w="0" w:type="auto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116"/>
        <w:gridCol w:w="1116"/>
        <w:gridCol w:w="930"/>
        <w:gridCol w:w="1116"/>
        <w:gridCol w:w="1116"/>
        <w:gridCol w:w="930"/>
      </w:tblGrid>
      <w:tr w14:paraId="7EBE6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71D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Variables</w:t>
            </w:r>
          </w:p>
        </w:tc>
        <w:tc>
          <w:tcPr>
            <w:tcW w:w="0" w:type="auto"/>
            <w:gridSpan w:val="3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FFFFFF"/>
            <w:vAlign w:val="center"/>
          </w:tcPr>
          <w:p w14:paraId="5F125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efore PSM</w:t>
            </w:r>
          </w:p>
        </w:tc>
        <w:tc>
          <w:tcPr>
            <w:tcW w:w="0" w:type="auto"/>
            <w:gridSpan w:val="3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FFFFFF"/>
            <w:vAlign w:val="center"/>
          </w:tcPr>
          <w:p w14:paraId="555C3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fter PSM</w:t>
            </w:r>
          </w:p>
        </w:tc>
      </w:tr>
      <w:tr w14:paraId="39806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FFFFFF"/>
            <w:vAlign w:val="center"/>
          </w:tcPr>
          <w:p w14:paraId="2AE76D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FFFFFF"/>
            <w:vAlign w:val="center"/>
          </w:tcPr>
          <w:p w14:paraId="77BD3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Cambria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Cambria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non-pCR</w:t>
            </w:r>
          </w:p>
        </w:tc>
        <w:tc>
          <w:tcPr>
            <w:tcW w:w="111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FFFFFF"/>
            <w:vAlign w:val="center"/>
          </w:tcPr>
          <w:p w14:paraId="696FA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Cambria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Cambria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pCR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FFFFFF"/>
            <w:vAlign w:val="center"/>
          </w:tcPr>
          <w:p w14:paraId="58C41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Cambria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Cambria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P value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FFFFFF"/>
            <w:vAlign w:val="center"/>
          </w:tcPr>
          <w:p w14:paraId="6AE93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Cambria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Cambria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non-pCR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FFFFFF"/>
            <w:vAlign w:val="center"/>
          </w:tcPr>
          <w:p w14:paraId="1FD7C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Cambria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Cambria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pCR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FFFFFF"/>
            <w:vAlign w:val="center"/>
          </w:tcPr>
          <w:p w14:paraId="76292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Cambria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Cambria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P value</w:t>
            </w:r>
          </w:p>
        </w:tc>
      </w:tr>
      <w:tr w14:paraId="59204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7996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Sex</w:t>
            </w:r>
          </w:p>
        </w:tc>
        <w:tc>
          <w:tcPr>
            <w:tcW w:w="1116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AB4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E6B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7BC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0.552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A7A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DF9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5C0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0.803</w:t>
            </w:r>
          </w:p>
        </w:tc>
      </w:tr>
      <w:tr w14:paraId="4F7D1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DFE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male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36F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57 (75.00%)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6F4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48 (70.59%)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799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055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33 (75.00%)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6C7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34 (77.27%)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C94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05DBF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1C7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female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2C1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19 (25.00%)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B07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 (29.41%)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9E7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17D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11 (25.00%)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F3A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10 (22.73%)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A45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DB9D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2272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Age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992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840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DA3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0.877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D89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878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511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0.467</w:t>
            </w:r>
          </w:p>
        </w:tc>
      </w:tr>
      <w:tr w14:paraId="3DE14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6D3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≤65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82E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49 (64.47%)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392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43 (63.24%)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86E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C0C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31 (70.45%)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8E7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34 (77.27%)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D8F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F5F2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824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＞65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80A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27 (35.53%)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11C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25 (36.76%)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D73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F48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 (29.55%)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045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10 (22.73%)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5EB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CB36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5A44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BMI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A63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C90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559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0.77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657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138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589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.000</w:t>
            </w:r>
          </w:p>
        </w:tc>
      </w:tr>
      <w:tr w14:paraId="0715E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022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＜18.5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F9C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9 (11.84%)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236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10 (14.71%)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9CD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8BD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 (6.82%)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5E6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4 (9.09%)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A7E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7468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F03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18.5-23.9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146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53 (69.74%)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FAF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48 (70.59%)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433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1B3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35 (79.55%)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785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34 (77.27%)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C11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6B9D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30D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≥24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463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14 (18.42%)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FB2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10 (14.71%)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6ED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9C6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6 (13.64%)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8F2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6 (13.64%)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D55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66AB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EEB4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Smoking history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DD0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07B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8AE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0.621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20B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B8D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7B1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0.829</w:t>
            </w:r>
          </w:p>
        </w:tc>
      </w:tr>
      <w:tr w14:paraId="02359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1B1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no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B07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31 (40.79%)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559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25 (36.76%)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74B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FAD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19 (43.18%)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599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 (40.91%)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437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00DF5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0FB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yes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C54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45 (59.21%)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050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43 (63.24%)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DED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E39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25 (56.82%)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8AD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26 (59.09%)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076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865F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0C82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Drinking history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4D1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269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779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0.374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67B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69C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07C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.000</w:t>
            </w:r>
          </w:p>
        </w:tc>
      </w:tr>
      <w:tr w14:paraId="63449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DA7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no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253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48 (63.16%)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43B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38 (55.88%)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7F7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CBF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26 (59.09%)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B8F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26 (59.09%)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772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07F4B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29F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yes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18E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28 (36.84%)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782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30 (44.12%)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D79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651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 (40.91%)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330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 (40.91%)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CF9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9D7E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4295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Tumor location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6E2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63F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7C4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0.432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876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4B4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977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0.424</w:t>
            </w:r>
          </w:p>
        </w:tc>
      </w:tr>
      <w:tr w14:paraId="23B69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778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upper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F5E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5 (6.58%)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530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7 (10.29%)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03B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FA9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4 (9.09%)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69E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 (2.27%)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D57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284F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937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middle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D8C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38 (50.00%)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731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38 (55.88%)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689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514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24 (54.55%)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688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24 (54.55%)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47E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EFA9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7DC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lower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D00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33 (43.42%)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FAE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23 (33.82%)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775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7F9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16 (36.36%)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3A3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19 (43.18%)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AF4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0CC99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8B92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Clinical stage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7A9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653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3AC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0.465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692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CC7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5A3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0.457</w:t>
            </w:r>
          </w:p>
        </w:tc>
      </w:tr>
      <w:tr w14:paraId="0CDFB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6C8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II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060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16 (21.05%)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EA7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19 (27.94%)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55A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363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8 (18.18%)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A2D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 (29.55%)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D0C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BAB1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87A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III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578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48 (63.16%)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A62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42 (61.76%)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D1D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FAB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30 (68.18%)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907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26 (59.09%)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085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6F96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vAlign w:val="center"/>
          </w:tcPr>
          <w:p w14:paraId="39380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IVa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vAlign w:val="center"/>
          </w:tcPr>
          <w:p w14:paraId="74EFC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12 (15.79%)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vAlign w:val="center"/>
          </w:tcPr>
          <w:p w14:paraId="16677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7 (10.29%)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vAlign w:val="center"/>
          </w:tcPr>
          <w:p w14:paraId="17D3C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vAlign w:val="center"/>
          </w:tcPr>
          <w:p w14:paraId="4531F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6 (13.64%)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vAlign w:val="center"/>
          </w:tcPr>
          <w:p w14:paraId="4AC3B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5 (11.36%)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vAlign w:val="center"/>
          </w:tcPr>
          <w:p w14:paraId="006E4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</w:tbl>
    <w:p w14:paraId="418B7B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60" w:lineRule="auto"/>
        <w:jc w:val="left"/>
        <w:textAlignment w:val="auto"/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MPR:major pathological response;</w:t>
      </w:r>
    </w:p>
    <w:p w14:paraId="48EBC1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60" w:lineRule="auto"/>
        <w:jc w:val="left"/>
        <w:textAlignment w:val="auto"/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</w:pPr>
    </w:p>
    <w:p w14:paraId="7C041C80">
      <w:pP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24"/>
          <w:szCs w:val="24"/>
          <w:lang w:val="en-US" w:eastAsia="zh-CN"/>
        </w:rPr>
        <w:t>Table S3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Characteristics comparison of AT patients and non-AT patients in the MPR patients group before and after matching.</w:t>
      </w:r>
    </w:p>
    <w:tbl>
      <w:tblPr>
        <w:tblStyle w:val="2"/>
        <w:tblW w:w="0" w:type="auto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116"/>
        <w:gridCol w:w="1116"/>
        <w:gridCol w:w="993"/>
        <w:gridCol w:w="1116"/>
        <w:gridCol w:w="1128"/>
        <w:gridCol w:w="960"/>
      </w:tblGrid>
      <w:tr w14:paraId="4310B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93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FA4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Variables</w:t>
            </w:r>
          </w:p>
        </w:tc>
        <w:tc>
          <w:tcPr>
            <w:tcW w:w="3225" w:type="dxa"/>
            <w:gridSpan w:val="3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FFFFFF"/>
            <w:vAlign w:val="center"/>
          </w:tcPr>
          <w:p w14:paraId="35417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efore PSM</w:t>
            </w:r>
          </w:p>
        </w:tc>
        <w:tc>
          <w:tcPr>
            <w:tcW w:w="3204" w:type="dxa"/>
            <w:gridSpan w:val="3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FFFFFF"/>
            <w:vAlign w:val="center"/>
          </w:tcPr>
          <w:p w14:paraId="65C5A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fter PSM</w:t>
            </w:r>
          </w:p>
        </w:tc>
      </w:tr>
      <w:tr w14:paraId="79684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930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FFFFFF"/>
            <w:vAlign w:val="center"/>
          </w:tcPr>
          <w:p w14:paraId="71361B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FFFFFF"/>
            <w:vAlign w:val="center"/>
          </w:tcPr>
          <w:p w14:paraId="383AF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non-AT</w:t>
            </w:r>
          </w:p>
        </w:tc>
        <w:tc>
          <w:tcPr>
            <w:tcW w:w="111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FFFFFF"/>
            <w:vAlign w:val="center"/>
          </w:tcPr>
          <w:p w14:paraId="4D829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AT</w:t>
            </w:r>
          </w:p>
        </w:tc>
        <w:tc>
          <w:tcPr>
            <w:tcW w:w="993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FFFFFF"/>
            <w:vAlign w:val="center"/>
          </w:tcPr>
          <w:p w14:paraId="0AAE8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P value</w:t>
            </w:r>
          </w:p>
        </w:tc>
        <w:tc>
          <w:tcPr>
            <w:tcW w:w="111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FFFFFF"/>
            <w:vAlign w:val="center"/>
          </w:tcPr>
          <w:p w14:paraId="4DB94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non-AT</w:t>
            </w:r>
          </w:p>
        </w:tc>
        <w:tc>
          <w:tcPr>
            <w:tcW w:w="1128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FFFFFF"/>
            <w:vAlign w:val="center"/>
          </w:tcPr>
          <w:p w14:paraId="54BEC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AT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FFFFFF"/>
            <w:vAlign w:val="center"/>
          </w:tcPr>
          <w:p w14:paraId="28250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P value</w:t>
            </w:r>
          </w:p>
        </w:tc>
      </w:tr>
      <w:tr w14:paraId="17CB9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0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C3A7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Sex</w:t>
            </w:r>
          </w:p>
        </w:tc>
        <w:tc>
          <w:tcPr>
            <w:tcW w:w="1116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FEB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7E1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993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10B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0.125</w:t>
            </w:r>
          </w:p>
        </w:tc>
        <w:tc>
          <w:tcPr>
            <w:tcW w:w="1116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AAB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128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39A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0EB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0.794</w:t>
            </w:r>
          </w:p>
        </w:tc>
      </w:tr>
      <w:tr w14:paraId="3B370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6AF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male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1BC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55 (67.90%)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CEC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50 (79.37%)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BEF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4BA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33 (78.57%)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5F6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32 (76.19%)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109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47318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FE7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female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085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26 (32.10%)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0F3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 (20.63%)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27B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84F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9 (21.43%)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83A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10 (23.81%)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DA1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4A947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6CB7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Age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C42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6B1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C40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0.018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3EE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7CF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224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0.811</w:t>
            </w:r>
          </w:p>
        </w:tc>
      </w:tr>
      <w:tr w14:paraId="2DF4D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8D1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≤65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FB3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45 (55.56%)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339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47 (74.60%)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13D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E51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29 (69.05%)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884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30 (71.43%)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A09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93C5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3FF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＞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7EE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36 (44.44%)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119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16 (25.40%)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6FB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61F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 (30.95%)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780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12 (28.57%)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BBC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DADA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D7E4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BMI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F9F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B45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AE8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0.956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2E7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1BB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95D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0.948</w:t>
            </w:r>
          </w:p>
        </w:tc>
      </w:tr>
      <w:tr w14:paraId="0B09E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E87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＜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18.5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130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11 (13.58%)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ED5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8 (12.70%)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08F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E07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5 (11.90%)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774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5 (11.90%)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9D1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D059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11C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18.5-23.9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29E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56 (69.14%)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E42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45 (71.43%)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6BF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107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32 (76.19%)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471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31 (73.81%)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2CB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79D2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F7F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≥24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7F6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14 (17.28%)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AD6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10 (15.87%)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522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D69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5 (11.90%)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527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6 (14.29%)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46E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3824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C5CF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Smoking history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93F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63E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93E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0.389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38C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28B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6AD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0.821</w:t>
            </w:r>
          </w:p>
        </w:tc>
      </w:tr>
      <w:tr w14:paraId="3B3F0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A5D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no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9C2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29 (35.80%)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F23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27 (42.86%)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C54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29E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15 (35.71%)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192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16 (38.10%)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24C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3141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F5A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yes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6B0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52 (64.20%)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21C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36 (57.14%)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BBD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63E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27 (64.29%)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86E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26 (61.90%)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95C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06FB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F322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Drinking history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848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A0F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8F9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0.134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CE8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23D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0E2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0.825</w:t>
            </w:r>
          </w:p>
        </w:tc>
      </w:tr>
      <w:tr w14:paraId="410DE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89B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no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07F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44 (54.32%)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8CF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42 (66.67%)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F2A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34D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24 (57.14%)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842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25 (59.52%)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C5C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780F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380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yes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F22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37 (45.68%)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7B5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21 (33.33%)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B72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C71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 (42.86%)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E9C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17 (40.48%)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A6A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1C60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9678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Tumor location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DE2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FB6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DE4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0.183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26B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4E4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BD7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.000</w:t>
            </w:r>
          </w:p>
        </w:tc>
      </w:tr>
      <w:tr w14:paraId="6C20E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37E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upper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DD7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5 (6.17%)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C32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7 (11.11%)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4C0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F89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 (7.14%)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E0B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 (7.14%)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5D6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0DBC2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3F0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middle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137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48 (59.26%)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422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28 (44.44%)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5A0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5FF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19 (45.24%)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78A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 (47.62%)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AE9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D30A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28D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lower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B60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28 (34.57%)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7B8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28 (44.44%)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F96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B57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 (47.62%)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7B9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19 (45.24%)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EEF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E723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7E4D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ypT stage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2D0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909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E4C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0.26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665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185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620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.000</w:t>
            </w:r>
          </w:p>
        </w:tc>
      </w:tr>
      <w:tr w14:paraId="573B0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C54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vertAlign w:val="subscript"/>
                <w:lang w:val="en-US" w:eastAsia="zh-CN" w:bidi="ar"/>
              </w:rPr>
              <w:t>0-2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523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70 (86.42%)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027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50 (79.37%)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A0F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726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37 (88.10%)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F3C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37 (88.10%)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DFD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05356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252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vertAlign w:val="subscript"/>
                <w:lang w:val="en-US" w:eastAsia="zh-CN" w:bidi="ar"/>
              </w:rPr>
              <w:t>3-4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19E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11 (13.58%)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FF6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 (20.63%)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5E8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75A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5 (11.90%)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C9C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5 (11.90%)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7D2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66EB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20A7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ypN stage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60C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953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F16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0.254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796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2A9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A6D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0.608</w:t>
            </w:r>
          </w:p>
        </w:tc>
      </w:tr>
      <w:tr w14:paraId="25814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A46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vertAlign w:val="subscript"/>
                <w:lang w:val="en-US" w:eastAsia="zh-CN" w:bidi="ar"/>
              </w:rPr>
              <w:t>0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E95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61 (75.31%)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26F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42 (66.67%)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151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5B7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31 (73.81%)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C96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33 (78.57%)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04B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E08B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930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vAlign w:val="center"/>
          </w:tcPr>
          <w:p w14:paraId="2D9CA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vertAlign w:val="subscript"/>
                <w:lang w:val="en-US" w:eastAsia="zh-CN" w:bidi="ar"/>
              </w:rPr>
              <w:t>1-3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vAlign w:val="center"/>
          </w:tcPr>
          <w:p w14:paraId="0E985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 (24.69%)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vAlign w:val="center"/>
          </w:tcPr>
          <w:p w14:paraId="21430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21 (33.33%)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vAlign w:val="center"/>
          </w:tcPr>
          <w:p w14:paraId="08841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vAlign w:val="center"/>
          </w:tcPr>
          <w:p w14:paraId="507BB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11 (26.19%)</w:t>
            </w:r>
          </w:p>
        </w:tc>
        <w:tc>
          <w:tcPr>
            <w:tcW w:w="1128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vAlign w:val="center"/>
          </w:tcPr>
          <w:p w14:paraId="07DED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9 (21.43%)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vAlign w:val="center"/>
          </w:tcPr>
          <w:p w14:paraId="151B9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</w:tbl>
    <w:p w14:paraId="191399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60" w:lineRule="auto"/>
        <w:jc w:val="left"/>
        <w:textAlignment w:val="auto"/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</w:pPr>
    </w:p>
    <w:p w14:paraId="2F8E1733">
      <w:pPr>
        <w:rPr>
          <w:color w:val="auto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31384C"/>
    <w:rsid w:val="053B5DF5"/>
    <w:rsid w:val="0AC0235E"/>
    <w:rsid w:val="0BB974D9"/>
    <w:rsid w:val="0E143F73"/>
    <w:rsid w:val="0F6A2898"/>
    <w:rsid w:val="1C8A2FA9"/>
    <w:rsid w:val="32440F95"/>
    <w:rsid w:val="3731384C"/>
    <w:rsid w:val="39DB0216"/>
    <w:rsid w:val="40466196"/>
    <w:rsid w:val="46CF3A6F"/>
    <w:rsid w:val="4F5904BD"/>
    <w:rsid w:val="527E1EAF"/>
    <w:rsid w:val="582E57DE"/>
    <w:rsid w:val="5E053485"/>
    <w:rsid w:val="61461017"/>
    <w:rsid w:val="694F3806"/>
    <w:rsid w:val="740F09F7"/>
    <w:rsid w:val="7CBB4DB2"/>
    <w:rsid w:val="7DA1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2601</Characters>
  <Lines>0</Lines>
  <Paragraphs>0</Paragraphs>
  <TotalTime>0</TotalTime>
  <ScaleCrop>false</ScaleCrop>
  <LinksUpToDate>false</LinksUpToDate>
  <CharactersWithSpaces>2834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2024-12-23T03:42:00Z</dcterms:created>
  <dc:creator>谢舒涵@</dc:creator>
  <cp:lastModifiedBy>谢舒涵</cp:lastModifiedBy>
  <dcterms:modified xsi:type="dcterms:W3CDTF">2025-06-22T05:43:28Z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F25D24B935484F2AB2EA59EC3F0838BE_13</vt:lpwstr>
  </property>
  <property fmtid="{D5CDD505-2E9C-101B-9397-08002B2CF9AE}" pid="4" name="KSOTemplateDocerSaveRecord">
    <vt:lpwstr>eyJoZGlkIjoiODA0ZmRhZmQ1MDAxMjU0OWFhMmI1Mzc5ZjBhNDcyNzMiLCJ1c2VySWQiOiI0MDM1NjE2MTIifQ==</vt:lpwstr>
  </property>
</Properties>
</file>