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A28D3" w14:textId="77777777" w:rsidR="00C97A03" w:rsidRDefault="00C97A03"/>
    <w:p w14:paraId="0E825C5F" w14:textId="77777777" w:rsidR="00C97A03" w:rsidRDefault="00C97A03"/>
    <w:p w14:paraId="3C091012" w14:textId="77777777" w:rsidR="00C97A03" w:rsidRDefault="00C97A03"/>
    <w:p w14:paraId="29726093" w14:textId="3A1E6B59" w:rsidR="007724CB" w:rsidRDefault="00490422">
      <w:pPr>
        <w:rPr>
          <w:noProof/>
        </w:rPr>
      </w:pPr>
      <w:r>
        <w:rPr>
          <w:noProof/>
        </w:rPr>
        <w:drawing>
          <wp:inline distT="0" distB="0" distL="0" distR="0" wp14:anchorId="15B2824B" wp14:editId="31D3F50C">
            <wp:extent cx="5943600" cy="3874135"/>
            <wp:effectExtent l="0" t="0" r="0" b="0"/>
            <wp:docPr id="8431071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0711" name="Picture 1" descr="A screen 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E91D" w14:textId="5EBDB8C5" w:rsidR="00C97A03" w:rsidRPr="00C97A03" w:rsidRDefault="00C97A03" w:rsidP="00C97A03">
      <w:r w:rsidRPr="008B6E3C">
        <w:rPr>
          <w:rFonts w:ascii="Times New Roman" w:hAnsi="Times New Roman" w:cs="Times New Roman"/>
          <w:b/>
          <w:bCs/>
          <w:sz w:val="24"/>
          <w:szCs w:val="24"/>
        </w:rPr>
        <w:t>Figure S1</w:t>
      </w:r>
      <w:r w:rsidRPr="00BF44FF">
        <w:rPr>
          <w:rFonts w:ascii="Times New Roman" w:hAnsi="Times New Roman" w:cs="Times New Roman"/>
          <w:sz w:val="24"/>
          <w:szCs w:val="24"/>
        </w:rPr>
        <w:t>.</w:t>
      </w:r>
      <w:r w:rsidRPr="00BF44FF">
        <w:rPr>
          <w:sz w:val="24"/>
          <w:szCs w:val="24"/>
        </w:rPr>
        <w:t xml:space="preserve"> </w:t>
      </w:r>
      <w:r w:rsidR="00BF44FF">
        <w:rPr>
          <w:rFonts w:ascii="Times New Roman" w:hAnsi="Times New Roman" w:cs="Times New Roman"/>
          <w:sz w:val="24"/>
          <w:szCs w:val="24"/>
        </w:rPr>
        <w:t>P</w:t>
      </w:r>
      <w:r w:rsidR="009E24DB">
        <w:rPr>
          <w:rFonts w:ascii="Times New Roman" w:hAnsi="Times New Roman" w:cs="Times New Roman"/>
          <w:sz w:val="24"/>
          <w:szCs w:val="24"/>
        </w:rPr>
        <w:t>iglet birth weight p</w:t>
      </w:r>
      <w:r w:rsidR="00BF44FF">
        <w:rPr>
          <w:rFonts w:ascii="Times New Roman" w:hAnsi="Times New Roman" w:cs="Times New Roman"/>
          <w:sz w:val="24"/>
          <w:szCs w:val="24"/>
        </w:rPr>
        <w:t xml:space="preserve">athway analysis </w:t>
      </w:r>
      <w:r w:rsidR="009E24DB">
        <w:rPr>
          <w:rFonts w:ascii="Times New Roman" w:hAnsi="Times New Roman" w:cs="Times New Roman"/>
          <w:sz w:val="24"/>
          <w:szCs w:val="24"/>
        </w:rPr>
        <w:t xml:space="preserve">of differentially expressed genes. </w:t>
      </w:r>
      <w:r w:rsidR="00BF44FF">
        <w:rPr>
          <w:rFonts w:ascii="Times New Roman" w:hAnsi="Times New Roman" w:cs="Times New Roman"/>
          <w:sz w:val="24"/>
          <w:szCs w:val="24"/>
        </w:rPr>
        <w:t>Control low birth weight vs. Control average birth weight pigs (along x-axis depicts various Gene Ontology databases: GO:MF = molecular function, GO:BP = biological process, GO:CC = cellular component)</w:t>
      </w:r>
    </w:p>
    <w:sectPr w:rsidR="00C97A03" w:rsidRPr="00C97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81"/>
    <w:rsid w:val="00490422"/>
    <w:rsid w:val="007724CB"/>
    <w:rsid w:val="008B6E3C"/>
    <w:rsid w:val="009E24DB"/>
    <w:rsid w:val="00A36781"/>
    <w:rsid w:val="00BF44FF"/>
    <w:rsid w:val="00C9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C612"/>
  <w15:chartTrackingRefBased/>
  <w15:docId w15:val="{385105CE-B708-405E-802E-E2101151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L Hammers</dc:creator>
  <cp:keywords/>
  <dc:description/>
  <cp:lastModifiedBy>Kelsey L Hammers</cp:lastModifiedBy>
  <cp:revision>6</cp:revision>
  <dcterms:created xsi:type="dcterms:W3CDTF">2023-10-05T02:15:00Z</dcterms:created>
  <dcterms:modified xsi:type="dcterms:W3CDTF">2023-10-05T07:49:00Z</dcterms:modified>
</cp:coreProperties>
</file>