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39614" w14:textId="77777777" w:rsidR="002D7925" w:rsidRDefault="002D7925" w:rsidP="002D7925">
      <w:pPr>
        <w:pStyle w:val="paragraph"/>
        <w:spacing w:before="0" w:beforeAutospacing="0" w:after="160" w:afterAutospacing="0"/>
        <w:jc w:val="center"/>
        <w:textAlignment w:val="baseline"/>
      </w:pPr>
      <w:r>
        <w:rPr>
          <w:rStyle w:val="normaltextrun"/>
          <w:rFonts w:ascii="Calibri" w:eastAsiaTheme="majorEastAsia" w:hAnsi="Calibri" w:cs="Calibri"/>
          <w:b/>
          <w:bCs/>
          <w:lang w:val="en-US"/>
        </w:rPr>
        <w:t xml:space="preserve">Protocol for assembling occurrence </w:t>
      </w:r>
      <w:proofErr w:type="gramStart"/>
      <w:r>
        <w:rPr>
          <w:rStyle w:val="normaltextrun"/>
          <w:rFonts w:ascii="Calibri" w:eastAsiaTheme="majorEastAsia" w:hAnsi="Calibri" w:cs="Calibri"/>
          <w:b/>
          <w:bCs/>
          <w:lang w:val="en-US"/>
        </w:rPr>
        <w:t>datasets</w:t>
      </w:r>
      <w:proofErr w:type="gramEnd"/>
      <w:r>
        <w:rPr>
          <w:rStyle w:val="eop"/>
          <w:rFonts w:ascii="Calibri" w:eastAsiaTheme="majorEastAsia" w:hAnsi="Calibri" w:cs="Calibri"/>
        </w:rPr>
        <w:t> </w:t>
      </w:r>
    </w:p>
    <w:p w14:paraId="563147F8" w14:textId="09CD006E"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Written by Jens Ringelberg, 15/01/2024.</w:t>
      </w:r>
    </w:p>
    <w:p w14:paraId="3BA2D29B" w14:textId="05DC3F55" w:rsidR="002D7925" w:rsidRPr="001A367C" w:rsidRDefault="002D7925" w:rsidP="002D7925">
      <w:pPr>
        <w:pStyle w:val="paragraph"/>
        <w:spacing w:before="0" w:beforeAutospacing="0" w:after="160" w:afterAutospacing="0"/>
        <w:textAlignment w:val="baseline"/>
        <w:rPr>
          <w:rFonts w:ascii="Calibri" w:eastAsiaTheme="majorEastAsia" w:hAnsi="Calibri" w:cs="Calibri"/>
          <w:sz w:val="22"/>
          <w:szCs w:val="22"/>
          <w:lang w:val="en-US"/>
        </w:rPr>
      </w:pPr>
      <w:r>
        <w:rPr>
          <w:rStyle w:val="normaltextrun"/>
          <w:rFonts w:ascii="Calibri" w:eastAsiaTheme="majorEastAsia" w:hAnsi="Calibri" w:cs="Calibri"/>
          <w:sz w:val="22"/>
          <w:szCs w:val="22"/>
          <w:lang w:val="en-US"/>
        </w:rPr>
        <w:t>The approach described here was developed and discussed by Victoria Cabrera, Benjamin Sauter, Erik Koenen, Colin Hughes, and me. So far, it has been employed to obtain the occurrence datasets of the Caesalpinia group</w:t>
      </w:r>
      <w:r w:rsidR="000B0A04">
        <w:rPr>
          <w:rStyle w:val="normaltextrun"/>
          <w:rFonts w:ascii="Calibri" w:eastAsiaTheme="majorEastAsia" w:hAnsi="Calibri" w:cs="Calibri"/>
          <w:sz w:val="22"/>
          <w:szCs w:val="22"/>
          <w:lang w:val="en-US"/>
        </w:rPr>
        <w:t xml:space="preserve"> (Gagnon </w:t>
      </w:r>
      <w:r w:rsidR="000B0A04">
        <w:rPr>
          <w:rStyle w:val="normaltextrun"/>
          <w:rFonts w:ascii="Calibri" w:eastAsiaTheme="majorEastAsia" w:hAnsi="Calibri" w:cs="Calibri"/>
          <w:i/>
          <w:iCs/>
          <w:sz w:val="22"/>
          <w:szCs w:val="22"/>
          <w:lang w:val="en-US"/>
        </w:rPr>
        <w:t>et al</w:t>
      </w:r>
      <w:r w:rsidR="000B0A04">
        <w:rPr>
          <w:rStyle w:val="normaltextrun"/>
          <w:rFonts w:ascii="Calibri" w:eastAsiaTheme="majorEastAsia" w:hAnsi="Calibri" w:cs="Calibri"/>
          <w:sz w:val="22"/>
          <w:szCs w:val="22"/>
          <w:lang w:val="en-US"/>
        </w:rPr>
        <w:t>. 2019</w:t>
      </w:r>
      <w:r w:rsidR="00BC0ED1">
        <w:rPr>
          <w:rStyle w:val="normaltextrun"/>
          <w:rFonts w:ascii="Calibri" w:eastAsiaTheme="majorEastAsia" w:hAnsi="Calibri" w:cs="Calibri"/>
          <w:sz w:val="22"/>
          <w:szCs w:val="22"/>
          <w:lang w:val="en-US"/>
        </w:rPr>
        <w:t xml:space="preserve">; </w:t>
      </w:r>
      <w:hyperlink r:id="rId5" w:history="1">
        <w:r w:rsidR="00BC0ED1" w:rsidRPr="000028C1">
          <w:rPr>
            <w:rStyle w:val="Hyperlink"/>
            <w:rFonts w:ascii="Calibri" w:eastAsiaTheme="majorEastAsia" w:hAnsi="Calibri" w:cs="Calibri"/>
            <w:sz w:val="22"/>
            <w:szCs w:val="22"/>
            <w:lang w:val="en-US"/>
          </w:rPr>
          <w:t>https://doi.org/10.1111/nph.15633</w:t>
        </w:r>
      </w:hyperlink>
      <w:r w:rsidR="000B0A04">
        <w:rPr>
          <w:rStyle w:val="normaltextrun"/>
          <w:rFonts w:ascii="Calibri" w:eastAsiaTheme="majorEastAsia" w:hAnsi="Calibri" w:cs="Calibri"/>
          <w:sz w:val="22"/>
          <w:szCs w:val="22"/>
          <w:lang w:val="en-US"/>
        </w:rPr>
        <w:t>)</w:t>
      </w:r>
      <w:r>
        <w:rPr>
          <w:rStyle w:val="normaltextrun"/>
          <w:rFonts w:ascii="Calibri" w:eastAsiaTheme="majorEastAsia" w:hAnsi="Calibri" w:cs="Calibri"/>
          <w:sz w:val="22"/>
          <w:szCs w:val="22"/>
          <w:lang w:val="en-US"/>
        </w:rPr>
        <w:t>, various succulent biome clades</w:t>
      </w:r>
      <w:r w:rsidR="000B0A04">
        <w:rPr>
          <w:rStyle w:val="normaltextrun"/>
          <w:rFonts w:ascii="Calibri" w:eastAsiaTheme="majorEastAsia" w:hAnsi="Calibri" w:cs="Calibri"/>
          <w:sz w:val="22"/>
          <w:szCs w:val="22"/>
          <w:lang w:val="en-US"/>
        </w:rPr>
        <w:t xml:space="preserve"> (Ringelberg </w:t>
      </w:r>
      <w:r w:rsidR="000B0A04">
        <w:rPr>
          <w:rStyle w:val="normaltextrun"/>
          <w:rFonts w:ascii="Calibri" w:eastAsiaTheme="majorEastAsia" w:hAnsi="Calibri" w:cs="Calibri"/>
          <w:i/>
          <w:iCs/>
          <w:sz w:val="22"/>
          <w:szCs w:val="22"/>
          <w:lang w:val="en-US"/>
        </w:rPr>
        <w:t>et al</w:t>
      </w:r>
      <w:r w:rsidR="000B0A04">
        <w:rPr>
          <w:rStyle w:val="normaltextrun"/>
          <w:rFonts w:ascii="Calibri" w:eastAsiaTheme="majorEastAsia" w:hAnsi="Calibri" w:cs="Calibri"/>
          <w:sz w:val="22"/>
          <w:szCs w:val="22"/>
          <w:lang w:val="en-US"/>
        </w:rPr>
        <w:t>. 2020</w:t>
      </w:r>
      <w:r w:rsidR="00BC0ED1">
        <w:rPr>
          <w:rStyle w:val="normaltextrun"/>
          <w:rFonts w:ascii="Calibri" w:eastAsiaTheme="majorEastAsia" w:hAnsi="Calibri" w:cs="Calibri"/>
          <w:sz w:val="22"/>
          <w:szCs w:val="22"/>
          <w:lang w:val="en-US"/>
        </w:rPr>
        <w:t xml:space="preserve">; </w:t>
      </w:r>
      <w:hyperlink r:id="rId6" w:history="1">
        <w:r w:rsidR="00BC0ED1" w:rsidRPr="000028C1">
          <w:rPr>
            <w:rStyle w:val="Hyperlink"/>
            <w:rFonts w:ascii="Calibri" w:eastAsiaTheme="majorEastAsia" w:hAnsi="Calibri" w:cs="Calibri"/>
            <w:sz w:val="22"/>
            <w:szCs w:val="22"/>
            <w:lang w:val="en-US"/>
          </w:rPr>
          <w:t>https://doi.org/10.1111/geb.13089</w:t>
        </w:r>
      </w:hyperlink>
      <w:r w:rsidR="00BC0ED1">
        <w:rPr>
          <w:rStyle w:val="normaltextrun"/>
          <w:rFonts w:ascii="Calibri" w:eastAsiaTheme="majorEastAsia" w:hAnsi="Calibri" w:cs="Calibri"/>
          <w:sz w:val="22"/>
          <w:szCs w:val="22"/>
          <w:lang w:val="en-US"/>
        </w:rPr>
        <w:t>)</w:t>
      </w:r>
      <w:r>
        <w:rPr>
          <w:rStyle w:val="normaltextrun"/>
          <w:rFonts w:ascii="Calibri" w:eastAsiaTheme="majorEastAsia" w:hAnsi="Calibri" w:cs="Calibri"/>
          <w:sz w:val="22"/>
          <w:szCs w:val="22"/>
          <w:lang w:val="en-US"/>
        </w:rPr>
        <w:t xml:space="preserve">, and the entire </w:t>
      </w:r>
      <w:r w:rsidR="000B0A04">
        <w:rPr>
          <w:rStyle w:val="normaltextrun"/>
          <w:rFonts w:ascii="Calibri" w:eastAsiaTheme="majorEastAsia" w:hAnsi="Calibri" w:cs="Calibri"/>
          <w:sz w:val="22"/>
          <w:szCs w:val="22"/>
          <w:lang w:val="en-US"/>
        </w:rPr>
        <w:t>M</w:t>
      </w:r>
      <w:r>
        <w:rPr>
          <w:rStyle w:val="normaltextrun"/>
          <w:rFonts w:ascii="Calibri" w:eastAsiaTheme="majorEastAsia" w:hAnsi="Calibri" w:cs="Calibri"/>
          <w:sz w:val="22"/>
          <w:szCs w:val="22"/>
          <w:lang w:val="en-US"/>
        </w:rPr>
        <w:t>imosoid clade</w:t>
      </w:r>
      <w:r w:rsidR="000B0A04">
        <w:rPr>
          <w:rStyle w:val="normaltextrun"/>
          <w:rFonts w:ascii="Calibri" w:eastAsiaTheme="majorEastAsia" w:hAnsi="Calibri" w:cs="Calibri"/>
          <w:sz w:val="22"/>
          <w:szCs w:val="22"/>
          <w:lang w:val="en-US"/>
        </w:rPr>
        <w:t xml:space="preserve"> (Ringelberg </w:t>
      </w:r>
      <w:r w:rsidR="000B0A04">
        <w:rPr>
          <w:rStyle w:val="normaltextrun"/>
          <w:rFonts w:ascii="Calibri" w:eastAsiaTheme="majorEastAsia" w:hAnsi="Calibri" w:cs="Calibri"/>
          <w:i/>
          <w:iCs/>
          <w:sz w:val="22"/>
          <w:szCs w:val="22"/>
          <w:lang w:val="en-US"/>
        </w:rPr>
        <w:t>et al</w:t>
      </w:r>
      <w:r w:rsidR="000B0A04">
        <w:rPr>
          <w:rStyle w:val="normaltextrun"/>
          <w:rFonts w:ascii="Calibri" w:eastAsiaTheme="majorEastAsia" w:hAnsi="Calibri" w:cs="Calibri"/>
          <w:sz w:val="22"/>
          <w:szCs w:val="22"/>
          <w:lang w:val="en-US"/>
        </w:rPr>
        <w:t>. 2023</w:t>
      </w:r>
      <w:r w:rsidR="00BC0ED1">
        <w:rPr>
          <w:rStyle w:val="normaltextrun"/>
          <w:rFonts w:ascii="Calibri" w:eastAsiaTheme="majorEastAsia" w:hAnsi="Calibri" w:cs="Calibri"/>
          <w:sz w:val="22"/>
          <w:szCs w:val="22"/>
          <w:lang w:val="en-US"/>
        </w:rPr>
        <w:t xml:space="preserve">; </w:t>
      </w:r>
      <w:hyperlink r:id="rId7" w:history="1">
        <w:r w:rsidR="00BC0ED1" w:rsidRPr="000028C1">
          <w:rPr>
            <w:rStyle w:val="Hyperlink"/>
            <w:rFonts w:ascii="Calibri" w:eastAsiaTheme="majorEastAsia" w:hAnsi="Calibri" w:cs="Calibri"/>
            <w:sz w:val="22"/>
            <w:szCs w:val="22"/>
            <w:lang w:val="en-US"/>
          </w:rPr>
          <w:t>https://doi.org/10.1126/sciadv.ade4954</w:t>
        </w:r>
      </w:hyperlink>
      <w:r w:rsidR="000B0A04">
        <w:rPr>
          <w:rStyle w:val="normaltextrun"/>
          <w:rFonts w:ascii="Calibri" w:eastAsiaTheme="majorEastAsia" w:hAnsi="Calibri" w:cs="Calibri"/>
          <w:sz w:val="22"/>
          <w:szCs w:val="22"/>
          <w:lang w:val="en-US"/>
        </w:rPr>
        <w:t>)</w:t>
      </w:r>
      <w:r>
        <w:rPr>
          <w:rStyle w:val="normaltextrun"/>
          <w:rFonts w:ascii="Calibri" w:eastAsiaTheme="majorEastAsia" w:hAnsi="Calibri" w:cs="Calibri"/>
          <w:sz w:val="22"/>
          <w:szCs w:val="22"/>
          <w:lang w:val="en-US"/>
        </w:rPr>
        <w:t>.</w:t>
      </w:r>
      <w:r w:rsidR="001A367C">
        <w:rPr>
          <w:rStyle w:val="normaltextrun"/>
          <w:rFonts w:ascii="Calibri" w:eastAsiaTheme="majorEastAsia" w:hAnsi="Calibri" w:cs="Calibri"/>
          <w:sz w:val="22"/>
          <w:szCs w:val="22"/>
          <w:lang w:val="en-US"/>
        </w:rPr>
        <w:t xml:space="preserve"> If you use this protocol or script for a publication, it would be appreciated if you could cite the paper that provided the first version of this script, Ringelberg </w:t>
      </w:r>
      <w:r w:rsidR="001A367C">
        <w:rPr>
          <w:rStyle w:val="normaltextrun"/>
          <w:rFonts w:ascii="Calibri" w:eastAsiaTheme="majorEastAsia" w:hAnsi="Calibri" w:cs="Calibri"/>
          <w:i/>
          <w:iCs/>
          <w:sz w:val="22"/>
          <w:szCs w:val="22"/>
          <w:lang w:val="en-US"/>
        </w:rPr>
        <w:t>et al</w:t>
      </w:r>
      <w:r w:rsidR="001A367C">
        <w:rPr>
          <w:rStyle w:val="normaltextrun"/>
          <w:rFonts w:ascii="Calibri" w:eastAsiaTheme="majorEastAsia" w:hAnsi="Calibri" w:cs="Calibri"/>
          <w:sz w:val="22"/>
          <w:szCs w:val="22"/>
          <w:lang w:val="en-US"/>
        </w:rPr>
        <w:t>. 2020.</w:t>
      </w:r>
    </w:p>
    <w:p w14:paraId="70765228" w14:textId="1CD99AE3"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The protocol exists of four steps:</w:t>
      </w:r>
      <w:r>
        <w:rPr>
          <w:rStyle w:val="scxw63942768"/>
          <w:rFonts w:ascii="Calibri" w:eastAsiaTheme="majorEastAsia" w:hAnsi="Calibri" w:cs="Calibri"/>
          <w:sz w:val="22"/>
          <w:szCs w:val="22"/>
        </w:rPr>
        <w:t> </w:t>
      </w:r>
      <w:r>
        <w:rPr>
          <w:rFonts w:ascii="Calibri" w:hAnsi="Calibri" w:cs="Calibri"/>
          <w:sz w:val="22"/>
          <w:szCs w:val="22"/>
        </w:rPr>
        <w:br/>
      </w:r>
      <w:r>
        <w:rPr>
          <w:rStyle w:val="normaltextrun"/>
          <w:rFonts w:ascii="Calibri" w:eastAsiaTheme="majorEastAsia" w:hAnsi="Calibri" w:cs="Calibri"/>
          <w:sz w:val="22"/>
          <w:szCs w:val="22"/>
          <w:lang w:val="en-US"/>
        </w:rPr>
        <w:t>                1) Obtaining a taxonomic checklist,</w:t>
      </w:r>
      <w:r>
        <w:rPr>
          <w:rStyle w:val="scxw63942768"/>
          <w:rFonts w:ascii="Calibri" w:eastAsiaTheme="majorEastAsia" w:hAnsi="Calibri" w:cs="Calibri"/>
          <w:sz w:val="22"/>
          <w:szCs w:val="22"/>
        </w:rPr>
        <w:t> </w:t>
      </w:r>
      <w:r>
        <w:rPr>
          <w:rFonts w:ascii="Calibri" w:hAnsi="Calibri" w:cs="Calibri"/>
          <w:sz w:val="22"/>
          <w:szCs w:val="22"/>
        </w:rPr>
        <w:br/>
      </w:r>
      <w:r>
        <w:rPr>
          <w:rStyle w:val="normaltextrun"/>
          <w:rFonts w:ascii="Calibri" w:eastAsiaTheme="majorEastAsia" w:hAnsi="Calibri" w:cs="Calibri"/>
          <w:sz w:val="22"/>
          <w:szCs w:val="22"/>
          <w:lang w:val="en-US"/>
        </w:rPr>
        <w:t>                2) Selecting occurrence data repositories,</w:t>
      </w:r>
      <w:r>
        <w:rPr>
          <w:rStyle w:val="scxw63942768"/>
          <w:rFonts w:ascii="Calibri" w:eastAsiaTheme="majorEastAsia" w:hAnsi="Calibri" w:cs="Calibri"/>
          <w:sz w:val="22"/>
          <w:szCs w:val="22"/>
        </w:rPr>
        <w:t> </w:t>
      </w:r>
      <w:r>
        <w:rPr>
          <w:rFonts w:ascii="Calibri" w:hAnsi="Calibri" w:cs="Calibri"/>
          <w:sz w:val="22"/>
          <w:szCs w:val="22"/>
        </w:rPr>
        <w:br/>
      </w:r>
      <w:r>
        <w:rPr>
          <w:rStyle w:val="normaltextrun"/>
          <w:rFonts w:ascii="Calibri" w:eastAsiaTheme="majorEastAsia" w:hAnsi="Calibri" w:cs="Calibri"/>
          <w:sz w:val="22"/>
          <w:szCs w:val="22"/>
          <w:lang w:val="en-US"/>
        </w:rPr>
        <w:t>                3) Downloading the occurrence data, and</w:t>
      </w:r>
      <w:r>
        <w:rPr>
          <w:rStyle w:val="scxw63942768"/>
          <w:rFonts w:ascii="Calibri" w:eastAsiaTheme="majorEastAsia" w:hAnsi="Calibri" w:cs="Calibri"/>
          <w:sz w:val="22"/>
          <w:szCs w:val="22"/>
        </w:rPr>
        <w:t> </w:t>
      </w:r>
      <w:r>
        <w:rPr>
          <w:rFonts w:ascii="Calibri" w:hAnsi="Calibri" w:cs="Calibri"/>
          <w:sz w:val="22"/>
          <w:szCs w:val="22"/>
        </w:rPr>
        <w:br/>
      </w:r>
      <w:r>
        <w:rPr>
          <w:rStyle w:val="normaltextrun"/>
          <w:rFonts w:ascii="Calibri" w:eastAsiaTheme="majorEastAsia" w:hAnsi="Calibri" w:cs="Calibri"/>
          <w:sz w:val="22"/>
          <w:szCs w:val="22"/>
          <w:lang w:val="en-US"/>
        </w:rPr>
        <w:t>                4) Cleaning the occurrences</w:t>
      </w:r>
      <w:r w:rsidR="00B74782">
        <w:rPr>
          <w:rStyle w:val="normaltextrun"/>
          <w:rFonts w:ascii="Calibri" w:eastAsiaTheme="majorEastAsia" w:hAnsi="Calibri" w:cs="Calibri"/>
          <w:sz w:val="22"/>
          <w:szCs w:val="22"/>
          <w:lang w:val="en-US"/>
        </w:rPr>
        <w:t xml:space="preserve"> (using the ‘GBIF quality control </w:t>
      </w:r>
      <w:proofErr w:type="spellStart"/>
      <w:proofErr w:type="gramStart"/>
      <w:r w:rsidR="00B74782">
        <w:rPr>
          <w:rStyle w:val="normaltextrun"/>
          <w:rFonts w:ascii="Calibri" w:eastAsiaTheme="majorEastAsia" w:hAnsi="Calibri" w:cs="Calibri"/>
          <w:sz w:val="22"/>
          <w:szCs w:val="22"/>
          <w:lang w:val="en-US"/>
        </w:rPr>
        <w:t>protocol.R</w:t>
      </w:r>
      <w:proofErr w:type="spellEnd"/>
      <w:proofErr w:type="gramEnd"/>
      <w:r w:rsidR="00B74782">
        <w:rPr>
          <w:rStyle w:val="normaltextrun"/>
          <w:rFonts w:ascii="Calibri" w:eastAsiaTheme="majorEastAsia" w:hAnsi="Calibri" w:cs="Calibri"/>
          <w:sz w:val="22"/>
          <w:szCs w:val="22"/>
          <w:lang w:val="en-US"/>
        </w:rPr>
        <w:t>’ R script)</w:t>
      </w:r>
      <w:r>
        <w:rPr>
          <w:rStyle w:val="normaltextrun"/>
          <w:rFonts w:ascii="Calibri" w:eastAsiaTheme="majorEastAsia" w:hAnsi="Calibri" w:cs="Calibri"/>
          <w:sz w:val="22"/>
          <w:szCs w:val="22"/>
          <w:lang w:val="en-US"/>
        </w:rPr>
        <w:t>.</w:t>
      </w:r>
      <w:r>
        <w:rPr>
          <w:rStyle w:val="eop"/>
          <w:rFonts w:ascii="Calibri" w:eastAsiaTheme="majorEastAsia" w:hAnsi="Calibri" w:cs="Calibri"/>
          <w:sz w:val="22"/>
          <w:szCs w:val="22"/>
        </w:rPr>
        <w:t> </w:t>
      </w:r>
    </w:p>
    <w:p w14:paraId="063ABE2C" w14:textId="77777777"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w:t>
      </w:r>
      <w:r>
        <w:rPr>
          <w:rStyle w:val="eop"/>
          <w:rFonts w:ascii="Calibri" w:eastAsiaTheme="majorEastAsia" w:hAnsi="Calibri" w:cs="Calibri"/>
          <w:sz w:val="22"/>
          <w:szCs w:val="22"/>
        </w:rPr>
        <w:t> </w:t>
      </w:r>
    </w:p>
    <w:p w14:paraId="169E585B" w14:textId="77777777"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xml:space="preserve">1) </w:t>
      </w:r>
      <w:r w:rsidRPr="002D7925">
        <w:rPr>
          <w:rStyle w:val="normaltextrun"/>
          <w:rFonts w:ascii="Calibri" w:eastAsiaTheme="majorEastAsia" w:hAnsi="Calibri" w:cs="Calibri"/>
          <w:b/>
          <w:bCs/>
          <w:sz w:val="22"/>
          <w:szCs w:val="22"/>
          <w:lang w:val="en-US"/>
        </w:rPr>
        <w:t>Obtaining a taxonomic checklist</w:t>
      </w:r>
      <w:r>
        <w:rPr>
          <w:rStyle w:val="normaltextrun"/>
          <w:rFonts w:ascii="Calibri" w:eastAsiaTheme="majorEastAsia" w:hAnsi="Calibri" w:cs="Calibri"/>
          <w:sz w:val="22"/>
          <w:szCs w:val="22"/>
          <w:lang w:val="en-US"/>
        </w:rPr>
        <w:t xml:space="preserve">. We think it’s very important to have an explicit taxonomic backbone, including synonymy, underlying the occurrence dataset. This avoids any confusion about the number or identity of the species in the </w:t>
      </w:r>
      <w:proofErr w:type="gramStart"/>
      <w:r>
        <w:rPr>
          <w:rStyle w:val="normaltextrun"/>
          <w:rFonts w:ascii="Calibri" w:eastAsiaTheme="majorEastAsia" w:hAnsi="Calibri" w:cs="Calibri"/>
          <w:sz w:val="22"/>
          <w:szCs w:val="22"/>
          <w:lang w:val="en-US"/>
        </w:rPr>
        <w:t>dataset, and</w:t>
      </w:r>
      <w:proofErr w:type="gramEnd"/>
      <w:r>
        <w:rPr>
          <w:rStyle w:val="normaltextrun"/>
          <w:rFonts w:ascii="Calibri" w:eastAsiaTheme="majorEastAsia" w:hAnsi="Calibri" w:cs="Calibri"/>
          <w:sz w:val="22"/>
          <w:szCs w:val="22"/>
          <w:lang w:val="en-US"/>
        </w:rPr>
        <w:t xml:space="preserve"> makes it easier to update the dataset in case any new species or combinations are published. Equally importantly, many occurrence data repositories might not be completely up-to-date taxonomically, which means that some occurrence records may have been assigned names that are now known to be synonyms of other species. Having an explicit taxonomic backbone allows you to automatically assign the correct name to these records.</w:t>
      </w:r>
      <w:r>
        <w:rPr>
          <w:rStyle w:val="eop"/>
          <w:rFonts w:ascii="Calibri" w:eastAsiaTheme="majorEastAsia" w:hAnsi="Calibri" w:cs="Calibri"/>
          <w:sz w:val="22"/>
          <w:szCs w:val="22"/>
        </w:rPr>
        <w:t> </w:t>
      </w:r>
    </w:p>
    <w:p w14:paraId="53B061A4" w14:textId="44735EFA"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Whether it’s better to produce your own taxonomic checklist based on the primary literature, or to use some kind of available checklist, probably depends very much on the type of project you’re working on. An ideal starting point is the legume-wide checklist of the Taxonomy Working Group (</w:t>
      </w:r>
      <w:hyperlink r:id="rId8" w:history="1">
        <w:r w:rsidRPr="00560F8B">
          <w:rPr>
            <w:rStyle w:val="Hyperlink"/>
            <w:rFonts w:ascii="Calibri" w:eastAsiaTheme="majorEastAsia" w:hAnsi="Calibri" w:cs="Calibri"/>
            <w:sz w:val="22"/>
            <w:szCs w:val="22"/>
            <w:lang w:val="en-US"/>
          </w:rPr>
          <w:t>https://www.legumedata.org/taxonomy/species-list/</w:t>
        </w:r>
      </w:hyperlink>
      <w:r>
        <w:rPr>
          <w:rStyle w:val="normaltextrun"/>
          <w:rFonts w:ascii="Calibri" w:eastAsiaTheme="majorEastAsia" w:hAnsi="Calibri" w:cs="Calibri"/>
          <w:sz w:val="22"/>
          <w:szCs w:val="22"/>
          <w:lang w:val="en-US"/>
        </w:rPr>
        <w:t>), which, although still a work in progress, is an up-to-date, community-approved checklist of the entire family.</w:t>
      </w:r>
    </w:p>
    <w:p w14:paraId="309EAE77" w14:textId="77777777"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w:t>
      </w:r>
      <w:r>
        <w:rPr>
          <w:rStyle w:val="eop"/>
          <w:rFonts w:ascii="Calibri" w:eastAsiaTheme="majorEastAsia" w:hAnsi="Calibri" w:cs="Calibri"/>
          <w:sz w:val="22"/>
          <w:szCs w:val="22"/>
        </w:rPr>
        <w:t> </w:t>
      </w:r>
    </w:p>
    <w:p w14:paraId="5297D58F" w14:textId="3A7BCE27"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xml:space="preserve">2) </w:t>
      </w:r>
      <w:r w:rsidRPr="002D7925">
        <w:rPr>
          <w:rStyle w:val="normaltextrun"/>
          <w:rFonts w:ascii="Calibri" w:eastAsiaTheme="majorEastAsia" w:hAnsi="Calibri" w:cs="Calibri"/>
          <w:b/>
          <w:bCs/>
          <w:sz w:val="22"/>
          <w:szCs w:val="22"/>
          <w:lang w:val="en-US"/>
        </w:rPr>
        <w:t>Selecting occurrence data repositories</w:t>
      </w:r>
      <w:r>
        <w:rPr>
          <w:rStyle w:val="normaltextrun"/>
          <w:rFonts w:ascii="Calibri" w:eastAsiaTheme="majorEastAsia" w:hAnsi="Calibri" w:cs="Calibri"/>
          <w:sz w:val="22"/>
          <w:szCs w:val="22"/>
          <w:lang w:val="en-US"/>
        </w:rPr>
        <w:t>. There are many different sources of occurrence data. Here I list the ones we’ve been using the most. GBIF (</w:t>
      </w:r>
      <w:hyperlink r:id="rId9" w:tgtFrame="_blank" w:history="1">
        <w:r>
          <w:rPr>
            <w:rStyle w:val="normaltextrun"/>
            <w:rFonts w:ascii="Calibri" w:eastAsiaTheme="majorEastAsia" w:hAnsi="Calibri" w:cs="Calibri"/>
            <w:color w:val="0563C1"/>
            <w:sz w:val="22"/>
            <w:szCs w:val="22"/>
            <w:u w:val="single"/>
            <w:lang w:val="en-US"/>
          </w:rPr>
          <w:t>www.gbif.org/</w:t>
        </w:r>
      </w:hyperlink>
      <w:r>
        <w:rPr>
          <w:rStyle w:val="normaltextrun"/>
          <w:rFonts w:ascii="Calibri" w:eastAsiaTheme="majorEastAsia" w:hAnsi="Calibri" w:cs="Calibri"/>
          <w:sz w:val="22"/>
          <w:szCs w:val="22"/>
          <w:lang w:val="en-US"/>
        </w:rPr>
        <w:t>) probably doesn’t need an introduction. SEINet (</w:t>
      </w:r>
      <w:hyperlink r:id="rId10" w:tgtFrame="_blank" w:history="1">
        <w:r>
          <w:rPr>
            <w:rStyle w:val="normaltextrun"/>
            <w:rFonts w:ascii="Calibri" w:eastAsiaTheme="majorEastAsia" w:hAnsi="Calibri" w:cs="Calibri"/>
            <w:color w:val="0563C1"/>
            <w:sz w:val="22"/>
            <w:szCs w:val="22"/>
            <w:u w:val="single"/>
            <w:lang w:val="en-US"/>
          </w:rPr>
          <w:t>swbiodiversity.org/seinet/</w:t>
        </w:r>
      </w:hyperlink>
      <w:r>
        <w:rPr>
          <w:rStyle w:val="normaltextrun"/>
          <w:rFonts w:ascii="Calibri" w:eastAsiaTheme="majorEastAsia" w:hAnsi="Calibri" w:cs="Calibri"/>
          <w:sz w:val="22"/>
          <w:szCs w:val="22"/>
          <w:lang w:val="en-US"/>
        </w:rPr>
        <w:t xml:space="preserve">) is a very useful source of </w:t>
      </w:r>
      <w:proofErr w:type="spellStart"/>
      <w:r>
        <w:rPr>
          <w:rStyle w:val="normaltextrun"/>
          <w:rFonts w:ascii="Calibri" w:eastAsiaTheme="majorEastAsia" w:hAnsi="Calibri" w:cs="Calibri"/>
          <w:sz w:val="22"/>
          <w:szCs w:val="22"/>
          <w:lang w:val="en-US"/>
        </w:rPr>
        <w:t>digitised</w:t>
      </w:r>
      <w:proofErr w:type="spellEnd"/>
      <w:r>
        <w:rPr>
          <w:rStyle w:val="normaltextrun"/>
          <w:rFonts w:ascii="Calibri" w:eastAsiaTheme="majorEastAsia" w:hAnsi="Calibri" w:cs="Calibri"/>
          <w:sz w:val="22"/>
          <w:szCs w:val="22"/>
          <w:lang w:val="en-US"/>
        </w:rPr>
        <w:t xml:space="preserve"> herbarium specimen for people working in the Americas. While it has some overlap with GBIF, it also has data from areas that are poorly represented on GBIF, such as Texas or the Caribbean. DryFlor (</w:t>
      </w:r>
      <w:hyperlink r:id="rId11" w:tgtFrame="_blank" w:history="1">
        <w:r>
          <w:rPr>
            <w:rStyle w:val="normaltextrun"/>
            <w:rFonts w:ascii="Calibri" w:eastAsiaTheme="majorEastAsia" w:hAnsi="Calibri" w:cs="Calibri"/>
            <w:color w:val="0563C1"/>
            <w:sz w:val="22"/>
            <w:szCs w:val="22"/>
            <w:u w:val="single"/>
            <w:lang w:val="en-US"/>
          </w:rPr>
          <w:t>www.dryflor.info/</w:t>
        </w:r>
      </w:hyperlink>
      <w:r>
        <w:rPr>
          <w:rStyle w:val="normaltextrun"/>
          <w:rFonts w:ascii="Calibri" w:eastAsiaTheme="majorEastAsia" w:hAnsi="Calibri" w:cs="Calibri"/>
          <w:sz w:val="22"/>
          <w:szCs w:val="22"/>
          <w:lang w:val="en-US"/>
        </w:rPr>
        <w:t xml:space="preserve">) has a lot of </w:t>
      </w:r>
      <w:proofErr w:type="gramStart"/>
      <w:r>
        <w:rPr>
          <w:rStyle w:val="normaltextrun"/>
          <w:rFonts w:ascii="Calibri" w:eastAsiaTheme="majorEastAsia" w:hAnsi="Calibri" w:cs="Calibri"/>
          <w:sz w:val="22"/>
          <w:szCs w:val="22"/>
          <w:lang w:val="en-US"/>
        </w:rPr>
        <w:t>high quality</w:t>
      </w:r>
      <w:proofErr w:type="gramEnd"/>
      <w:r>
        <w:rPr>
          <w:rStyle w:val="normaltextrun"/>
          <w:rFonts w:ascii="Calibri" w:eastAsiaTheme="majorEastAsia" w:hAnsi="Calibri" w:cs="Calibri"/>
          <w:sz w:val="22"/>
          <w:szCs w:val="22"/>
          <w:lang w:val="en-US"/>
        </w:rPr>
        <w:t xml:space="preserve"> data from South and Central America. It’s important to note that it does not contain </w:t>
      </w:r>
      <w:proofErr w:type="spellStart"/>
      <w:r>
        <w:rPr>
          <w:rStyle w:val="normaltextrun"/>
          <w:rFonts w:ascii="Calibri" w:eastAsiaTheme="majorEastAsia" w:hAnsi="Calibri" w:cs="Calibri"/>
          <w:sz w:val="22"/>
          <w:szCs w:val="22"/>
          <w:lang w:val="en-US"/>
        </w:rPr>
        <w:t>digitised</w:t>
      </w:r>
      <w:proofErr w:type="spellEnd"/>
      <w:r>
        <w:rPr>
          <w:rStyle w:val="normaltextrun"/>
          <w:rFonts w:ascii="Calibri" w:eastAsiaTheme="majorEastAsia" w:hAnsi="Calibri" w:cs="Calibri"/>
          <w:sz w:val="22"/>
          <w:szCs w:val="22"/>
          <w:lang w:val="en-US"/>
        </w:rPr>
        <w:t xml:space="preserve"> herbarium specimen, but rather data from plots and checklists.</w:t>
      </w:r>
      <w:r>
        <w:rPr>
          <w:rStyle w:val="eop"/>
          <w:rFonts w:ascii="Calibri" w:eastAsiaTheme="majorEastAsia" w:hAnsi="Calibri" w:cs="Calibri"/>
          <w:sz w:val="22"/>
          <w:szCs w:val="22"/>
        </w:rPr>
        <w:t xml:space="preserve"> Finally, </w:t>
      </w:r>
      <w:proofErr w:type="spellStart"/>
      <w:r>
        <w:rPr>
          <w:rStyle w:val="eop"/>
          <w:rFonts w:ascii="Calibri" w:eastAsiaTheme="majorEastAsia" w:hAnsi="Calibri" w:cs="Calibri"/>
          <w:sz w:val="22"/>
          <w:szCs w:val="22"/>
        </w:rPr>
        <w:t>speciesLink</w:t>
      </w:r>
      <w:proofErr w:type="spellEnd"/>
      <w:r>
        <w:rPr>
          <w:rStyle w:val="eop"/>
          <w:rFonts w:ascii="Calibri" w:eastAsiaTheme="majorEastAsia" w:hAnsi="Calibri" w:cs="Calibri"/>
          <w:sz w:val="22"/>
          <w:szCs w:val="22"/>
        </w:rPr>
        <w:t xml:space="preserve"> (</w:t>
      </w:r>
      <w:hyperlink r:id="rId12" w:history="1">
        <w:r w:rsidRPr="00560F8B">
          <w:rPr>
            <w:rStyle w:val="Hyperlink"/>
            <w:rFonts w:ascii="Calibri" w:eastAsiaTheme="majorEastAsia" w:hAnsi="Calibri" w:cs="Calibri"/>
            <w:sz w:val="22"/>
            <w:szCs w:val="22"/>
          </w:rPr>
          <w:t>https://specieslink.net/</w:t>
        </w:r>
      </w:hyperlink>
      <w:r>
        <w:rPr>
          <w:rStyle w:val="eop"/>
          <w:rFonts w:ascii="Calibri" w:eastAsiaTheme="majorEastAsia" w:hAnsi="Calibri" w:cs="Calibri"/>
          <w:sz w:val="22"/>
          <w:szCs w:val="22"/>
        </w:rPr>
        <w:t>) is an excellent source of occurrence data from predominantly Brazilian herbaria.</w:t>
      </w:r>
    </w:p>
    <w:p w14:paraId="25E8AFFC" w14:textId="729C8A44"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In addition to these major repositories, there are many smaller and more specific sources of excellent data. There are a lot of taxon or region specific datasets that have been published as part of a study and that contain very high-quality data (for example,</w:t>
      </w:r>
      <w:r w:rsidR="000B0A04">
        <w:rPr>
          <w:rStyle w:val="normaltextrun"/>
          <w:rFonts w:ascii="Calibri" w:eastAsiaTheme="majorEastAsia" w:hAnsi="Calibri" w:cs="Calibri"/>
          <w:sz w:val="22"/>
          <w:szCs w:val="22"/>
          <w:lang w:val="en-US"/>
        </w:rPr>
        <w:t xml:space="preserve"> Marshall </w:t>
      </w:r>
      <w:r w:rsidR="000B0A04" w:rsidRPr="000B0A04">
        <w:rPr>
          <w:rStyle w:val="normaltextrun"/>
          <w:rFonts w:ascii="Calibri" w:eastAsiaTheme="majorEastAsia" w:hAnsi="Calibri" w:cs="Calibri"/>
          <w:i/>
          <w:iCs/>
          <w:sz w:val="22"/>
          <w:szCs w:val="22"/>
          <w:lang w:val="en-US"/>
        </w:rPr>
        <w:t>et al</w:t>
      </w:r>
      <w:r w:rsidR="000B0A04">
        <w:rPr>
          <w:rStyle w:val="normaltextrun"/>
          <w:rFonts w:ascii="Calibri" w:eastAsiaTheme="majorEastAsia" w:hAnsi="Calibri" w:cs="Calibri"/>
          <w:sz w:val="22"/>
          <w:szCs w:val="22"/>
          <w:lang w:val="en-US"/>
        </w:rPr>
        <w:t>. 2016</w:t>
      </w:r>
      <w:r w:rsidR="00BC0ED1">
        <w:rPr>
          <w:rStyle w:val="normaltextrun"/>
          <w:rFonts w:ascii="Calibri" w:eastAsiaTheme="majorEastAsia" w:hAnsi="Calibri" w:cs="Calibri"/>
          <w:sz w:val="22"/>
          <w:szCs w:val="22"/>
          <w:lang w:val="en-US"/>
        </w:rPr>
        <w:t xml:space="preserve"> (</w:t>
      </w:r>
      <w:hyperlink r:id="rId13" w:history="1">
        <w:r w:rsidR="00BC0ED1" w:rsidRPr="000028C1">
          <w:rPr>
            <w:rStyle w:val="Hyperlink"/>
            <w:rFonts w:ascii="Calibri" w:eastAsiaTheme="majorEastAsia" w:hAnsi="Calibri" w:cs="Calibri"/>
            <w:sz w:val="22"/>
            <w:szCs w:val="22"/>
            <w:lang w:val="en-US"/>
          </w:rPr>
          <w:t>https://doi.org/10.1016/j.cub.2016.09.045</w:t>
        </w:r>
      </w:hyperlink>
      <w:r w:rsidR="00BC0ED1">
        <w:rPr>
          <w:rStyle w:val="normaltextrun"/>
          <w:rFonts w:ascii="Calibri" w:eastAsiaTheme="majorEastAsia" w:hAnsi="Calibri" w:cs="Calibri"/>
          <w:sz w:val="22"/>
          <w:szCs w:val="22"/>
          <w:lang w:val="en-US"/>
        </w:rPr>
        <w:t xml:space="preserve">) </w:t>
      </w:r>
      <w:r>
        <w:rPr>
          <w:rStyle w:val="normaltextrun"/>
          <w:rFonts w:ascii="Calibri" w:eastAsiaTheme="majorEastAsia" w:hAnsi="Calibri" w:cs="Calibri"/>
          <w:sz w:val="22"/>
          <w:szCs w:val="22"/>
          <w:lang w:val="en-US"/>
        </w:rPr>
        <w:t xml:space="preserve">for Africa). It can be difficult to identify (and gain access to) this kind of </w:t>
      </w:r>
      <w:proofErr w:type="gramStart"/>
      <w:r>
        <w:rPr>
          <w:rStyle w:val="normaltextrun"/>
          <w:rFonts w:ascii="Calibri" w:eastAsiaTheme="majorEastAsia" w:hAnsi="Calibri" w:cs="Calibri"/>
          <w:sz w:val="22"/>
          <w:szCs w:val="22"/>
          <w:lang w:val="en-US"/>
        </w:rPr>
        <w:t>datasets</w:t>
      </w:r>
      <w:proofErr w:type="gramEnd"/>
      <w:r>
        <w:rPr>
          <w:rStyle w:val="normaltextrun"/>
          <w:rFonts w:ascii="Calibri" w:eastAsiaTheme="majorEastAsia" w:hAnsi="Calibri" w:cs="Calibri"/>
          <w:sz w:val="22"/>
          <w:szCs w:val="22"/>
          <w:lang w:val="en-US"/>
        </w:rPr>
        <w:t>, but it can be really worth the effort.</w:t>
      </w:r>
      <w:r>
        <w:rPr>
          <w:rStyle w:val="eop"/>
          <w:rFonts w:ascii="Calibri" w:eastAsiaTheme="majorEastAsia" w:hAnsi="Calibri" w:cs="Calibri"/>
          <w:sz w:val="22"/>
          <w:szCs w:val="22"/>
        </w:rPr>
        <w:t> </w:t>
      </w:r>
    </w:p>
    <w:p w14:paraId="6AB412A3" w14:textId="77777777"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w:t>
      </w:r>
      <w:r>
        <w:rPr>
          <w:rStyle w:val="eop"/>
          <w:rFonts w:ascii="Calibri" w:eastAsiaTheme="majorEastAsia" w:hAnsi="Calibri" w:cs="Calibri"/>
          <w:sz w:val="22"/>
          <w:szCs w:val="22"/>
        </w:rPr>
        <w:t> </w:t>
      </w:r>
    </w:p>
    <w:p w14:paraId="193BEAFB" w14:textId="7B4B0A58"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lastRenderedPageBreak/>
        <w:t xml:space="preserve">3) </w:t>
      </w:r>
      <w:r w:rsidRPr="002F1637">
        <w:rPr>
          <w:rStyle w:val="normaltextrun"/>
          <w:rFonts w:ascii="Calibri" w:eastAsiaTheme="majorEastAsia" w:hAnsi="Calibri" w:cs="Calibri"/>
          <w:b/>
          <w:bCs/>
          <w:sz w:val="22"/>
          <w:szCs w:val="22"/>
          <w:lang w:val="en-US"/>
        </w:rPr>
        <w:t>Downloading the occurrence data</w:t>
      </w:r>
      <w:r>
        <w:rPr>
          <w:rStyle w:val="normaltextrun"/>
          <w:rFonts w:ascii="Calibri" w:eastAsiaTheme="majorEastAsia" w:hAnsi="Calibri" w:cs="Calibri"/>
          <w:sz w:val="22"/>
          <w:szCs w:val="22"/>
          <w:lang w:val="en-US"/>
        </w:rPr>
        <w:t>. We think it’s best to download geographically narrow, but taxonomically broad. If your species or clade of interest only occurs in a certain region</w:t>
      </w:r>
      <w:proofErr w:type="gramStart"/>
      <w:r>
        <w:rPr>
          <w:rStyle w:val="normaltextrun"/>
          <w:rFonts w:ascii="Calibri" w:eastAsiaTheme="majorEastAsia" w:hAnsi="Calibri" w:cs="Calibri"/>
          <w:sz w:val="22"/>
          <w:szCs w:val="22"/>
          <w:lang w:val="en-US"/>
        </w:rPr>
        <w:t>, only</w:t>
      </w:r>
      <w:proofErr w:type="gramEnd"/>
      <w:r>
        <w:rPr>
          <w:rStyle w:val="normaltextrun"/>
          <w:rFonts w:ascii="Calibri" w:eastAsiaTheme="majorEastAsia" w:hAnsi="Calibri" w:cs="Calibri"/>
          <w:sz w:val="22"/>
          <w:szCs w:val="22"/>
          <w:lang w:val="en-US"/>
        </w:rPr>
        <w:t xml:space="preserve"> downloading records from that region is a lot easier and faster than having to manually remove geographic outliers later on. In contrast, if you have an explicit taxonomic checklist with synonyms, yo</w:t>
      </w:r>
      <w:r w:rsidR="002F1637">
        <w:rPr>
          <w:rStyle w:val="normaltextrun"/>
          <w:rFonts w:ascii="Calibri" w:eastAsiaTheme="majorEastAsia" w:hAnsi="Calibri" w:cs="Calibri"/>
          <w:sz w:val="22"/>
          <w:szCs w:val="22"/>
          <w:lang w:val="en-US"/>
        </w:rPr>
        <w:t>u’ll probably</w:t>
      </w:r>
      <w:r>
        <w:rPr>
          <w:rStyle w:val="normaltextrun"/>
          <w:rFonts w:ascii="Calibri" w:eastAsiaTheme="majorEastAsia" w:hAnsi="Calibri" w:cs="Calibri"/>
          <w:sz w:val="22"/>
          <w:szCs w:val="22"/>
          <w:lang w:val="en-US"/>
        </w:rPr>
        <w:t xml:space="preserve"> want to download records from a ‘broader’ clade than just your species or genus of interest – this way, you will also pick up any records that are labelled as a synonym, rather than only the records that are labelled with the accepted name of your species of interest. Even in cases where I’m only interested in a single species, I still just download all legumes from GBIF/SEINet/DryFlor (for the relevant region), and then filter out the records of interest using the taxonomic checklist.</w:t>
      </w:r>
      <w:r>
        <w:rPr>
          <w:rStyle w:val="eop"/>
          <w:rFonts w:ascii="Calibri" w:eastAsiaTheme="majorEastAsia" w:hAnsi="Calibri" w:cs="Calibri"/>
          <w:sz w:val="22"/>
          <w:szCs w:val="22"/>
        </w:rPr>
        <w:t> </w:t>
      </w:r>
    </w:p>
    <w:p w14:paraId="2AB26B03" w14:textId="77777777"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xml:space="preserve">It’s probably best to keep all the unedited data columns in the original download file, as this makes it much easier to match records in your personal </w:t>
      </w:r>
      <w:proofErr w:type="gramStart"/>
      <w:r>
        <w:rPr>
          <w:rStyle w:val="normaltextrun"/>
          <w:rFonts w:ascii="Calibri" w:eastAsiaTheme="majorEastAsia" w:hAnsi="Calibri" w:cs="Calibri"/>
          <w:sz w:val="22"/>
          <w:szCs w:val="22"/>
          <w:lang w:val="en-US"/>
        </w:rPr>
        <w:t>dataset</w:t>
      </w:r>
      <w:proofErr w:type="gramEnd"/>
      <w:r>
        <w:rPr>
          <w:rStyle w:val="normaltextrun"/>
          <w:rFonts w:ascii="Calibri" w:eastAsiaTheme="majorEastAsia" w:hAnsi="Calibri" w:cs="Calibri"/>
          <w:sz w:val="22"/>
          <w:szCs w:val="22"/>
          <w:lang w:val="en-US"/>
        </w:rPr>
        <w:t xml:space="preserve"> with records on GBIF/SEINet/DryFlor. You can then add new columns to the original ones with additional information – for example, the updated taxon name according to your checklist, the date of the download, the data source, and the DOI of the download. It’s also useful to add a unique identifier to each record in your dataset.</w:t>
      </w:r>
      <w:r>
        <w:rPr>
          <w:rStyle w:val="eop"/>
          <w:rFonts w:ascii="Calibri" w:eastAsiaTheme="majorEastAsia" w:hAnsi="Calibri" w:cs="Calibri"/>
          <w:sz w:val="22"/>
          <w:szCs w:val="22"/>
        </w:rPr>
        <w:t> </w:t>
      </w:r>
    </w:p>
    <w:p w14:paraId="2782F836" w14:textId="6678FFB7" w:rsidR="002F1637"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We tend to use the data format of GBIF (plus a few additional custom columns), and automatically transform datasets from SEINet and DryFlor to match this format using custom R scripts. I would of course be happy to share these scripts.</w:t>
      </w:r>
    </w:p>
    <w:p w14:paraId="7B59A707" w14:textId="01515052"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w:t>
      </w:r>
      <w:r>
        <w:rPr>
          <w:rStyle w:val="eop"/>
          <w:rFonts w:ascii="Calibri" w:eastAsiaTheme="majorEastAsia" w:hAnsi="Calibri" w:cs="Calibri"/>
          <w:sz w:val="22"/>
          <w:szCs w:val="22"/>
        </w:rPr>
        <w:t> </w:t>
      </w:r>
    </w:p>
    <w:p w14:paraId="3969B2CD" w14:textId="77777777" w:rsidR="002D7925" w:rsidRDefault="002D7925"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xml:space="preserve">4) </w:t>
      </w:r>
      <w:r w:rsidRPr="002F1637">
        <w:rPr>
          <w:rStyle w:val="normaltextrun"/>
          <w:rFonts w:ascii="Calibri" w:eastAsiaTheme="majorEastAsia" w:hAnsi="Calibri" w:cs="Calibri"/>
          <w:b/>
          <w:bCs/>
          <w:sz w:val="22"/>
          <w:szCs w:val="22"/>
          <w:lang w:val="en-US"/>
        </w:rPr>
        <w:t>Cleaning the occurrences</w:t>
      </w:r>
      <w:r>
        <w:rPr>
          <w:rStyle w:val="normaltextrun"/>
          <w:rFonts w:ascii="Calibri" w:eastAsiaTheme="majorEastAsia" w:hAnsi="Calibri" w:cs="Calibri"/>
          <w:sz w:val="22"/>
          <w:szCs w:val="22"/>
          <w:lang w:val="en-US"/>
        </w:rPr>
        <w:t>. Wherever your occurrence data come from, data quality is a big issue, and you’ll probably have to spend quite a bit of time cleaning them up. Off the top of my head I would say there are four main reasons why the coordinates of a record might be wrong/not useful: 1) there may have been an error with the scanning of the specimen, resulting in erroneous coordinates, 2) the record may have been collected without coordinates, and at some later stage coordinates have been arbitrarily assigned to it, e.g. from the centroid of the country in which it was collected, 3) the record is from a cultivated plant growing in a park, arboretum, street side, farm, et cetera, or 4) the record is from a wrongly-identified herbarium specimen, and should therefore be removed (or corrected). All of these issues require careful screening of your data. </w:t>
      </w:r>
      <w:r>
        <w:rPr>
          <w:rStyle w:val="eop"/>
          <w:rFonts w:ascii="Calibri" w:eastAsiaTheme="majorEastAsia" w:hAnsi="Calibri" w:cs="Calibri"/>
          <w:sz w:val="22"/>
          <w:szCs w:val="22"/>
        </w:rPr>
        <w:t> </w:t>
      </w:r>
    </w:p>
    <w:p w14:paraId="26FD34AC" w14:textId="53B253D6" w:rsidR="002D7925" w:rsidRDefault="00AD214C" w:rsidP="002D7925">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 xml:space="preserve">Using the ‘GBIF quality control </w:t>
      </w:r>
      <w:proofErr w:type="spellStart"/>
      <w:proofErr w:type="gramStart"/>
      <w:r>
        <w:rPr>
          <w:rStyle w:val="normaltextrun"/>
          <w:rFonts w:ascii="Calibri" w:eastAsiaTheme="majorEastAsia" w:hAnsi="Calibri" w:cs="Calibri"/>
          <w:sz w:val="22"/>
          <w:szCs w:val="22"/>
          <w:lang w:val="en-US"/>
        </w:rPr>
        <w:t>protocol.R</w:t>
      </w:r>
      <w:proofErr w:type="spellEnd"/>
      <w:proofErr w:type="gramEnd"/>
      <w:r>
        <w:rPr>
          <w:rStyle w:val="normaltextrun"/>
          <w:rFonts w:ascii="Calibri" w:eastAsiaTheme="majorEastAsia" w:hAnsi="Calibri" w:cs="Calibri"/>
          <w:sz w:val="22"/>
          <w:szCs w:val="22"/>
          <w:lang w:val="en-US"/>
        </w:rPr>
        <w:t>’ R script, we</w:t>
      </w:r>
      <w:r w:rsidR="002D7925">
        <w:rPr>
          <w:rStyle w:val="normaltextrun"/>
          <w:rFonts w:ascii="Calibri" w:eastAsiaTheme="majorEastAsia" w:hAnsi="Calibri" w:cs="Calibri"/>
          <w:sz w:val="22"/>
          <w:szCs w:val="22"/>
          <w:lang w:val="en-US"/>
        </w:rPr>
        <w:t xml:space="preserve"> apply the following steps to clean up occurrence data: we remove records not based on vouchered herbarium collections (except for data from DryFlor), records with imprecise coordinates (i.e., with only degrees, no minutes or seconds), records on previously-identified country or region centroids, and records in the sea (or move them to the nearest land). We also carefully check all records with a longitude or latitude of exactly zero, to see whether this zero is not a data error. In addition to this, we check for cultivated records by manually looking for a list of keywords in the locality information, such as “botanical garden”, “greenhouse”, “arboretum”, et cetera, as well as their equivalents in Spanish</w:t>
      </w:r>
      <w:r w:rsidR="002F1637">
        <w:rPr>
          <w:rStyle w:val="normaltextrun"/>
          <w:rFonts w:ascii="Calibri" w:eastAsiaTheme="majorEastAsia" w:hAnsi="Calibri" w:cs="Calibri"/>
          <w:sz w:val="22"/>
          <w:szCs w:val="22"/>
          <w:lang w:val="en-US"/>
        </w:rPr>
        <w:t>, Portuguese,</w:t>
      </w:r>
      <w:r w:rsidR="002D7925">
        <w:rPr>
          <w:rStyle w:val="normaltextrun"/>
          <w:rFonts w:ascii="Calibri" w:eastAsiaTheme="majorEastAsia" w:hAnsi="Calibri" w:cs="Calibri"/>
          <w:sz w:val="22"/>
          <w:szCs w:val="22"/>
          <w:lang w:val="en-US"/>
        </w:rPr>
        <w:t xml:space="preserve"> and French (where applicable), and then we remove records that appear cultivated. Most importantly, we produce species-level distribution maps, and compare these maps to published species distribution maps and descriptions in monographs and </w:t>
      </w:r>
      <w:proofErr w:type="gramStart"/>
      <w:r w:rsidR="002D7925">
        <w:rPr>
          <w:rStyle w:val="normaltextrun"/>
          <w:rFonts w:ascii="Calibri" w:eastAsiaTheme="majorEastAsia" w:hAnsi="Calibri" w:cs="Calibri"/>
          <w:sz w:val="22"/>
          <w:szCs w:val="22"/>
          <w:lang w:val="en-US"/>
        </w:rPr>
        <w:t>floras</w:t>
      </w:r>
      <w:proofErr w:type="gramEnd"/>
      <w:r w:rsidR="002D7925">
        <w:rPr>
          <w:rStyle w:val="normaltextrun"/>
          <w:rFonts w:ascii="Calibri" w:eastAsiaTheme="majorEastAsia" w:hAnsi="Calibri" w:cs="Calibri"/>
          <w:sz w:val="22"/>
          <w:szCs w:val="22"/>
          <w:lang w:val="en-US"/>
        </w:rPr>
        <w:t>, and carefully assess and usually remove any outliers. All of this takes time, especially the last two steps, but I think it’s really worth doing it. There are automated tools to perform at least some of these steps, and I’m sure these can be useful, but I think nothing beats manually comparing the distribution of the downloaded records with the known distribution of a species.</w:t>
      </w:r>
    </w:p>
    <w:p w14:paraId="1F8B3C37" w14:textId="084D846C" w:rsidR="00376189" w:rsidRDefault="002D7925" w:rsidP="00B74782">
      <w:pPr>
        <w:pStyle w:val="paragraph"/>
        <w:spacing w:before="0" w:beforeAutospacing="0" w:after="160" w:afterAutospacing="0"/>
        <w:textAlignment w:val="baseline"/>
      </w:pPr>
      <w:r>
        <w:rPr>
          <w:rStyle w:val="normaltextrun"/>
          <w:rFonts w:ascii="Calibri" w:eastAsiaTheme="majorEastAsia" w:hAnsi="Calibri" w:cs="Calibri"/>
          <w:sz w:val="22"/>
          <w:szCs w:val="22"/>
          <w:lang w:val="en-US"/>
        </w:rPr>
        <w:t>We don’t filter out duplicate records from our datasets, for three reasons. First of all, it might be useful to keep them in the dataset to be able to identify herbaria that contain copies of a specimen. Second, distinguishing between true duplicates and records that simply have been collected from the same location is a lot of work. Finally, keeping these records in the dataset usually does not do any harm – during any downstream analyses (such as biome assignments) it’s very easy to automatically filter out all records with identical names and coordinates, to not bias the analysis.</w:t>
      </w:r>
      <w:r>
        <w:rPr>
          <w:rStyle w:val="eop"/>
          <w:rFonts w:ascii="Calibri" w:eastAsiaTheme="majorEastAsia" w:hAnsi="Calibri" w:cs="Calibri"/>
          <w:sz w:val="22"/>
          <w:szCs w:val="22"/>
        </w:rPr>
        <w:t> </w:t>
      </w:r>
    </w:p>
    <w:sectPr w:rsidR="00376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25"/>
    <w:rsid w:val="000B0A04"/>
    <w:rsid w:val="001A367C"/>
    <w:rsid w:val="002D7925"/>
    <w:rsid w:val="002F1637"/>
    <w:rsid w:val="00301F83"/>
    <w:rsid w:val="00353FDB"/>
    <w:rsid w:val="00376189"/>
    <w:rsid w:val="005D3D14"/>
    <w:rsid w:val="00AD214C"/>
    <w:rsid w:val="00B74782"/>
    <w:rsid w:val="00BC0E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2996"/>
  <w15:chartTrackingRefBased/>
  <w15:docId w15:val="{2D0CF5DC-9369-4CB8-96ED-D76462C6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5D3D14"/>
    <w:pPr>
      <w:spacing w:after="0" w:line="240" w:lineRule="auto"/>
    </w:pPr>
    <w:rPr>
      <w:sz w:val="20"/>
      <w:szCs w:val="20"/>
    </w:rPr>
  </w:style>
  <w:style w:type="character" w:customStyle="1" w:styleId="CommentTextChar">
    <w:name w:val="Comment Text Char"/>
    <w:basedOn w:val="DefaultParagraphFont"/>
    <w:link w:val="CommentText"/>
    <w:uiPriority w:val="99"/>
    <w:semiHidden/>
    <w:rsid w:val="005D3D14"/>
    <w:rPr>
      <w:sz w:val="20"/>
      <w:szCs w:val="20"/>
    </w:rPr>
  </w:style>
  <w:style w:type="character" w:customStyle="1" w:styleId="Heading1Char">
    <w:name w:val="Heading 1 Char"/>
    <w:basedOn w:val="DefaultParagraphFont"/>
    <w:link w:val="Heading1"/>
    <w:uiPriority w:val="9"/>
    <w:rsid w:val="002D7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25"/>
    <w:rPr>
      <w:rFonts w:eastAsiaTheme="majorEastAsia" w:cstheme="majorBidi"/>
      <w:color w:val="272727" w:themeColor="text1" w:themeTint="D8"/>
    </w:rPr>
  </w:style>
  <w:style w:type="paragraph" w:styleId="Title">
    <w:name w:val="Title"/>
    <w:basedOn w:val="Normal"/>
    <w:next w:val="Normal"/>
    <w:link w:val="TitleChar"/>
    <w:uiPriority w:val="10"/>
    <w:qFormat/>
    <w:rsid w:val="002D7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25"/>
    <w:pPr>
      <w:spacing w:before="160"/>
      <w:jc w:val="center"/>
    </w:pPr>
    <w:rPr>
      <w:i/>
      <w:iCs/>
      <w:color w:val="404040" w:themeColor="text1" w:themeTint="BF"/>
    </w:rPr>
  </w:style>
  <w:style w:type="character" w:customStyle="1" w:styleId="QuoteChar">
    <w:name w:val="Quote Char"/>
    <w:basedOn w:val="DefaultParagraphFont"/>
    <w:link w:val="Quote"/>
    <w:uiPriority w:val="29"/>
    <w:rsid w:val="002D7925"/>
    <w:rPr>
      <w:i/>
      <w:iCs/>
      <w:color w:val="404040" w:themeColor="text1" w:themeTint="BF"/>
    </w:rPr>
  </w:style>
  <w:style w:type="paragraph" w:styleId="ListParagraph">
    <w:name w:val="List Paragraph"/>
    <w:basedOn w:val="Normal"/>
    <w:uiPriority w:val="34"/>
    <w:qFormat/>
    <w:rsid w:val="002D7925"/>
    <w:pPr>
      <w:ind w:left="720"/>
      <w:contextualSpacing/>
    </w:pPr>
  </w:style>
  <w:style w:type="character" w:styleId="IntenseEmphasis">
    <w:name w:val="Intense Emphasis"/>
    <w:basedOn w:val="DefaultParagraphFont"/>
    <w:uiPriority w:val="21"/>
    <w:qFormat/>
    <w:rsid w:val="002D7925"/>
    <w:rPr>
      <w:i/>
      <w:iCs/>
      <w:color w:val="0F4761" w:themeColor="accent1" w:themeShade="BF"/>
    </w:rPr>
  </w:style>
  <w:style w:type="paragraph" w:styleId="IntenseQuote">
    <w:name w:val="Intense Quote"/>
    <w:basedOn w:val="Normal"/>
    <w:next w:val="Normal"/>
    <w:link w:val="IntenseQuoteChar"/>
    <w:uiPriority w:val="30"/>
    <w:qFormat/>
    <w:rsid w:val="002D7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925"/>
    <w:rPr>
      <w:i/>
      <w:iCs/>
      <w:color w:val="0F4761" w:themeColor="accent1" w:themeShade="BF"/>
    </w:rPr>
  </w:style>
  <w:style w:type="character" w:styleId="IntenseReference">
    <w:name w:val="Intense Reference"/>
    <w:basedOn w:val="DefaultParagraphFont"/>
    <w:uiPriority w:val="32"/>
    <w:qFormat/>
    <w:rsid w:val="002D7925"/>
    <w:rPr>
      <w:b/>
      <w:bCs/>
      <w:smallCaps/>
      <w:color w:val="0F4761" w:themeColor="accent1" w:themeShade="BF"/>
      <w:spacing w:val="5"/>
    </w:rPr>
  </w:style>
  <w:style w:type="paragraph" w:customStyle="1" w:styleId="paragraph">
    <w:name w:val="paragraph"/>
    <w:basedOn w:val="Normal"/>
    <w:rsid w:val="002D792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2D7925"/>
  </w:style>
  <w:style w:type="character" w:customStyle="1" w:styleId="eop">
    <w:name w:val="eop"/>
    <w:basedOn w:val="DefaultParagraphFont"/>
    <w:rsid w:val="002D7925"/>
  </w:style>
  <w:style w:type="character" w:customStyle="1" w:styleId="scxw63942768">
    <w:name w:val="scxw63942768"/>
    <w:basedOn w:val="DefaultParagraphFont"/>
    <w:rsid w:val="002D7925"/>
  </w:style>
  <w:style w:type="character" w:styleId="Hyperlink">
    <w:name w:val="Hyperlink"/>
    <w:basedOn w:val="DefaultParagraphFont"/>
    <w:uiPriority w:val="99"/>
    <w:unhideWhenUsed/>
    <w:rsid w:val="002D7925"/>
    <w:rPr>
      <w:color w:val="467886" w:themeColor="hyperlink"/>
      <w:u w:val="single"/>
    </w:rPr>
  </w:style>
  <w:style w:type="character" w:styleId="UnresolvedMention">
    <w:name w:val="Unresolved Mention"/>
    <w:basedOn w:val="DefaultParagraphFont"/>
    <w:uiPriority w:val="99"/>
    <w:semiHidden/>
    <w:unhideWhenUsed/>
    <w:rsid w:val="002D7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642157">
      <w:bodyDiv w:val="1"/>
      <w:marLeft w:val="0"/>
      <w:marRight w:val="0"/>
      <w:marTop w:val="0"/>
      <w:marBottom w:val="0"/>
      <w:divBdr>
        <w:top w:val="none" w:sz="0" w:space="0" w:color="auto"/>
        <w:left w:val="none" w:sz="0" w:space="0" w:color="auto"/>
        <w:bottom w:val="none" w:sz="0" w:space="0" w:color="auto"/>
        <w:right w:val="none" w:sz="0" w:space="0" w:color="auto"/>
      </w:divBdr>
      <w:divsChild>
        <w:div w:id="1491098764">
          <w:marLeft w:val="0"/>
          <w:marRight w:val="0"/>
          <w:marTop w:val="0"/>
          <w:marBottom w:val="0"/>
          <w:divBdr>
            <w:top w:val="none" w:sz="0" w:space="0" w:color="auto"/>
            <w:left w:val="none" w:sz="0" w:space="0" w:color="auto"/>
            <w:bottom w:val="none" w:sz="0" w:space="0" w:color="auto"/>
            <w:right w:val="none" w:sz="0" w:space="0" w:color="auto"/>
          </w:divBdr>
          <w:divsChild>
            <w:div w:id="972247876">
              <w:marLeft w:val="0"/>
              <w:marRight w:val="0"/>
              <w:marTop w:val="0"/>
              <w:marBottom w:val="0"/>
              <w:divBdr>
                <w:top w:val="none" w:sz="0" w:space="0" w:color="auto"/>
                <w:left w:val="none" w:sz="0" w:space="0" w:color="auto"/>
                <w:bottom w:val="none" w:sz="0" w:space="0" w:color="auto"/>
                <w:right w:val="none" w:sz="0" w:space="0" w:color="auto"/>
              </w:divBdr>
            </w:div>
            <w:div w:id="127751125">
              <w:marLeft w:val="0"/>
              <w:marRight w:val="0"/>
              <w:marTop w:val="0"/>
              <w:marBottom w:val="0"/>
              <w:divBdr>
                <w:top w:val="none" w:sz="0" w:space="0" w:color="auto"/>
                <w:left w:val="none" w:sz="0" w:space="0" w:color="auto"/>
                <w:bottom w:val="none" w:sz="0" w:space="0" w:color="auto"/>
                <w:right w:val="none" w:sz="0" w:space="0" w:color="auto"/>
              </w:divBdr>
            </w:div>
            <w:div w:id="958220246">
              <w:marLeft w:val="0"/>
              <w:marRight w:val="0"/>
              <w:marTop w:val="0"/>
              <w:marBottom w:val="0"/>
              <w:divBdr>
                <w:top w:val="none" w:sz="0" w:space="0" w:color="auto"/>
                <w:left w:val="none" w:sz="0" w:space="0" w:color="auto"/>
                <w:bottom w:val="none" w:sz="0" w:space="0" w:color="auto"/>
                <w:right w:val="none" w:sz="0" w:space="0" w:color="auto"/>
              </w:divBdr>
            </w:div>
            <w:div w:id="1851992107">
              <w:marLeft w:val="0"/>
              <w:marRight w:val="0"/>
              <w:marTop w:val="0"/>
              <w:marBottom w:val="0"/>
              <w:divBdr>
                <w:top w:val="none" w:sz="0" w:space="0" w:color="auto"/>
                <w:left w:val="none" w:sz="0" w:space="0" w:color="auto"/>
                <w:bottom w:val="none" w:sz="0" w:space="0" w:color="auto"/>
                <w:right w:val="none" w:sz="0" w:space="0" w:color="auto"/>
              </w:divBdr>
            </w:div>
            <w:div w:id="107628662">
              <w:marLeft w:val="0"/>
              <w:marRight w:val="0"/>
              <w:marTop w:val="0"/>
              <w:marBottom w:val="0"/>
              <w:divBdr>
                <w:top w:val="none" w:sz="0" w:space="0" w:color="auto"/>
                <w:left w:val="none" w:sz="0" w:space="0" w:color="auto"/>
                <w:bottom w:val="none" w:sz="0" w:space="0" w:color="auto"/>
                <w:right w:val="none" w:sz="0" w:space="0" w:color="auto"/>
              </w:divBdr>
            </w:div>
            <w:div w:id="1715158730">
              <w:marLeft w:val="0"/>
              <w:marRight w:val="0"/>
              <w:marTop w:val="0"/>
              <w:marBottom w:val="0"/>
              <w:divBdr>
                <w:top w:val="none" w:sz="0" w:space="0" w:color="auto"/>
                <w:left w:val="none" w:sz="0" w:space="0" w:color="auto"/>
                <w:bottom w:val="none" w:sz="0" w:space="0" w:color="auto"/>
                <w:right w:val="none" w:sz="0" w:space="0" w:color="auto"/>
              </w:divBdr>
            </w:div>
            <w:div w:id="1871454369">
              <w:marLeft w:val="0"/>
              <w:marRight w:val="0"/>
              <w:marTop w:val="0"/>
              <w:marBottom w:val="0"/>
              <w:divBdr>
                <w:top w:val="none" w:sz="0" w:space="0" w:color="auto"/>
                <w:left w:val="none" w:sz="0" w:space="0" w:color="auto"/>
                <w:bottom w:val="none" w:sz="0" w:space="0" w:color="auto"/>
                <w:right w:val="none" w:sz="0" w:space="0" w:color="auto"/>
              </w:divBdr>
            </w:div>
            <w:div w:id="1123228673">
              <w:marLeft w:val="0"/>
              <w:marRight w:val="0"/>
              <w:marTop w:val="0"/>
              <w:marBottom w:val="0"/>
              <w:divBdr>
                <w:top w:val="none" w:sz="0" w:space="0" w:color="auto"/>
                <w:left w:val="none" w:sz="0" w:space="0" w:color="auto"/>
                <w:bottom w:val="none" w:sz="0" w:space="0" w:color="auto"/>
                <w:right w:val="none" w:sz="0" w:space="0" w:color="auto"/>
              </w:divBdr>
            </w:div>
            <w:div w:id="1811941315">
              <w:marLeft w:val="0"/>
              <w:marRight w:val="0"/>
              <w:marTop w:val="0"/>
              <w:marBottom w:val="0"/>
              <w:divBdr>
                <w:top w:val="none" w:sz="0" w:space="0" w:color="auto"/>
                <w:left w:val="none" w:sz="0" w:space="0" w:color="auto"/>
                <w:bottom w:val="none" w:sz="0" w:space="0" w:color="auto"/>
                <w:right w:val="none" w:sz="0" w:space="0" w:color="auto"/>
              </w:divBdr>
            </w:div>
            <w:div w:id="1258368832">
              <w:marLeft w:val="0"/>
              <w:marRight w:val="0"/>
              <w:marTop w:val="0"/>
              <w:marBottom w:val="0"/>
              <w:divBdr>
                <w:top w:val="none" w:sz="0" w:space="0" w:color="auto"/>
                <w:left w:val="none" w:sz="0" w:space="0" w:color="auto"/>
                <w:bottom w:val="none" w:sz="0" w:space="0" w:color="auto"/>
                <w:right w:val="none" w:sz="0" w:space="0" w:color="auto"/>
              </w:divBdr>
            </w:div>
            <w:div w:id="871654881">
              <w:marLeft w:val="0"/>
              <w:marRight w:val="0"/>
              <w:marTop w:val="0"/>
              <w:marBottom w:val="0"/>
              <w:divBdr>
                <w:top w:val="none" w:sz="0" w:space="0" w:color="auto"/>
                <w:left w:val="none" w:sz="0" w:space="0" w:color="auto"/>
                <w:bottom w:val="none" w:sz="0" w:space="0" w:color="auto"/>
                <w:right w:val="none" w:sz="0" w:space="0" w:color="auto"/>
              </w:divBdr>
            </w:div>
            <w:div w:id="195579500">
              <w:marLeft w:val="0"/>
              <w:marRight w:val="0"/>
              <w:marTop w:val="0"/>
              <w:marBottom w:val="0"/>
              <w:divBdr>
                <w:top w:val="none" w:sz="0" w:space="0" w:color="auto"/>
                <w:left w:val="none" w:sz="0" w:space="0" w:color="auto"/>
                <w:bottom w:val="none" w:sz="0" w:space="0" w:color="auto"/>
                <w:right w:val="none" w:sz="0" w:space="0" w:color="auto"/>
              </w:divBdr>
            </w:div>
            <w:div w:id="302345692">
              <w:marLeft w:val="0"/>
              <w:marRight w:val="0"/>
              <w:marTop w:val="0"/>
              <w:marBottom w:val="0"/>
              <w:divBdr>
                <w:top w:val="none" w:sz="0" w:space="0" w:color="auto"/>
                <w:left w:val="none" w:sz="0" w:space="0" w:color="auto"/>
                <w:bottom w:val="none" w:sz="0" w:space="0" w:color="auto"/>
                <w:right w:val="none" w:sz="0" w:space="0" w:color="auto"/>
              </w:divBdr>
            </w:div>
            <w:div w:id="1248149867">
              <w:marLeft w:val="0"/>
              <w:marRight w:val="0"/>
              <w:marTop w:val="0"/>
              <w:marBottom w:val="0"/>
              <w:divBdr>
                <w:top w:val="none" w:sz="0" w:space="0" w:color="auto"/>
                <w:left w:val="none" w:sz="0" w:space="0" w:color="auto"/>
                <w:bottom w:val="none" w:sz="0" w:space="0" w:color="auto"/>
                <w:right w:val="none" w:sz="0" w:space="0" w:color="auto"/>
              </w:divBdr>
            </w:div>
            <w:div w:id="1119108483">
              <w:marLeft w:val="0"/>
              <w:marRight w:val="0"/>
              <w:marTop w:val="0"/>
              <w:marBottom w:val="0"/>
              <w:divBdr>
                <w:top w:val="none" w:sz="0" w:space="0" w:color="auto"/>
                <w:left w:val="none" w:sz="0" w:space="0" w:color="auto"/>
                <w:bottom w:val="none" w:sz="0" w:space="0" w:color="auto"/>
                <w:right w:val="none" w:sz="0" w:space="0" w:color="auto"/>
              </w:divBdr>
            </w:div>
            <w:div w:id="1426075782">
              <w:marLeft w:val="0"/>
              <w:marRight w:val="0"/>
              <w:marTop w:val="0"/>
              <w:marBottom w:val="0"/>
              <w:divBdr>
                <w:top w:val="none" w:sz="0" w:space="0" w:color="auto"/>
                <w:left w:val="none" w:sz="0" w:space="0" w:color="auto"/>
                <w:bottom w:val="none" w:sz="0" w:space="0" w:color="auto"/>
                <w:right w:val="none" w:sz="0" w:space="0" w:color="auto"/>
              </w:divBdr>
            </w:div>
            <w:div w:id="446851299">
              <w:marLeft w:val="0"/>
              <w:marRight w:val="0"/>
              <w:marTop w:val="0"/>
              <w:marBottom w:val="0"/>
              <w:divBdr>
                <w:top w:val="none" w:sz="0" w:space="0" w:color="auto"/>
                <w:left w:val="none" w:sz="0" w:space="0" w:color="auto"/>
                <w:bottom w:val="none" w:sz="0" w:space="0" w:color="auto"/>
                <w:right w:val="none" w:sz="0" w:space="0" w:color="auto"/>
              </w:divBdr>
            </w:div>
            <w:div w:id="51075846">
              <w:marLeft w:val="0"/>
              <w:marRight w:val="0"/>
              <w:marTop w:val="0"/>
              <w:marBottom w:val="0"/>
              <w:divBdr>
                <w:top w:val="none" w:sz="0" w:space="0" w:color="auto"/>
                <w:left w:val="none" w:sz="0" w:space="0" w:color="auto"/>
                <w:bottom w:val="none" w:sz="0" w:space="0" w:color="auto"/>
                <w:right w:val="none" w:sz="0" w:space="0" w:color="auto"/>
              </w:divBdr>
            </w:div>
            <w:div w:id="121073645">
              <w:marLeft w:val="0"/>
              <w:marRight w:val="0"/>
              <w:marTop w:val="0"/>
              <w:marBottom w:val="0"/>
              <w:divBdr>
                <w:top w:val="none" w:sz="0" w:space="0" w:color="auto"/>
                <w:left w:val="none" w:sz="0" w:space="0" w:color="auto"/>
                <w:bottom w:val="none" w:sz="0" w:space="0" w:color="auto"/>
                <w:right w:val="none" w:sz="0" w:space="0" w:color="auto"/>
              </w:divBdr>
            </w:div>
            <w:div w:id="1844122276">
              <w:marLeft w:val="0"/>
              <w:marRight w:val="0"/>
              <w:marTop w:val="0"/>
              <w:marBottom w:val="0"/>
              <w:divBdr>
                <w:top w:val="none" w:sz="0" w:space="0" w:color="auto"/>
                <w:left w:val="none" w:sz="0" w:space="0" w:color="auto"/>
                <w:bottom w:val="none" w:sz="0" w:space="0" w:color="auto"/>
                <w:right w:val="none" w:sz="0" w:space="0" w:color="auto"/>
              </w:divBdr>
            </w:div>
            <w:div w:id="1015422970">
              <w:marLeft w:val="0"/>
              <w:marRight w:val="0"/>
              <w:marTop w:val="0"/>
              <w:marBottom w:val="0"/>
              <w:divBdr>
                <w:top w:val="none" w:sz="0" w:space="0" w:color="auto"/>
                <w:left w:val="none" w:sz="0" w:space="0" w:color="auto"/>
                <w:bottom w:val="none" w:sz="0" w:space="0" w:color="auto"/>
                <w:right w:val="none" w:sz="0" w:space="0" w:color="auto"/>
              </w:divBdr>
            </w:div>
            <w:div w:id="1529877208">
              <w:marLeft w:val="0"/>
              <w:marRight w:val="0"/>
              <w:marTop w:val="0"/>
              <w:marBottom w:val="0"/>
              <w:divBdr>
                <w:top w:val="none" w:sz="0" w:space="0" w:color="auto"/>
                <w:left w:val="none" w:sz="0" w:space="0" w:color="auto"/>
                <w:bottom w:val="none" w:sz="0" w:space="0" w:color="auto"/>
                <w:right w:val="none" w:sz="0" w:space="0" w:color="auto"/>
              </w:divBdr>
            </w:div>
            <w:div w:id="191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umedata.org/taxonomy/species-list/" TargetMode="External"/><Relationship Id="rId13" Type="http://schemas.openxmlformats.org/officeDocument/2006/relationships/hyperlink" Target="https://doi.org/10.1016/j.cub.2016.09.045" TargetMode="External"/><Relationship Id="rId3" Type="http://schemas.openxmlformats.org/officeDocument/2006/relationships/settings" Target="settings.xml"/><Relationship Id="rId7" Type="http://schemas.openxmlformats.org/officeDocument/2006/relationships/hyperlink" Target="https://doi.org/10.1126/sciadv.ade4954" TargetMode="External"/><Relationship Id="rId12" Type="http://schemas.openxmlformats.org/officeDocument/2006/relationships/hyperlink" Target="https://specieslink.ne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111/geb.13089" TargetMode="External"/><Relationship Id="rId11" Type="http://schemas.openxmlformats.org/officeDocument/2006/relationships/hyperlink" Target="http://www.dryflor.info/" TargetMode="External"/><Relationship Id="rId5" Type="http://schemas.openxmlformats.org/officeDocument/2006/relationships/hyperlink" Target="https://doi.org/10.1111/nph.15633" TargetMode="External"/><Relationship Id="rId15" Type="http://schemas.openxmlformats.org/officeDocument/2006/relationships/theme" Target="theme/theme1.xml"/><Relationship Id="rId10" Type="http://schemas.openxmlformats.org/officeDocument/2006/relationships/hyperlink" Target="http://swbiodiversity.org/seinet/" TargetMode="External"/><Relationship Id="rId4" Type="http://schemas.openxmlformats.org/officeDocument/2006/relationships/webSettings" Target="webSettings.xml"/><Relationship Id="rId9" Type="http://schemas.openxmlformats.org/officeDocument/2006/relationships/hyperlink" Target="https://www.gbif.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F88DB-B40F-4693-AC04-1EEFAA44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1255</Words>
  <Characters>7156</Characters>
  <Application>Microsoft Office Word</Application>
  <DocSecurity>0</DocSecurity>
  <Lines>59</Lines>
  <Paragraphs>16</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Ringelberg</dc:creator>
  <cp:keywords/>
  <dc:description/>
  <cp:lastModifiedBy>Jens Ringelberg</cp:lastModifiedBy>
  <cp:revision>8</cp:revision>
  <dcterms:created xsi:type="dcterms:W3CDTF">2024-01-15T12:31:00Z</dcterms:created>
  <dcterms:modified xsi:type="dcterms:W3CDTF">2024-01-15T15:22:00Z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119c2ba5-1748-3deb-b44e-74275266ec6b</vt:lpwstr>
  </property>
  <property fmtid="{D5CDD505-2E9C-101B-9397-08002B2CF9AE}" pid="4" name="Mendeley Citation Style_1">
    <vt:lpwstr>http://www.zotero.org/styles/phytokeys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http://www.zotero.org/styles/apa-6th-edition</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http://www.zotero.org/styles/harvard-european-archaeology</vt:lpwstr>
  </property>
  <property fmtid="{D5CDD505-2E9C-101B-9397-08002B2CF9AE}" pid="12" name="Mendeley Recent Style Name 3_1">
    <vt:lpwstr>European Archaeology - Harvard</vt:lpwstr>
  </property>
  <property fmtid="{D5CDD505-2E9C-101B-9397-08002B2CF9AE}" pid="13" name="Mendeley Recent Style Id 4_1">
    <vt:lpwstr>http://www.zotero.org/styles/nature</vt:lpwstr>
  </property>
  <property fmtid="{D5CDD505-2E9C-101B-9397-08002B2CF9AE}" pid="14" name="Mendeley Recent Style Name 4_1">
    <vt:lpwstr>Nature</vt:lpwstr>
  </property>
  <property fmtid="{D5CDD505-2E9C-101B-9397-08002B2CF9AE}" pid="15" name="Mendeley Recent Style Id 5_1">
    <vt:lpwstr>http://www.zotero.org/styles/nature-no-et-al</vt:lpwstr>
  </property>
  <property fmtid="{D5CDD505-2E9C-101B-9397-08002B2CF9AE}" pid="16" name="Mendeley Recent Style Name 5_1">
    <vt:lpwstr>Nature (no "et al.")</vt:lpwstr>
  </property>
  <property fmtid="{D5CDD505-2E9C-101B-9397-08002B2CF9AE}" pid="17" name="Mendeley Recent Style Id 6_1">
    <vt:lpwstr>http://www.zotero.org/styles/new-phytologist</vt:lpwstr>
  </property>
  <property fmtid="{D5CDD505-2E9C-101B-9397-08002B2CF9AE}" pid="18" name="Mendeley Recent Style Name 6_1">
    <vt:lpwstr>New Phytologist</vt:lpwstr>
  </property>
  <property fmtid="{D5CDD505-2E9C-101B-9397-08002B2CF9AE}" pid="19" name="Mendeley Recent Style Id 7_1">
    <vt:lpwstr>http://www.zotero.org/styles/phytokeys</vt:lpwstr>
  </property>
  <property fmtid="{D5CDD505-2E9C-101B-9397-08002B2CF9AE}" pid="20" name="Mendeley Recent Style Name 7_1">
    <vt:lpwstr>PhytoKeys</vt:lpwstr>
  </property>
  <property fmtid="{D5CDD505-2E9C-101B-9397-08002B2CF9AE}" pid="21" name="Mendeley Recent Style Id 8_1">
    <vt:lpwstr>http://www.zotero.org/styles/science-advances</vt:lpwstr>
  </property>
  <property fmtid="{D5CDD505-2E9C-101B-9397-08002B2CF9AE}" pid="22" name="Mendeley Recent Style Name 8_1">
    <vt:lpwstr>Science Advances</vt:lpwstr>
  </property>
  <property fmtid="{D5CDD505-2E9C-101B-9397-08002B2CF9AE}" pid="23" name="Mendeley Recent Style Id 9_1">
    <vt:lpwstr>http://www.zotero.org/styles/springer-socpsych</vt:lpwstr>
  </property>
  <property fmtid="{D5CDD505-2E9C-101B-9397-08002B2CF9AE}" pid="24" name="Mendeley Recent Style Name 9_1">
    <vt:lpwstr>Springer - SocPsych (author-date)</vt:lpwstr>
  </property>
</Properties>
</file>