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86D" w:rsidRPr="00F137F7" w:rsidRDefault="0075086D" w:rsidP="00FC22BC">
      <w:pPr>
        <w:autoSpaceDE w:val="0"/>
        <w:autoSpaceDN w:val="0"/>
        <w:bidi w:val="0"/>
        <w:adjustRightInd w:val="0"/>
        <w:spacing w:before="120" w:after="0" w:line="346" w:lineRule="auto"/>
        <w:jc w:val="both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F137F7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 xml:space="preserve">Laboratory </w:t>
      </w:r>
      <w:r w:rsidR="00FC22BC"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  <w:t>protocol</w:t>
      </w:r>
    </w:p>
    <w:p w:rsidR="0075086D" w:rsidRPr="00F137F7" w:rsidRDefault="0075086D" w:rsidP="0075086D">
      <w:pPr>
        <w:autoSpaceDE w:val="0"/>
        <w:autoSpaceDN w:val="0"/>
        <w:bidi w:val="0"/>
        <w:adjustRightInd w:val="0"/>
        <w:spacing w:before="120" w:after="0" w:line="346" w:lineRule="auto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F137F7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Sampling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F137F7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Fresh venous blood samples (5ml) were withdrawn for all participants under aseptic conditions; 2.5mls were centrifuged to separate serum, which was stored at -80 °C until samples of patients and control groups were assayed in one run. 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Estimation of level of soluble CD200 in the serum was performed with commercially available enzyme linked immune sorbent assay (ELISA) kit.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The other 2.5 ml were used while still fresh for estimation of CD200R by flow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cytometry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using Human CD200 R1 Fluorescein-conjugated Antibody (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BioTech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 USA)</w:t>
      </w:r>
    </w:p>
    <w:p w:rsidR="0075086D" w:rsidRPr="00F137F7" w:rsidRDefault="0075086D" w:rsidP="0075086D">
      <w:pPr>
        <w:autoSpaceDE w:val="0"/>
        <w:autoSpaceDN w:val="0"/>
        <w:bidi w:val="0"/>
        <w:adjustRightInd w:val="0"/>
        <w:spacing w:before="200"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F137F7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CD200 level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Serum levels of CD200 were quantitated with commercially available enzyme linked immune sorbent assay (ELISA) kit</w:t>
      </w:r>
      <w:r w:rsidRPr="00BD1F74">
        <w:rPr>
          <w:rFonts w:ascii="Times New Roman" w:eastAsia="Calibri" w:hAnsi="Times New Roman" w:cs="Times New Roman" w:hint="cs"/>
          <w:color w:val="000000" w:themeColor="text1"/>
          <w:sz w:val="24"/>
          <w:szCs w:val="24"/>
        </w:rPr>
        <w:t xml:space="preserve"> </w:t>
      </w: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(Human CD200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PicoKine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™ ELISA Kit,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Boster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Biological Technology, Pleasanton CA, USA, </w:t>
      </w:r>
      <w:proofErr w:type="gram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Catalog</w:t>
      </w:r>
      <w:proofErr w:type="gram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# EK0993)</w:t>
      </w:r>
    </w:p>
    <w:p w:rsidR="0075086D" w:rsidRPr="00F137F7" w:rsidRDefault="0075086D" w:rsidP="0075086D">
      <w:pPr>
        <w:autoSpaceDE w:val="0"/>
        <w:autoSpaceDN w:val="0"/>
        <w:bidi w:val="0"/>
        <w:adjustRightInd w:val="0"/>
        <w:spacing w:before="200"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F137F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Principle of the method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Human CD200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PicoKine</w:t>
      </w:r>
      <w:proofErr w:type="spellEnd"/>
      <w:r w:rsidRPr="00BD1F74">
        <w:rPr>
          <w:rFonts w:ascii="Times New Roman" w:eastAsia="Calibri" w:hAnsi="Times New Roman" w:cs="Times New Roman" w:hint="eastAsia"/>
          <w:color w:val="000000" w:themeColor="text1"/>
          <w:sz w:val="24"/>
          <w:szCs w:val="24"/>
        </w:rPr>
        <w:t>™</w:t>
      </w: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ELISA Kit is based on standard sandwich enzyme-linked immune-sorbent assay technology. An antibody specific for CD200 has been pre-coated onto 96-well plates.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Standards and test samples are added to the </w:t>
      </w:r>
      <w:proofErr w:type="gram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wells,</w:t>
      </w:r>
      <w:proofErr w:type="gram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biotinylated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detection antibody specific for CD200 is added subsequently and then followed by washing with PBS buffer.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rtl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Avidin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-Biotin-Peroxidase Complex was added and unbound conjugates were washed away with PBS buffer. HRP substrate TMB was used to visualize HRP enzymatic reaction. TMB was catalyzed by HRP to produce a blue color product that changed into yellow after adding acidic stop solution. The density of yellow is proportional to the Human CD200 amo</w:t>
      </w:r>
      <w:r w:rsidR="00FC22BC"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unt of sample captured in plate [1].</w:t>
      </w:r>
      <w:r w:rsidR="00FC22BC" w:rsidRPr="00BD1F7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rtl/>
        </w:rPr>
        <w:t xml:space="preserve"> </w:t>
      </w:r>
    </w:p>
    <w:p w:rsidR="0075086D" w:rsidRDefault="0075086D" w:rsidP="0075086D">
      <w:pPr>
        <w:bidi w:val="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:rsidR="0075086D" w:rsidRPr="00F137F7" w:rsidRDefault="0075086D" w:rsidP="0075086D">
      <w:pPr>
        <w:bidi w:val="0"/>
        <w:spacing w:before="200"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F137F7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CD200R estimation 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Estimation of CD200R in fresh blood samples was performed with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floecytometry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using human CD200 R1 conjugated antibody.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expression of CD200R was estimated on peripheral blood monocytes.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EDTA whole blood was stained with mouse Anti-</w:t>
      </w: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softHyphen/>
        <w:t>human CD200R1 Fluorescein-conjugated monoclonal antibody (Human CD200 R1 Fluorescein-conjugated Antibody, Bio-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Techne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</w:t>
      </w:r>
      <w:r w:rsidRPr="00BD1F74">
        <w:rPr>
          <w:rFonts w:ascii="Arial" w:hAnsi="Arial"/>
          <w:color w:val="363636"/>
          <w:sz w:val="18"/>
          <w:szCs w:val="18"/>
          <w:bdr w:val="none" w:sz="0" w:space="0" w:color="auto" w:frame="1"/>
          <w:shd w:val="clear" w:color="auto" w:fill="FFFFFF"/>
        </w:rPr>
        <w:t xml:space="preserve"> </w:t>
      </w: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Minneapolis, Minnesota, USA, Catalog # FAB3414F)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Briefly, 100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of whole blood were stained with fluorescein-conjugated anti-CD200R. After incubation, 2.0 mL of lysing solution was added and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lysis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was allowed for 10 min at room temperature. Samples were then washed twice and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resuspended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in PBS.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Cells were analyzed on a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FACSCalibur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flow cytometer using </w:t>
      </w:r>
      <w:proofErr w:type="spellStart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CellQuest</w:t>
      </w:r>
      <w:proofErr w:type="spellEnd"/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pro software (BD Biosciences, San Diego, CA, USA). Membrane fluorescence intensity was estimated by the mean fluorescence intensity (MFI).</w:t>
      </w:r>
    </w:p>
    <w:p w:rsidR="0075086D" w:rsidRPr="00BD1F74" w:rsidRDefault="0075086D" w:rsidP="00BD1F74">
      <w:pPr>
        <w:bidi w:val="0"/>
        <w:spacing w:before="200" w:after="0" w:line="480" w:lineRule="auto"/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The MFI of CD200R on peripheral blood monocytes was evaluated in psoriasi</w:t>
      </w:r>
      <w:r w:rsidR="00FC22BC" w:rsidRPr="00BD1F7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s patients and healthy controls [2]. </w:t>
      </w:r>
    </w:p>
    <w:p w:rsidR="00FC22BC" w:rsidRPr="00BD1F74" w:rsidRDefault="00FC22BC" w:rsidP="00FC22BC">
      <w:pPr>
        <w:bidi w:val="0"/>
        <w:spacing w:before="200"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  <w:r w:rsidRPr="00BD1F74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  <w:lastRenderedPageBreak/>
        <w:t>References:</w:t>
      </w:r>
    </w:p>
    <w:p w:rsidR="00FC22BC" w:rsidRPr="00BD1F74" w:rsidRDefault="00FC22BC" w:rsidP="00BD1F74">
      <w:pPr>
        <w:pStyle w:val="EndNoteBibliography"/>
        <w:bidi w:val="0"/>
        <w:spacing w:before="200" w:after="0" w:line="480" w:lineRule="auto"/>
        <w:ind w:left="680" w:hanging="6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1- </w:t>
      </w:r>
      <w:r w:rsidRPr="00BD1F74">
        <w:rPr>
          <w:rFonts w:asciiTheme="majorBidi" w:hAnsiTheme="majorBidi" w:cstheme="majorBidi"/>
          <w:sz w:val="24"/>
          <w:szCs w:val="24"/>
        </w:rPr>
        <w:t>Wild D. The Immunoassay Handbook: Theory and Applications of Ligand Binding, ELISA and Related Techniques. 4</w:t>
      </w:r>
      <w:r w:rsidRPr="00BD1F74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Pr="00BD1F74">
        <w:rPr>
          <w:rFonts w:asciiTheme="majorBidi" w:hAnsiTheme="majorBidi" w:cstheme="majorBidi"/>
          <w:sz w:val="24"/>
          <w:szCs w:val="24"/>
        </w:rPr>
        <w:t xml:space="preserve"> ed. Amsterdam: Elsevier Science; 2013.</w:t>
      </w:r>
    </w:p>
    <w:p w:rsidR="00FC22BC" w:rsidRPr="00BD1F74" w:rsidRDefault="00FC22BC" w:rsidP="00BD1F74">
      <w:pPr>
        <w:pStyle w:val="EndNoteBibliography"/>
        <w:bidi w:val="0"/>
        <w:spacing w:before="200" w:after="0" w:line="480" w:lineRule="auto"/>
        <w:ind w:left="680" w:hanging="680"/>
        <w:jc w:val="both"/>
        <w:rPr>
          <w:rFonts w:asciiTheme="majorBidi" w:hAnsiTheme="majorBidi" w:cstheme="majorBidi"/>
          <w:sz w:val="24"/>
          <w:szCs w:val="24"/>
        </w:rPr>
      </w:pPr>
      <w:bookmarkStart w:id="0" w:name="_ENREF_256"/>
      <w:r w:rsidRPr="00BD1F74">
        <w:rPr>
          <w:rFonts w:asciiTheme="majorBidi" w:hAnsiTheme="majorBidi" w:cstheme="majorBidi"/>
          <w:sz w:val="24"/>
          <w:szCs w:val="24"/>
        </w:rPr>
        <w:t xml:space="preserve">2- </w:t>
      </w:r>
      <w:bookmarkStart w:id="1" w:name="_GoBack"/>
      <w:bookmarkEnd w:id="1"/>
      <w:r w:rsidRPr="00BD1F74">
        <w:rPr>
          <w:rFonts w:asciiTheme="majorBidi" w:hAnsiTheme="majorBidi" w:cstheme="majorBidi"/>
          <w:sz w:val="24"/>
          <w:szCs w:val="24"/>
        </w:rPr>
        <w:t>Givan AL. Flow Cytometry: First Principles. 2</w:t>
      </w:r>
      <w:r w:rsidRPr="00BD1F74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 w:rsidRPr="00BD1F74">
        <w:rPr>
          <w:rFonts w:asciiTheme="majorBidi" w:hAnsiTheme="majorBidi" w:cstheme="majorBidi"/>
          <w:sz w:val="24"/>
          <w:szCs w:val="24"/>
        </w:rPr>
        <w:t xml:space="preserve"> ed. Canada: Wiley-Liss; 2001.</w:t>
      </w:r>
      <w:bookmarkEnd w:id="0"/>
    </w:p>
    <w:p w:rsidR="00FC22BC" w:rsidRPr="00D855F9" w:rsidRDefault="00FC22BC" w:rsidP="00FC22BC">
      <w:pPr>
        <w:bidi w:val="0"/>
        <w:spacing w:before="200" w:after="0" w:line="360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</w:p>
    <w:p w:rsidR="0067015C" w:rsidRDefault="0067015C"/>
    <w:sectPr w:rsidR="0067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86D"/>
    <w:rsid w:val="00467465"/>
    <w:rsid w:val="0067015C"/>
    <w:rsid w:val="0075086D"/>
    <w:rsid w:val="00B46333"/>
    <w:rsid w:val="00BD1F74"/>
    <w:rsid w:val="00FC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86D"/>
    <w:pPr>
      <w:bidi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FC22BC"/>
    <w:pPr>
      <w:spacing w:line="240" w:lineRule="auto"/>
      <w:jc w:val="right"/>
    </w:pPr>
    <w:rPr>
      <w:rFonts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C22BC"/>
    <w:rPr>
      <w:rFonts w:ascii="Calibri" w:eastAsia="Times New Roman" w:hAnsi="Calibri" w:cs="Calibri"/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86D"/>
    <w:pPr>
      <w:bidi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FC22BC"/>
    <w:pPr>
      <w:spacing w:line="240" w:lineRule="auto"/>
      <w:jc w:val="right"/>
    </w:pPr>
    <w:rPr>
      <w:rFonts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FC22BC"/>
    <w:rPr>
      <w:rFonts w:ascii="Calibri" w:eastAsia="Times New Roman" w:hAnsi="Calibri" w:cs="Calibr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</dc:creator>
  <cp:lastModifiedBy>carmen</cp:lastModifiedBy>
  <cp:revision>6</cp:revision>
  <dcterms:created xsi:type="dcterms:W3CDTF">2019-08-31T11:21:00Z</dcterms:created>
  <dcterms:modified xsi:type="dcterms:W3CDTF">2019-08-31T11:24:00Z</dcterms:modified>
</cp:coreProperties>
</file>