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sz w:val="24"/>
          <w:sz w:val="24"/>
          <w:szCs w:val="24"/>
          <w:rFonts w:ascii="Liberation Serif" w:hAnsi="Liberation Serif" w:eastAsia="Tahoma" w:cs="Lohit Devanagari"/>
          <w:color w:val="00000A"/>
          <w:lang w:val="en-US" w:eastAsia="zh-CN" w:bidi="hi-IN"/>
        </w:rPr>
      </w:pPr>
      <w:r>
        <w:rPr/>
        <w:t>1. Medical CT scan of 30 elemental powders:</w:t>
      </w:r>
      <w:r/>
    </w:p>
    <w:p>
      <w:pPr>
        <w:pStyle w:val="Normal"/>
      </w:pPr>
      <w:r>
        <w:rPr/>
      </w:r>
      <w:r/>
    </w:p>
    <w:p>
      <w:pPr>
        <w:pStyle w:val="Normal"/>
      </w:pPr>
      <w:r>
        <w:rPr/>
        <w:t>We placed 33 samples in nominally identical 15 mL polyethylene bottles, including 31 powders, water, and air. Powders were chosen to represent the chemical elements in the first 20 atomic numbers. The empty bottle of air was used to determine the volume inside a bottle, and the voxels representing the plastic bottle were subtracted from measurements of all other bottles, which were segmented using a simple threshold.</w:t>
      </w:r>
      <w:r/>
    </w:p>
    <w:p>
      <w:pPr>
        <w:pStyle w:val="Normal"/>
      </w:pPr>
      <w:r>
        <w:rPr/>
      </w:r>
      <w:r/>
    </w:p>
    <w:p>
      <w:pPr>
        <w:pStyle w:val="Normal"/>
      </w:pPr>
      <w:r>
        <w:rPr/>
        <w:t xml:space="preserve"> </w:t>
      </w:r>
      <w:r>
        <w:rPr/>
        <w:t>The mass of each powder and the water was determined by weighing each bottle before and after the powder or water was placed in it.</w:t>
      </w:r>
      <w:r/>
    </w:p>
    <w:p>
      <w:pPr>
        <w:pStyle w:val="Normal"/>
      </w:pPr>
      <w:r>
        <w:rPr/>
      </w:r>
      <w:r/>
    </w:p>
    <w:p>
      <w:pPr>
        <w:pStyle w:val="Normal"/>
      </w:pPr>
      <w:r>
        <w:rPr/>
        <w:t>The samples were placed on a low density but rigid foam and imaged at 80 kV,100 kV, 120 kV, and 140 kV, using a Siemens SOMATOM CT at the Veterans’ Administration hospital in Baltimore, Maryland, USA. An axial scan was taken using the Syngo CT 2012B chest routine protocol. Other than the tube voltage, the same parameters were used for all four images, including the dimensions of the voxels (0.3125 mm x 0.3125 mm x 0.625 mm), the integrated tube current (100 mAs), the reconstruction algorithm, and the field of view.</w:t>
      </w:r>
      <w:r/>
    </w:p>
    <w:p>
      <w:pPr>
        <w:pStyle w:val="Normal"/>
      </w:pPr>
      <w:r>
        <w:rPr/>
      </w:r>
      <w:r/>
    </w:p>
    <w:p>
      <w:pPr>
        <w:pStyle w:val="Normal"/>
      </w:pPr>
      <w:r>
        <w:rPr/>
        <w:t>We formed a matrix giving the number of Hounsfield units per (mole per cubic meter) at each tube voltage for each of 13 chemical elements, by minimizing the residual of |CA - H|^2, where H is the matrix of Hounsfield units per (mole per cubic meter) of each of the 30 samples at each of the four tube voltages, and C is the matrix of number of atoms of the 13 elements in each sample. This gives us curves describing the variation in imaging intensity of each individual element over the tube voltages.</w:t>
      </w:r>
      <w:r/>
    </w:p>
    <w:p>
      <w:pPr>
        <w:pStyle w:val="Normal"/>
      </w:pPr>
      <w:r>
        <w:rPr/>
      </w:r>
      <w:r/>
    </w:p>
    <w:p>
      <w:pPr>
        <w:pStyle w:val="Normal"/>
      </w:pPr>
      <w:r>
        <w:rPr/>
        <w:t>2. Theoretical values</w:t>
      </w:r>
      <w:r/>
    </w:p>
    <w:p>
      <w:pPr>
        <w:pStyle w:val="Normal"/>
      </w:pPr>
      <w:r>
        <w:rPr/>
        <w:t>We then derived the same values theoretically. We took the XCOM cross sections, combined them with the tungsten anode spectral model using interpolating cubic splines (TASMICS), with a one-parameter filter, and a simple detector model, and created a similar matrix for the first 20 chemical elements.</w:t>
      </w:r>
      <w:r/>
    </w:p>
    <w:p>
      <w:pPr>
        <w:pStyle w:val="Normal"/>
      </w:pPr>
      <w:r>
        <w:rPr/>
      </w:r>
      <w:r/>
    </w:p>
    <w:p>
      <w:pPr>
        <w:pStyle w:val="Normal"/>
      </w:pPr>
      <w:r>
        <w:rPr/>
        <w:t>The theoretical curves were found using a single fitting parameter for the filter thickness in a 95% confidence interval.</w:t>
      </w:r>
      <w:r/>
    </w:p>
    <w:p>
      <w:pPr>
        <w:pStyle w:val="Normal"/>
      </w:pPr>
      <w:r>
        <w:rPr/>
      </w:r>
      <w:r/>
    </w:p>
    <w:p>
      <w:pPr>
        <w:pStyle w:val="Normal"/>
        <w:rPr>
          <w:sz w:val="24"/>
          <w:sz w:val="24"/>
          <w:szCs w:val="24"/>
          <w:rFonts w:ascii="Liberation Serif" w:hAnsi="Liberation Serif" w:eastAsia="Tahoma" w:cs="Lohit Devanagari"/>
          <w:color w:val="00000A"/>
          <w:lang w:val="en-US" w:eastAsia="zh-CN" w:bidi="hi-IN"/>
        </w:rPr>
      </w:pPr>
      <w:r>
        <w:rPr/>
        <w:t>3. Image Processing</w:t>
      </w:r>
      <w:r/>
    </w:p>
    <w:p>
      <w:pPr>
        <w:pStyle w:val="Normal"/>
      </w:pPr>
      <w:r>
        <w:rPr/>
        <w:t xml:space="preserve">The data was visually inspected to find the the first and last slices of each of the plastic bottles that were imaged.  Image slices for the empty bottles were segmented. A simple threshold of -800 </w:t>
      </w:r>
      <w:r>
        <w:rPr/>
        <w:t xml:space="preserve">HU </w:t>
      </w:r>
      <w:r>
        <w:rPr/>
        <w:t xml:space="preserve">was used to separate the bottle from air. Pixel intensities greater than -350 </w:t>
      </w:r>
      <w:r>
        <w:rPr/>
        <w:t xml:space="preserve">HU </w:t>
      </w:r>
      <w:r>
        <w:rPr/>
        <w:t xml:space="preserve">were assumed to represent the platform on which the bottles were placed. A threshold range of -810 </w:t>
      </w:r>
      <w:r>
        <w:rPr/>
        <w:t xml:space="preserve">HU </w:t>
      </w:r>
      <w:r>
        <w:rPr/>
        <w:t xml:space="preserve">to -790 </w:t>
      </w:r>
      <w:r>
        <w:rPr/>
        <w:t xml:space="preserve">HU </w:t>
      </w:r>
      <w:r>
        <w:rPr/>
        <w:t>was tested, with a difference in the average pixel intensity of the bottles about 2-3% across the range of threshold values at all kV levels. Clusters of pixels greater than -800 were collected. The clusters underwent an erosion to remove single noisy pixels,  small holes in the clusters were filled, and the largest cluster was selected to define the empty bottle. The number of pixels in the empty bottle was determined to define its volume and the average pixel intensity determined by these pixels was found. The remaining bottles were processed similarly, subtracting out the number of pixels that represented the empty bottle and the integrated pixel intensities that represented the plastic bottle pixel intensities.</w:t>
      </w:r>
      <w:r/>
    </w:p>
    <w:p>
      <w:pPr>
        <w:pStyle w:val="Normal"/>
        <w:rPr>
          <w:sz w:val="24"/>
          <w:sz w:val="24"/>
          <w:szCs w:val="24"/>
          <w:rFonts w:ascii="Liberation Serif" w:hAnsi="Liberation Serif" w:eastAsia="Tahoma" w:cs="Lohit Devanagari"/>
          <w:color w:val="00000A"/>
          <w:lang w:val="en-US" w:eastAsia="zh-CN" w:bidi="hi-IN"/>
        </w:rPr>
      </w:pPr>
      <w:r>
        <w:rPr>
          <w:rFonts w:eastAsia="Tahoma" w:cs="Lohit Devanagari"/>
          <w:color w:val="00000A"/>
          <w:sz w:val="24"/>
          <w:szCs w:val="24"/>
          <w:lang w:val="en-US" w:eastAsia="zh-CN" w:bidi="hi-IN"/>
        </w:rPr>
      </w:r>
      <w:r/>
    </w:p>
    <w:p>
      <w:pPr>
        <w:pStyle w:val="Normal"/>
      </w:pPr>
      <w:r>
        <w:rPr/>
        <w:t>4. Comparison of experimental and theoretical results</w:t>
      </w:r>
      <w:r/>
    </w:p>
    <w:p>
      <w:pPr>
        <w:pStyle w:val="Normal"/>
      </w:pPr>
      <w:r>
        <w:rPr/>
        <w:t>A Singular Value Decomposition (SVD) was applied to both the theoretical and the experimental values of the molar potency. The Bayesian information criterion was used to determine the number of significant singular values.</w:t>
      </w:r>
      <w:r/>
    </w:p>
    <w:p>
      <w:pPr>
        <w:pStyle w:val="Normal"/>
      </w:pPr>
      <w:r>
        <w:rPr/>
      </w:r>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Lohit Devanagari"/>
        <w:sz w:val="20"/>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Tahoma" w:cs="Lohit Devanagari"/>
      <w:color w:val="00000A"/>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Tahoma" w:cs="Lohit Devanagar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pPr>
      <w:suppressLineNumbers/>
      <w:spacing w:before="120" w:after="120"/>
    </w:pPr>
    <w:rPr>
      <w:rFonts w:cs="Lohit Devanagari"/>
      <w:i/>
      <w:iCs/>
      <w:sz w:val="24"/>
      <w:szCs w:val="24"/>
    </w:rPr>
  </w:style>
  <w:style w:type="paragraph" w:styleId="Index">
    <w:name w:val="Index"/>
    <w:basedOn w:val="Normal"/>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LibreOffice/4.3.7.2$Linux_X86_64 LibreOffice_project/430$Build-2</Application>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2018-08-24T09:31:03Z</dcterms:created>
  <dc:language>en-US</dc:language>
  <dcterms:modified xsi:type="dcterms:W3CDTF">2018-08-27T08:49:31Z</dcterms:modified>
  <cp:revision>16</cp:revision>
</cp:coreProperties>
</file>