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39D1A" w14:textId="6249C1D8" w:rsidR="00D72CAF" w:rsidRDefault="00DF660A" w:rsidP="00F2433D">
      <w:pPr>
        <w:pStyle w:val="Title"/>
      </w:pPr>
      <w:r>
        <w:rPr>
          <w:noProof/>
          <w:lang w:eastAsia="en-GB"/>
        </w:rPr>
        <w:drawing>
          <wp:inline distT="0" distB="0" distL="0" distR="0" wp14:anchorId="429E717B" wp14:editId="537458BE">
            <wp:extent cx="5219700" cy="1552575"/>
            <wp:effectExtent l="19050" t="0" r="0" b="0"/>
            <wp:docPr id="2" name="Picture 2" descr="accord(cmyk) 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ord(cmyk) tif"/>
                    <pic:cNvPicPr>
                      <a:picLocks noChangeAspect="1" noChangeArrowheads="1"/>
                    </pic:cNvPicPr>
                  </pic:nvPicPr>
                  <pic:blipFill>
                    <a:blip r:embed="rId11" cstate="print"/>
                    <a:srcRect/>
                    <a:stretch>
                      <a:fillRect/>
                    </a:stretch>
                  </pic:blipFill>
                  <pic:spPr bwMode="auto">
                    <a:xfrm>
                      <a:off x="0" y="0"/>
                      <a:ext cx="5219700" cy="1552575"/>
                    </a:xfrm>
                    <a:prstGeom prst="rect">
                      <a:avLst/>
                    </a:prstGeom>
                    <a:noFill/>
                    <a:ln w="9525">
                      <a:noFill/>
                      <a:miter lim="800000"/>
                      <a:headEnd/>
                      <a:tailEnd/>
                    </a:ln>
                  </pic:spPr>
                </pic:pic>
              </a:graphicData>
            </a:graphic>
          </wp:inline>
        </w:drawing>
      </w:r>
    </w:p>
    <w:p w14:paraId="069B8CC5" w14:textId="77777777" w:rsidR="00DF660A" w:rsidRPr="00DF660A" w:rsidRDefault="00DF660A" w:rsidP="00DF660A">
      <w:pPr>
        <w:pStyle w:val="Title"/>
        <w:tabs>
          <w:tab w:val="center" w:pos="4156"/>
          <w:tab w:val="left" w:pos="7000"/>
        </w:tabs>
        <w:jc w:val="center"/>
        <w:rPr>
          <w:b/>
          <w:sz w:val="32"/>
          <w:szCs w:val="32"/>
        </w:rPr>
      </w:pPr>
      <w:r w:rsidRPr="00DF660A">
        <w:rPr>
          <w:b/>
          <w:sz w:val="32"/>
          <w:szCs w:val="32"/>
        </w:rPr>
        <w:t>Study Protocol</w:t>
      </w:r>
    </w:p>
    <w:p w14:paraId="18740C6E" w14:textId="244AE6F5" w:rsidR="00DF660A" w:rsidRPr="00DF660A" w:rsidRDefault="00DF660A" w:rsidP="00DF660A">
      <w:pPr>
        <w:spacing w:before="240" w:after="120"/>
        <w:jc w:val="center"/>
        <w:rPr>
          <w:rFonts w:cs="Arial"/>
          <w:b/>
          <w:sz w:val="28"/>
          <w:szCs w:val="28"/>
        </w:rPr>
      </w:pPr>
      <w:r w:rsidRPr="00DF660A">
        <w:rPr>
          <w:rFonts w:cs="Arial"/>
          <w:b/>
          <w:sz w:val="28"/>
          <w:szCs w:val="28"/>
        </w:rPr>
        <w:t>Improving Diagnosis in Cognitive Disorders</w:t>
      </w:r>
    </w:p>
    <w:p w14:paraId="1D15A016" w14:textId="77777777" w:rsidR="00DF660A" w:rsidRPr="00F11D01" w:rsidRDefault="00DF660A" w:rsidP="00DF660A">
      <w:pPr>
        <w:spacing w:before="120" w:after="120"/>
        <w:jc w:val="center"/>
        <w:rPr>
          <w:rFonts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5360"/>
      </w:tblGrid>
      <w:tr w:rsidR="00DF660A" w:rsidRPr="003D5FCD" w14:paraId="52D175F2" w14:textId="77777777" w:rsidTr="00410B92">
        <w:tc>
          <w:tcPr>
            <w:tcW w:w="3168" w:type="dxa"/>
            <w:vAlign w:val="center"/>
          </w:tcPr>
          <w:p w14:paraId="61AB357F" w14:textId="77777777" w:rsidR="00DF660A" w:rsidRPr="003D5FCD" w:rsidRDefault="00DF660A" w:rsidP="00410B92">
            <w:pPr>
              <w:spacing w:before="120" w:after="120"/>
              <w:rPr>
                <w:rFonts w:cs="Arial"/>
                <w:sz w:val="20"/>
                <w:szCs w:val="20"/>
              </w:rPr>
            </w:pPr>
            <w:r>
              <w:rPr>
                <w:rFonts w:cs="Arial"/>
                <w:sz w:val="20"/>
                <w:szCs w:val="20"/>
              </w:rPr>
              <w:t>Co-s</w:t>
            </w:r>
            <w:r w:rsidRPr="003D5FCD">
              <w:rPr>
                <w:rFonts w:cs="Arial"/>
                <w:sz w:val="20"/>
                <w:szCs w:val="20"/>
              </w:rPr>
              <w:t>ponsor</w:t>
            </w:r>
            <w:r>
              <w:rPr>
                <w:rFonts w:cs="Arial"/>
                <w:sz w:val="20"/>
                <w:szCs w:val="20"/>
              </w:rPr>
              <w:t>s</w:t>
            </w:r>
          </w:p>
        </w:tc>
        <w:tc>
          <w:tcPr>
            <w:tcW w:w="5360" w:type="dxa"/>
            <w:vAlign w:val="center"/>
          </w:tcPr>
          <w:p w14:paraId="00302A3F" w14:textId="77777777" w:rsidR="00DF660A" w:rsidRPr="003D5FCD" w:rsidRDefault="00DF660A" w:rsidP="00410B92">
            <w:pPr>
              <w:spacing w:before="120" w:after="120"/>
              <w:rPr>
                <w:rFonts w:cs="Arial"/>
                <w:i/>
                <w:vanish/>
                <w:color w:val="7030A0"/>
                <w:sz w:val="20"/>
                <w:szCs w:val="20"/>
              </w:rPr>
            </w:pPr>
            <w:r>
              <w:rPr>
                <w:rFonts w:cs="Arial"/>
                <w:sz w:val="20"/>
                <w:szCs w:val="20"/>
              </w:rPr>
              <w:t>The University of Edinburgh &amp; Lothian Health Board</w:t>
            </w:r>
            <w:r>
              <w:rPr>
                <w:rFonts w:cs="Arial"/>
                <w:sz w:val="20"/>
                <w:szCs w:val="20"/>
              </w:rPr>
              <w:br/>
              <w:t>ACCORD</w:t>
            </w:r>
            <w:r>
              <w:rPr>
                <w:rFonts w:cs="Arial"/>
                <w:sz w:val="20"/>
                <w:szCs w:val="20"/>
              </w:rPr>
              <w:br/>
              <w:t>The Queen’s Medical Research Institute</w:t>
            </w:r>
            <w:r>
              <w:rPr>
                <w:rFonts w:cs="Arial"/>
                <w:sz w:val="20"/>
                <w:szCs w:val="20"/>
              </w:rPr>
              <w:br/>
              <w:t>47 Little France Crescent</w:t>
            </w:r>
            <w:r>
              <w:rPr>
                <w:rFonts w:cs="Arial"/>
                <w:sz w:val="20"/>
                <w:szCs w:val="20"/>
              </w:rPr>
              <w:br/>
              <w:t>Edinburgh</w:t>
            </w:r>
            <w:r>
              <w:rPr>
                <w:rFonts w:cs="Arial"/>
                <w:sz w:val="20"/>
                <w:szCs w:val="20"/>
              </w:rPr>
              <w:br/>
              <w:t>EH16 4TJ</w:t>
            </w:r>
          </w:p>
        </w:tc>
      </w:tr>
      <w:tr w:rsidR="00DF660A" w:rsidRPr="003D5FCD" w14:paraId="42B37B59" w14:textId="77777777" w:rsidTr="00410B92">
        <w:tc>
          <w:tcPr>
            <w:tcW w:w="3168" w:type="dxa"/>
            <w:vAlign w:val="center"/>
          </w:tcPr>
          <w:p w14:paraId="29C6C0B9" w14:textId="77777777" w:rsidR="00DF660A" w:rsidRPr="003D5FCD" w:rsidRDefault="00DF660A" w:rsidP="00410B92">
            <w:pPr>
              <w:spacing w:before="120" w:after="120"/>
              <w:rPr>
                <w:rFonts w:cs="Arial"/>
                <w:sz w:val="20"/>
                <w:szCs w:val="20"/>
              </w:rPr>
            </w:pPr>
            <w:r w:rsidRPr="003D5FCD">
              <w:rPr>
                <w:rFonts w:cs="Arial"/>
                <w:sz w:val="20"/>
                <w:szCs w:val="20"/>
              </w:rPr>
              <w:t>Chief Investigator</w:t>
            </w:r>
          </w:p>
        </w:tc>
        <w:tc>
          <w:tcPr>
            <w:tcW w:w="5360" w:type="dxa"/>
            <w:vAlign w:val="center"/>
          </w:tcPr>
          <w:p w14:paraId="48DC3393" w14:textId="0D2A423E" w:rsidR="00DF660A" w:rsidRPr="00BB30E0" w:rsidRDefault="0036703B" w:rsidP="00410B92">
            <w:pPr>
              <w:jc w:val="both"/>
              <w:rPr>
                <w:rFonts w:cs="Arial"/>
                <w:sz w:val="20"/>
                <w:szCs w:val="20"/>
                <w:highlight w:val="yellow"/>
              </w:rPr>
            </w:pPr>
            <w:r w:rsidRPr="00B11E24">
              <w:rPr>
                <w:rFonts w:cs="Arial"/>
                <w:sz w:val="20"/>
                <w:szCs w:val="20"/>
              </w:rPr>
              <w:t>Dr Laura McWhirter</w:t>
            </w:r>
          </w:p>
        </w:tc>
      </w:tr>
      <w:tr w:rsidR="00DF660A" w:rsidRPr="003D5FCD" w14:paraId="693C9884" w14:textId="77777777" w:rsidTr="00410B92">
        <w:tc>
          <w:tcPr>
            <w:tcW w:w="3168" w:type="dxa"/>
            <w:vAlign w:val="center"/>
          </w:tcPr>
          <w:p w14:paraId="7A8FE337" w14:textId="77777777" w:rsidR="00DF660A" w:rsidRPr="003D5FCD" w:rsidRDefault="00DF660A" w:rsidP="00410B92">
            <w:pPr>
              <w:spacing w:before="120" w:after="120"/>
              <w:rPr>
                <w:rFonts w:cs="Arial"/>
                <w:sz w:val="20"/>
                <w:szCs w:val="20"/>
              </w:rPr>
            </w:pPr>
            <w:r>
              <w:rPr>
                <w:rFonts w:cs="Arial"/>
                <w:sz w:val="20"/>
                <w:szCs w:val="20"/>
              </w:rPr>
              <w:t>Sponsor Reference</w:t>
            </w:r>
          </w:p>
        </w:tc>
        <w:tc>
          <w:tcPr>
            <w:tcW w:w="5360" w:type="dxa"/>
            <w:vAlign w:val="center"/>
          </w:tcPr>
          <w:p w14:paraId="7D0CA5AB" w14:textId="5DC1E103" w:rsidR="00DF660A" w:rsidRPr="00BB30E0" w:rsidRDefault="0036703B" w:rsidP="00410B92">
            <w:pPr>
              <w:jc w:val="both"/>
              <w:rPr>
                <w:rFonts w:cs="Arial"/>
                <w:sz w:val="20"/>
                <w:szCs w:val="20"/>
                <w:highlight w:val="yellow"/>
              </w:rPr>
            </w:pPr>
            <w:r w:rsidRPr="00B11E24">
              <w:rPr>
                <w:rFonts w:cs="Arial"/>
                <w:sz w:val="20"/>
                <w:szCs w:val="20"/>
              </w:rPr>
              <w:t>AC19002</w:t>
            </w:r>
          </w:p>
        </w:tc>
      </w:tr>
      <w:tr w:rsidR="00DF660A" w:rsidRPr="003D5FCD" w14:paraId="3D1DFB16" w14:textId="77777777" w:rsidTr="00410B92">
        <w:tc>
          <w:tcPr>
            <w:tcW w:w="3168" w:type="dxa"/>
            <w:vAlign w:val="center"/>
          </w:tcPr>
          <w:p w14:paraId="04BC6C17" w14:textId="77777777" w:rsidR="00DF660A" w:rsidRPr="003D5FCD" w:rsidRDefault="00DF660A" w:rsidP="00410B92">
            <w:pPr>
              <w:spacing w:before="120" w:after="120"/>
              <w:rPr>
                <w:rFonts w:cs="Arial"/>
                <w:sz w:val="20"/>
                <w:szCs w:val="20"/>
              </w:rPr>
            </w:pPr>
            <w:r w:rsidRPr="003D5FCD">
              <w:rPr>
                <w:rFonts w:cs="Arial"/>
                <w:sz w:val="20"/>
                <w:szCs w:val="20"/>
              </w:rPr>
              <w:t xml:space="preserve">REC </w:t>
            </w:r>
            <w:r>
              <w:rPr>
                <w:rFonts w:cs="Arial"/>
                <w:sz w:val="20"/>
                <w:szCs w:val="20"/>
              </w:rPr>
              <w:t>N</w:t>
            </w:r>
            <w:r w:rsidRPr="003D5FCD">
              <w:rPr>
                <w:rFonts w:cs="Arial"/>
                <w:sz w:val="20"/>
                <w:szCs w:val="20"/>
              </w:rPr>
              <w:t>umber</w:t>
            </w:r>
          </w:p>
        </w:tc>
        <w:tc>
          <w:tcPr>
            <w:tcW w:w="5360" w:type="dxa"/>
            <w:vAlign w:val="center"/>
          </w:tcPr>
          <w:p w14:paraId="4B8B613B" w14:textId="3B6AAB10" w:rsidR="00DF660A" w:rsidRPr="00BB30E0" w:rsidRDefault="00537894" w:rsidP="00410B92">
            <w:pPr>
              <w:jc w:val="both"/>
              <w:rPr>
                <w:rFonts w:cs="Arial"/>
                <w:sz w:val="20"/>
                <w:szCs w:val="20"/>
                <w:highlight w:val="yellow"/>
              </w:rPr>
            </w:pPr>
            <w:r w:rsidRPr="00537894">
              <w:rPr>
                <w:rFonts w:cs="Arial"/>
                <w:sz w:val="20"/>
                <w:szCs w:val="20"/>
              </w:rPr>
              <w:t>19/SS/0038</w:t>
            </w:r>
          </w:p>
        </w:tc>
      </w:tr>
      <w:tr w:rsidR="00DF660A" w:rsidRPr="003D5FCD" w14:paraId="3E928792" w14:textId="77777777" w:rsidTr="00410B92">
        <w:tc>
          <w:tcPr>
            <w:tcW w:w="3168" w:type="dxa"/>
            <w:vAlign w:val="center"/>
          </w:tcPr>
          <w:p w14:paraId="79D1DBF1" w14:textId="77777777" w:rsidR="00DF660A" w:rsidRPr="003D5FCD" w:rsidRDefault="00DF660A" w:rsidP="00410B92">
            <w:pPr>
              <w:spacing w:before="120" w:after="120"/>
              <w:rPr>
                <w:rFonts w:cs="Arial"/>
                <w:sz w:val="20"/>
                <w:szCs w:val="20"/>
              </w:rPr>
            </w:pPr>
            <w:r w:rsidRPr="003D5FCD">
              <w:rPr>
                <w:rFonts w:cs="Arial"/>
                <w:sz w:val="20"/>
                <w:szCs w:val="20"/>
              </w:rPr>
              <w:t xml:space="preserve">Version </w:t>
            </w:r>
            <w:r>
              <w:rPr>
                <w:rFonts w:cs="Arial"/>
                <w:sz w:val="20"/>
                <w:szCs w:val="20"/>
              </w:rPr>
              <w:t>N</w:t>
            </w:r>
            <w:r w:rsidRPr="003D5FCD">
              <w:rPr>
                <w:rFonts w:cs="Arial"/>
                <w:sz w:val="20"/>
                <w:szCs w:val="20"/>
              </w:rPr>
              <w:t xml:space="preserve">umber and </w:t>
            </w:r>
            <w:r>
              <w:rPr>
                <w:rFonts w:cs="Arial"/>
                <w:sz w:val="20"/>
                <w:szCs w:val="20"/>
              </w:rPr>
              <w:t>D</w:t>
            </w:r>
            <w:r w:rsidRPr="003D5FCD">
              <w:rPr>
                <w:rFonts w:cs="Arial"/>
                <w:sz w:val="20"/>
                <w:szCs w:val="20"/>
              </w:rPr>
              <w:t>ate</w:t>
            </w:r>
          </w:p>
        </w:tc>
        <w:tc>
          <w:tcPr>
            <w:tcW w:w="5360" w:type="dxa"/>
            <w:vAlign w:val="center"/>
          </w:tcPr>
          <w:p w14:paraId="02EFA4D1" w14:textId="6022AED0" w:rsidR="00DF660A" w:rsidRPr="00BB30E0" w:rsidRDefault="00537894" w:rsidP="009420BC">
            <w:pPr>
              <w:jc w:val="both"/>
              <w:rPr>
                <w:rFonts w:cs="Arial"/>
                <w:sz w:val="20"/>
                <w:szCs w:val="20"/>
              </w:rPr>
            </w:pPr>
            <w:r>
              <w:rPr>
                <w:rFonts w:cs="Arial"/>
                <w:sz w:val="20"/>
                <w:szCs w:val="20"/>
              </w:rPr>
              <w:t xml:space="preserve">IDCD protocol </w:t>
            </w:r>
            <w:r w:rsidR="009420BC">
              <w:rPr>
                <w:rFonts w:cs="Arial"/>
                <w:sz w:val="20"/>
                <w:szCs w:val="20"/>
              </w:rPr>
              <w:t>V</w:t>
            </w:r>
            <w:r>
              <w:rPr>
                <w:rFonts w:cs="Arial"/>
                <w:sz w:val="20"/>
                <w:szCs w:val="20"/>
              </w:rPr>
              <w:t>2</w:t>
            </w:r>
            <w:r w:rsidR="00410B92">
              <w:rPr>
                <w:rFonts w:cs="Arial"/>
                <w:sz w:val="20"/>
                <w:szCs w:val="20"/>
              </w:rPr>
              <w:t xml:space="preserve"> </w:t>
            </w:r>
            <w:r>
              <w:rPr>
                <w:rFonts w:cs="Arial"/>
                <w:sz w:val="20"/>
                <w:szCs w:val="20"/>
              </w:rPr>
              <w:t>26 March</w:t>
            </w:r>
            <w:r w:rsidR="00210085">
              <w:rPr>
                <w:rFonts w:cs="Arial"/>
                <w:sz w:val="20"/>
                <w:szCs w:val="20"/>
              </w:rPr>
              <w:t xml:space="preserve"> 20</w:t>
            </w:r>
            <w:r w:rsidR="00410B92">
              <w:rPr>
                <w:rFonts w:cs="Arial"/>
                <w:sz w:val="20"/>
                <w:szCs w:val="20"/>
              </w:rPr>
              <w:t>19</w:t>
            </w:r>
            <w:r w:rsidR="00DF660A">
              <w:rPr>
                <w:rFonts w:cs="Arial"/>
                <w:sz w:val="20"/>
                <w:szCs w:val="20"/>
              </w:rPr>
              <w:t xml:space="preserve"> </w:t>
            </w:r>
          </w:p>
        </w:tc>
      </w:tr>
      <w:tr w:rsidR="0036703B" w:rsidRPr="003D5FCD" w14:paraId="2FA2D8DA" w14:textId="77777777" w:rsidTr="00410B92">
        <w:tc>
          <w:tcPr>
            <w:tcW w:w="3168" w:type="dxa"/>
            <w:vAlign w:val="center"/>
          </w:tcPr>
          <w:p w14:paraId="27E22479" w14:textId="1AB1CE37" w:rsidR="0036703B" w:rsidRPr="003D5FCD" w:rsidRDefault="0036703B" w:rsidP="00410B92">
            <w:pPr>
              <w:spacing w:before="120" w:after="120"/>
              <w:rPr>
                <w:rFonts w:cs="Arial"/>
                <w:sz w:val="20"/>
                <w:szCs w:val="20"/>
              </w:rPr>
            </w:pPr>
            <w:r>
              <w:rPr>
                <w:rFonts w:cs="Arial"/>
                <w:sz w:val="20"/>
                <w:szCs w:val="20"/>
              </w:rPr>
              <w:t>Protocol authors</w:t>
            </w:r>
          </w:p>
        </w:tc>
        <w:tc>
          <w:tcPr>
            <w:tcW w:w="5360" w:type="dxa"/>
            <w:vAlign w:val="center"/>
          </w:tcPr>
          <w:p w14:paraId="299E0E99" w14:textId="0333ABE2" w:rsidR="0036703B" w:rsidRPr="00FD4790" w:rsidRDefault="00410B92" w:rsidP="00410B92">
            <w:pPr>
              <w:jc w:val="both"/>
              <w:rPr>
                <w:rFonts w:cs="Arial"/>
                <w:sz w:val="20"/>
                <w:szCs w:val="20"/>
                <w:highlight w:val="yellow"/>
              </w:rPr>
            </w:pPr>
            <w:r w:rsidRPr="00B11E24">
              <w:rPr>
                <w:rFonts w:cs="Arial"/>
                <w:sz w:val="20"/>
                <w:szCs w:val="20"/>
              </w:rPr>
              <w:t>Laura McWhirter</w:t>
            </w:r>
            <w:r w:rsidR="00B11E24">
              <w:rPr>
                <w:rFonts w:cs="Arial"/>
                <w:sz w:val="20"/>
                <w:szCs w:val="20"/>
              </w:rPr>
              <w:t>, Alan Carson, Jon Stone, Craig Ritchie</w:t>
            </w:r>
          </w:p>
        </w:tc>
      </w:tr>
    </w:tbl>
    <w:p w14:paraId="62C57AFB" w14:textId="77777777" w:rsidR="00107C15" w:rsidRDefault="00107C15" w:rsidP="00F2433D">
      <w:pPr>
        <w:pStyle w:val="Title"/>
      </w:pPr>
    </w:p>
    <w:p w14:paraId="4D0BCB7F" w14:textId="77777777" w:rsidR="00D72CAF" w:rsidRDefault="00D72CAF"/>
    <w:p w14:paraId="588A9895" w14:textId="77777777" w:rsidR="00026987" w:rsidRDefault="00026987">
      <w:pPr>
        <w:rPr>
          <w:rFonts w:asciiTheme="majorHAnsi" w:eastAsiaTheme="majorEastAsia" w:hAnsiTheme="majorHAnsi" w:cstheme="majorBidi"/>
          <w:color w:val="262626" w:themeColor="text1" w:themeTint="D9"/>
          <w:sz w:val="32"/>
          <w:szCs w:val="32"/>
        </w:rPr>
      </w:pPr>
      <w:r>
        <w:br w:type="page"/>
      </w:r>
    </w:p>
    <w:p w14:paraId="580C76FA" w14:textId="77777777" w:rsidR="00D72CAF" w:rsidRPr="009D5A8D" w:rsidRDefault="00D72CAF" w:rsidP="009D5A8D">
      <w:pPr>
        <w:pStyle w:val="Heading2"/>
      </w:pPr>
      <w:r w:rsidRPr="009D5A8D">
        <w:lastRenderedPageBreak/>
        <w:t>Background</w:t>
      </w:r>
    </w:p>
    <w:p w14:paraId="713D2F68" w14:textId="77777777" w:rsidR="005E40E3" w:rsidRPr="009D5A8D" w:rsidRDefault="005E40E3" w:rsidP="009D5A8D">
      <w:pPr>
        <w:rPr>
          <w:color w:val="000000" w:themeColor="text1"/>
        </w:rPr>
      </w:pPr>
      <w:r w:rsidRPr="009D5A8D">
        <w:rPr>
          <w:color w:val="000000" w:themeColor="text1"/>
        </w:rPr>
        <w:t xml:space="preserve">In recent years, increased prominence of dementia as a public health problem in media reports, alongside government and health service drives to diagnose dementia at earlier stages, has led to increasing numbers of people seeking medical help for memory problems. In a 2012 public survey, 66% of adults over 55 and indeed 61% of people aged 18-24 reported being worried about themselves or someone they know developing dementia; 70% of all those surveyed worried more about dementia than they did about heart </w:t>
      </w:r>
      <w:r w:rsidR="00B81874" w:rsidRPr="009D5A8D">
        <w:rPr>
          <w:color w:val="000000" w:themeColor="text1"/>
        </w:rPr>
        <w:t xml:space="preserve">disease, cancer, or stroke </w:t>
      </w:r>
      <w:r w:rsidR="00B81874" w:rsidRPr="009D5A8D">
        <w:rPr>
          <w:color w:val="000000" w:themeColor="text1"/>
        </w:rPr>
        <w:fldChar w:fldCharType="begin" w:fldLock="1"/>
      </w:r>
      <w:r w:rsidR="002471E2" w:rsidRPr="009D5A8D">
        <w:rPr>
          <w:color w:val="000000" w:themeColor="text1"/>
        </w:rPr>
        <w:instrText>ADDIN CSL_CITATION {"citationItems":[{"id":"ITEM-1","itemData":{"URL":"http://cdn.yougov.com/cumulus_uploads/document/xnbimbtb70/YG-Archives-AlzheimersSoc-DementiaAwarenessWeek-220512.pdf","author":[{"dropping-particle":"","family":"Yougov.uk","given":"Alzheimer's Society","non-dropping-particle":"","parse-names":false,"suffix":""}],"id":"ITEM-1","issued":{"date-parts":[["2012"]]},"title":"Are you worried about dementia?","type":"webpage"},"uris":["http://www.mendeley.com/documents/?uuid=861340af-46d9-47b5-942c-9b0ce93c6673"]}],"mendeley":{"formattedCitation":"(Yougov.uk, 2012)","plainTextFormattedCitation":"(Yougov.uk, 2012)","previouslyFormattedCitation":"(Yougov.uk, 2012)"},"properties":{"noteIndex":0},"schema":"https://github.com/citation-style-language/schema/raw/master/csl-citation.json"}</w:instrText>
      </w:r>
      <w:r w:rsidR="00B81874" w:rsidRPr="009D5A8D">
        <w:rPr>
          <w:color w:val="000000" w:themeColor="text1"/>
        </w:rPr>
        <w:fldChar w:fldCharType="separate"/>
      </w:r>
      <w:r w:rsidR="00B81874" w:rsidRPr="009D5A8D">
        <w:rPr>
          <w:noProof/>
          <w:color w:val="000000" w:themeColor="text1"/>
        </w:rPr>
        <w:t>(Yougov.uk, 2012)</w:t>
      </w:r>
      <w:r w:rsidR="00B81874" w:rsidRPr="009D5A8D">
        <w:rPr>
          <w:color w:val="000000" w:themeColor="text1"/>
        </w:rPr>
        <w:fldChar w:fldCharType="end"/>
      </w:r>
      <w:r w:rsidR="00B81874" w:rsidRPr="009D5A8D">
        <w:rPr>
          <w:color w:val="000000" w:themeColor="text1"/>
        </w:rPr>
        <w:t>.</w:t>
      </w:r>
    </w:p>
    <w:p w14:paraId="535099C6" w14:textId="77777777" w:rsidR="000C0852" w:rsidRPr="009D5A8D" w:rsidRDefault="000C0852" w:rsidP="009D5A8D">
      <w:pPr>
        <w:rPr>
          <w:color w:val="000000" w:themeColor="text1"/>
        </w:rPr>
      </w:pPr>
      <w:r w:rsidRPr="009D5A8D">
        <w:rPr>
          <w:color w:val="000000" w:themeColor="text1"/>
        </w:rPr>
        <w:t xml:space="preserve">A significant proportion – </w:t>
      </w:r>
      <w:r w:rsidR="002471E2" w:rsidRPr="009D5A8D">
        <w:rPr>
          <w:color w:val="000000" w:themeColor="text1"/>
        </w:rPr>
        <w:t xml:space="preserve">between 12% and 70%, but </w:t>
      </w:r>
      <w:r w:rsidR="00F642BE">
        <w:rPr>
          <w:color w:val="000000" w:themeColor="text1"/>
        </w:rPr>
        <w:t>generally</w:t>
      </w:r>
      <w:r w:rsidRPr="009D5A8D">
        <w:rPr>
          <w:color w:val="000000" w:themeColor="text1"/>
        </w:rPr>
        <w:t xml:space="preserve"> around 30% – of symptomatic patients attending memory clinics do not have dementia</w:t>
      </w:r>
      <w:r w:rsidR="00F642BE">
        <w:rPr>
          <w:color w:val="000000" w:themeColor="text1"/>
        </w:rPr>
        <w:t xml:space="preserve"> </w:t>
      </w:r>
      <w:r w:rsidR="00F642BE" w:rsidRPr="009D5A8D">
        <w:rPr>
          <w:color w:val="000000" w:themeColor="text1"/>
        </w:rPr>
        <w:fldChar w:fldCharType="begin" w:fldLock="1"/>
      </w:r>
      <w:r w:rsidR="00845EFE">
        <w:rPr>
          <w:color w:val="000000" w:themeColor="text1"/>
        </w:rPr>
        <w:instrText>ADDIN CSL_CITATION {"citationItems":[{"id":"ITEM-1","itemData":{"ISSN":"0885-6230","abstract":"Basic demographic and clinical features of the first 418 patients assessed at the Maudsley Memory Clinic are reported. Alzheimer's disease was the most frequent diagnosis (57%), followed by a group of patients complaining of memory problems but with no obvious neuropsychiatric diagnosis (24%). The latter were more likely to be younger unmarried self-referred women living alone and with a frequent family history of dementia. The routine use of extensive laboratory investigations in memory clinics is not recommended, considering the meagre number of subjects suffering from reversible conditions identified in our clinic. The Maudsley Memory Clinic has proved to be a popular centre for the assessment and diagnosis of patients with memory complaints and has provided a useful source of subjects for research into memory-associated disorders. The role of memory clinics in the new financial climate in the National Health Service remains to be determined.","author":[{"dropping-particle":"","family":"Almeida","given":"O P","non-dropping-particle":"","parse-names":false,"suffix":""},{"dropping-particle":"","family":"Hill","given":"K","non-dropping-particle":"","parse-names":false,"suffix":""},{"dropping-particle":"","family":"Howard","given":"R","non-dropping-particle":"","parse-names":false,"suffix":""},{"dropping-particle":"","family":"O'Brien","given":"J","non-dropping-particle":"","parse-names":false,"suffix":""}],"container-title":"International Journal of Geriatric Psychiatry","id":"ITEM-1","issue":"6","issued":{"date-parts":[["1993"]]},"note":"140918\n\nA retrospective study of 418 consecutive patients attending the Maudsley memory clinic in London between 1984 and 1991 found that 30% had a non-organic cause – 6% with mood or neurotic disorders and 24% ‘memory complainers, no diagnosis’.","page":"497-501","publisher":"John Wiley and Sons Ltd (Southern Gate, Chichester, West Sussex PO19 8SQ, United Kingdom)","publisher-place":"O.P. Almeida, Institute of Psychiatry, Section of Old Age Psychiatry, De Crespingny Park, Denmark Hill, London SE5 8AF, United Kingdom","title":"Demographic and clinical features of patients attending a memory clinic","type":"article-journal","volume":"8"},"uris":["http://www.mendeley.com/documents/?uuid=67c86ac9-d790-445b-8928-c34451aa6ffd"]},{"id":"ITEM-2","itemData":{"author":[{"dropping-particle":"","family":"Schmidtke","given":"K","non-dropping-particle":"","parse-names":false,"suffix":""},{"dropping-particle":"","family":"Pohlmann","given":"S","non-dropping-particle":"","parse-names":false,"suffix":""},{"dropping-particle":"","family":"Metternich","given":"B","non-dropping-particle":"","parse-names":false,"suffix":""}],"container-title":"The American Journal of Geriatric Psychiatry","id":"ITEM-2","issue":"12","issued":{"date-parts":[["2008"]]},"note":"191018\n\nOf 132 consecutive memory clinic patients with probable non-organic cognitive impairment, 59 were diagnosed with depression. Of the 73 non-depressed patients with memory symptoms and normal cognitive test results, diagnosed with 'functional memory disorder', 39 of 46 had persistent symptoms after a mean follow-up of 20.1 months; in 6 symptoms had resolved and 1 had early stage dementia at follow-up. Symptom severity correlated with somatic complaints and not with objective impairment.","page":"981-988","title":"The syndrome of functional memory disorder: definition, etiology, and natural course","type":"article-journal","volume":"16"},"uris":["http://www.mendeley.com/documents/?uuid=00159377-0e57-471e-90ca-0b491057a1fd"]},{"id":"ITEM-3","itemData":{"ISBN":"978-0521576710","author":[{"dropping-particle":"","family":"Berrios","given":"GE","non-dropping-particle":"","parse-names":false,"suffix":""},{"dropping-particle":"","family":"Hodges","given":"JR","non-dropping-particle":"","parse-names":false,"suffix":""}],"id":"ITEM-3","issued":{"date-parts":[["2000"]]},"publisher":"Cambridge University Press","publisher-place":"Cambridge","title":"Memory disorders in psychiatric practice","type":"book"},"uris":["http://www.mendeley.com/documents/?uuid=bda3bf02-b772-3743-bb1b-ca91b3775be3"]},{"id":"ITEM-4","itemData":{"DOI":"10.3233/JAD-150182","ISSN":"1875-8908","PMID":"26402086","abstract":"Patients frequently present to the memory clinic with self-reported cognitive symptoms that cannot be attributed to structural, toxic, or metabolic causes, and are out of keeping with their performance on neuropsychological assessment. This can be considered to be Functional (psychosomatic) Cognitive Disorder, which results in significant patient distress and often has a major impact on social functioning and employment. We performed a retrospective analysis of the Bristol ReMemBr group cognitive clinic database to ascertain the prevalence of Functional Cognitive Disorder, review the patient characteristics, and develop new guidelines for diagnosis and management. 196 patients were screened of whom 23 were diagnosed with Functional Cognitive Disorder; the oldest patient with this diagnosis was aged 60 years at symptom onset. When considering only those presenting below the age of 60 years (total no. held on database = 69), a third were diagnosed with Functional Cognitive Disorder. On neuropsychological testing, 47% had an atypical (invalid) pattern of results, or failed tests of performance validity. Of those with valid neuropsychological results, 80% scored in the normal range. Depression and anxiety were common but did not appear to be the primary cause of cognitive symptoms. Particular characteristics seen were excessively low self-rating of memory ability, and discrepancies between perceived and actual cognitive performance. The rate of unemployment was high, often due to the cognitive symptomatology. This is an important disorder to address, being common in working adults, and carrying a risk of misdiagnosis as early neurodegeneration, with subsequent inappropriate treatment and inclusion in clinical trials.","author":[{"dropping-particle":"","family":"Pennington","given":"Catherine","non-dropping-particle":"","parse-names":false,"suffix":""},{"dropping-particle":"","family":"Hayre","given":"Amrit","non-dropping-particle":"","parse-names":false,"suffix":""},{"dropping-particle":"","family":"Newson","given":"Margaret","non-dropping-particle":"","parse-names":false,"suffix":""},{"dropping-particle":"","family":"Coulthard","given":"Elizabeth","non-dropping-particle":"","parse-names":false,"suffix":""}],"container-title":"Journal of Alzheimer's disease : JAD","id":"ITEM-4","issue":"s1","issued":{"date-parts":[["2015","9","24"]]},"note":"101018\n\nOf 196 patients attending a cognitive disorders clinic, 23 (12%) were diagnosed with Functional Cognitive Disorder, the proportion increasing to 30% of those younger than 60. Characteristics of these patients, of whom 47% had invalid neuropsychological results or failed performance validity tests, included excessively low self-rated memory ability and discrepancy between perceived and actual performance. Most patients were noted to have 'clear external stressors'.\n\nPropose that FCD is distinct from, but can often co-exist with, other psychiatric conditions.","page":"S19-24","publisher":"IOS Press","title":"Functional Cognitive Disorder: A Common Cause of Subjective Cognitive Symptoms.","type":"article-journal","volume":"48 Suppl 1"},"uris":["http://www.mendeley.com/documents/?uuid=b5685931-c3d2-4ad7-abe1-80fc3d0d5249"]}],"mendeley":{"formattedCitation":"(Almeida, Hill, Howard, &amp; O’Brien, 1993; Berrios &amp; Hodges, 2000; Pennington, Hayre, Newson, &amp; Coulthard, 2015; Schmidtke, Pohlmann, &amp; Metternich, 2008)","plainTextFormattedCitation":"(Almeida, Hill, Howard, &amp; O’Brien, 1993; Berrios &amp; Hodges, 2000; Pennington, Hayre, Newson, &amp; Coulthard, 2015; Schmidtke, Pohlmann, &amp; Metternich, 2008)","previouslyFormattedCitation":"(Almeida, Hill, Howard, &amp; O’Brien, 1993; Berrios &amp; Hodges, 2000; Pennington, Hayre, Newson, &amp; Coulthard, 2015; Schmidtke, Pohlmann, &amp; Metternich, 2008)"},"properties":{"noteIndex":0},"schema":"https://github.com/citation-style-language/schema/raw/master/csl-citation.json"}</w:instrText>
      </w:r>
      <w:r w:rsidR="00F642BE" w:rsidRPr="009D5A8D">
        <w:rPr>
          <w:color w:val="000000" w:themeColor="text1"/>
        </w:rPr>
        <w:fldChar w:fldCharType="separate"/>
      </w:r>
      <w:r w:rsidR="00F642BE" w:rsidRPr="009D5A8D">
        <w:rPr>
          <w:noProof/>
          <w:color w:val="000000" w:themeColor="text1"/>
        </w:rPr>
        <w:t>(Almeida, Hill, Howard, &amp; O’Brien, 1993; Berrios &amp; Hodges, 2000; Pennington, Hayre, Newson, &amp; Coulthard, 2015; Schmidtke, Pohlmann, &amp; Metternich, 2008)</w:t>
      </w:r>
      <w:r w:rsidR="00F642BE" w:rsidRPr="009D5A8D">
        <w:rPr>
          <w:color w:val="000000" w:themeColor="text1"/>
        </w:rPr>
        <w:fldChar w:fldCharType="end"/>
      </w:r>
      <w:r w:rsidRPr="009D5A8D">
        <w:rPr>
          <w:color w:val="000000" w:themeColor="text1"/>
        </w:rPr>
        <w:t xml:space="preserve">. </w:t>
      </w:r>
      <w:r w:rsidR="005E40E3" w:rsidRPr="009D5A8D">
        <w:rPr>
          <w:color w:val="000000" w:themeColor="text1"/>
        </w:rPr>
        <w:t xml:space="preserve">Although a range of differential diagnoses may be considered for these patients who have cognitive symptoms without evidence of neurodegenerative disease (neurological illness, medical illness, impairment due to medication, and surgery), review of the literature suggests </w:t>
      </w:r>
      <w:r w:rsidR="00DF5821" w:rsidRPr="009D5A8D">
        <w:rPr>
          <w:color w:val="000000" w:themeColor="text1"/>
        </w:rPr>
        <w:t>a significant proportion</w:t>
      </w:r>
      <w:r w:rsidR="005E40E3" w:rsidRPr="009D5A8D">
        <w:rPr>
          <w:color w:val="000000" w:themeColor="text1"/>
        </w:rPr>
        <w:t xml:space="preserve"> have cognitive symptoms with a </w:t>
      </w:r>
      <w:r w:rsidR="00F642BE">
        <w:rPr>
          <w:color w:val="000000" w:themeColor="text1"/>
        </w:rPr>
        <w:t>functional (</w:t>
      </w:r>
      <w:r w:rsidR="005E40E3" w:rsidRPr="009D5A8D">
        <w:rPr>
          <w:color w:val="000000" w:themeColor="text1"/>
        </w:rPr>
        <w:t>psychogenic</w:t>
      </w:r>
      <w:r w:rsidR="00F642BE">
        <w:rPr>
          <w:color w:val="000000" w:themeColor="text1"/>
        </w:rPr>
        <w:t>)</w:t>
      </w:r>
      <w:r w:rsidR="005E40E3" w:rsidRPr="009D5A8D">
        <w:rPr>
          <w:color w:val="000000" w:themeColor="text1"/>
        </w:rPr>
        <w:t xml:space="preserve"> basis.</w:t>
      </w:r>
      <w:r w:rsidR="00F642BE">
        <w:rPr>
          <w:color w:val="000000" w:themeColor="text1"/>
        </w:rPr>
        <w:t xml:space="preserve"> Furthermore, s</w:t>
      </w:r>
      <w:r w:rsidRPr="009D5A8D">
        <w:rPr>
          <w:color w:val="000000" w:themeColor="text1"/>
        </w:rPr>
        <w:t xml:space="preserve">tudies from </w:t>
      </w:r>
      <w:r w:rsidR="002471E2" w:rsidRPr="009D5A8D">
        <w:rPr>
          <w:color w:val="000000" w:themeColor="text1"/>
        </w:rPr>
        <w:t xml:space="preserve">UK </w:t>
      </w:r>
      <w:r w:rsidRPr="009D5A8D">
        <w:rPr>
          <w:color w:val="000000" w:themeColor="text1"/>
        </w:rPr>
        <w:t xml:space="preserve">memory clinics seem to confirm our clinical experience that the proportion of patients presenting with non-organic memory complaints is increasing. </w:t>
      </w:r>
      <w:r w:rsidR="002471E2" w:rsidRPr="009D5A8D">
        <w:rPr>
          <w:color w:val="000000" w:themeColor="text1"/>
        </w:rPr>
        <w:t>In Liverpool</w:t>
      </w:r>
      <w:r w:rsidRPr="009D5A8D">
        <w:rPr>
          <w:color w:val="000000" w:themeColor="text1"/>
        </w:rPr>
        <w:t xml:space="preserve"> the proportion increased from 50.8% between 2002-4 to 67.1% in 2008-2009 and 70.2% b</w:t>
      </w:r>
      <w:r w:rsidR="00074C3A" w:rsidRPr="009D5A8D">
        <w:rPr>
          <w:color w:val="000000" w:themeColor="text1"/>
        </w:rPr>
        <w:t xml:space="preserve">etween 2009-10 </w:t>
      </w:r>
      <w:r w:rsidR="00074C3A" w:rsidRPr="009D5A8D">
        <w:rPr>
          <w:color w:val="000000" w:themeColor="text1"/>
        </w:rPr>
        <w:fldChar w:fldCharType="begin" w:fldLock="1"/>
      </w:r>
      <w:r w:rsidR="00BC5393" w:rsidRPr="009D5A8D">
        <w:rPr>
          <w:color w:val="000000" w:themeColor="text1"/>
        </w:rPr>
        <w:instrText>ADDIN CSL_CITATION {"citationItems":[{"id":"ITEM-1","itemData":{"author":[{"dropping-particle":"","family":"Hussey","given":"Deirdre","non-dropping-particle":"","parse-names":false,"suffix":""},{"dropping-particle":"","family":"Foy","given":"Kevin","non-dropping-particle":"","parse-names":false,"suffix":""},{"dropping-particle":"","family":"Meehan","given":"Karena","non-dropping-particle":"","parse-names":false,"suffix":""}],"container-title":"The Psychiatrist","id":"ITEM-1","issue":"4","issued":{"date-parts":[["2009"]]},"title":"Quality of dementia referrals to a later life psychiatry service","type":"article-journal","volume":"33"},"uris":["http://www.mendeley.com/documents/?uuid=a9105d97-22c3-34c8-9d68-2f571c04143e"]},{"id":"ITEM-2","itemData":{"DOI":"10.1093/fampra/cmq100","ISSN":"1460-2229","PMID":"21115987","abstract":"BACKGROUND: Publication of national dementia directives, namely the National Institute for Health and Clinical Excellence/Social Care Institute for Excellence (NICE/SCIE) guidelines (2006) and the National Dementia Strategy (NDS; 2009), has aimed to improve dementia awareness, diagnosis and management in all sectors of the health service. AIM: To measure the frequency of cognitive screening instrument use reported in referrals from primary care to a dedicated secondary care Cognitive Function Clinic (CFC) over the period encompassing the launch of NICE/SCIE guidance and NDS, in comparison with cohorts seen before these directives were issued. The design of study is prospective. The setting of the study is CFC, Regional Neuroscience Centre. METHOD: Over a 2 year period (February 2008 to February 2010), referral letters for patients referred from primary care to CFC (n = 306) were examined for mention of cognitive screening instrument use. Patients were evaluated in CFC with standard clinical, neuropsychological and neuroimaging methods and diagnoses were made following widely accepted diagnostic criteria for dementia and dementia subtypes. RESULTS: There was an increase in the number of GP referrals over the study period compared to a prior cohort but the proportion of dementia diagnoses fell and the frequency of cognitive screening instrument use was unchanged. CONCLUSIONS: Increased numbers of referrals would be consistent with an awareness raising effect of NICE/SCIE and NDS and a willingness among GPs to refer cases. But the falling proportion of dementia diagnoses suggests that these are 'worried well' individuals. There is no evidence for closure of the dementia 'diagnosis gap'.","author":[{"dropping-particle":"","family":"Menon","given":"R","non-dropping-particle":"","parse-names":false,"suffix":""},{"dropping-particle":"","family":"Larner","given":"A J","non-dropping-particle":"","parse-names":false,"suffix":""}],"container-title":"Family practice","id":"ITEM-2","issue":"3","issued":{"date-parts":[["2011","6"]]},"page":"272-6","title":"Use of cognitive screening instruments in primary care: the impact of national dementia directives (NICE/SCIE, National Dementia Strategy).","type":"article-journal","volume":"28"},"uris":["http://www.mendeley.com/documents/?uuid=cb53cc8e-9417-4b87-a8cc-a84fd3adadba"]}],"mendeley":{"formattedCitation":"(Hussey, Foy, &amp; Meehan, 2009; Menon &amp; Larner, 2011)","plainTextFormattedCitation":"(Hussey, Foy, &amp; Meehan, 2009; Menon &amp; Larner, 2011)","previouslyFormattedCitation":"(Hussey, Foy, &amp; Meehan, 2009; Menon &amp; Larner, 2011)"},"properties":{"noteIndex":0},"schema":"https://github.com/citation-style-language/schema/raw/master/csl-citation.json"}</w:instrText>
      </w:r>
      <w:r w:rsidR="00074C3A" w:rsidRPr="009D5A8D">
        <w:rPr>
          <w:color w:val="000000" w:themeColor="text1"/>
        </w:rPr>
        <w:fldChar w:fldCharType="separate"/>
      </w:r>
      <w:r w:rsidR="00074C3A" w:rsidRPr="009D5A8D">
        <w:rPr>
          <w:noProof/>
          <w:color w:val="000000" w:themeColor="text1"/>
        </w:rPr>
        <w:t>(Hussey, Foy, &amp; Meehan, 2009; Menon &amp; Larner, 2011)</w:t>
      </w:r>
      <w:r w:rsidR="00074C3A" w:rsidRPr="009D5A8D">
        <w:rPr>
          <w:color w:val="000000" w:themeColor="text1"/>
        </w:rPr>
        <w:fldChar w:fldCharType="end"/>
      </w:r>
      <w:r w:rsidR="00074C3A" w:rsidRPr="009D5A8D">
        <w:rPr>
          <w:color w:val="000000" w:themeColor="text1"/>
        </w:rPr>
        <w:t>.</w:t>
      </w:r>
      <w:r w:rsidRPr="009D5A8D">
        <w:rPr>
          <w:color w:val="000000" w:themeColor="text1"/>
        </w:rPr>
        <w:t xml:space="preserve"> </w:t>
      </w:r>
      <w:r w:rsidR="009D5A8D">
        <w:rPr>
          <w:color w:val="000000" w:themeColor="text1"/>
        </w:rPr>
        <w:t>In</w:t>
      </w:r>
      <w:r w:rsidRPr="009D5A8D">
        <w:rPr>
          <w:color w:val="000000" w:themeColor="text1"/>
        </w:rPr>
        <w:t xml:space="preserve"> Sheffield, the proportion of patients attending who did not fulfil criteria for any organic memory problem increased from 35% of all attendees in 200</w:t>
      </w:r>
      <w:r w:rsidR="00BC5393" w:rsidRPr="009D5A8D">
        <w:rPr>
          <w:color w:val="000000" w:themeColor="text1"/>
        </w:rPr>
        <w:t xml:space="preserve">4 and 2006 to 55% in 2012 </w:t>
      </w:r>
      <w:r w:rsidR="00BC5393" w:rsidRPr="009D5A8D">
        <w:rPr>
          <w:color w:val="000000" w:themeColor="text1"/>
        </w:rPr>
        <w:fldChar w:fldCharType="begin" w:fldLock="1"/>
      </w:r>
      <w:r w:rsidR="000F732F" w:rsidRPr="009D5A8D">
        <w:rPr>
          <w:color w:val="000000" w:themeColor="text1"/>
        </w:rPr>
        <w:instrText>ADDIN CSL_CITATION {"citationItems":[{"id":"ITEM-1","itemData":{"DOI":"http://dx.doi.org/10.1136/jnnp-2014-309236.28","ISSN":"0022-3050","abstract":"The 2009 Dementia strategy promoted a 'memory clinic in every town'. We investigated the patient mix seen in a neurology-led memory clinic. 1. Retrospective review (2004, 2006, 2012) attendees to memory clinic. 2. Prospective review memory clinic from October 2012-Dec 2013. 3. Survey to neurologists in Specialist Interest Group in Cognition (ABN). 4. Survey of local GPs. Results 1. Percentage of attendees with benign memory complaints increased from 30% &amp; 32% in 2004 and 2006 to 55% in 2012. 2. Oct 2012-Dec 2013 &gt;50% attendees do not have dementia or MCI. 3. 9 responders: A mean of 27% of attendees of neurology-led memory clinics in the UK have 'benign memory complaints'. The following terms were used: * Attentional amnestic disorder, * Attentional cognitive complaints, * Worried well, * Subjective memory complaints, * Subjective memory impairment, * Normal cognitive ageing, * Hypocondrial, * 'Stress related.' 4. GPs used; 'worried well', 'benign senescent forgetfulness', 'Possible dementia', 'mild neurocognitive disorder' and 'late life forgetfulness' &amp; treated with antidepressants but also referred to psychology or memory clinic. People attending memory clinic frequently do not have dementia and currently there is no consensus for diagnostic label or treatment.","author":[{"dropping-particle":"","family":"Blackburn","given":"D","non-dropping-particle":"","parse-names":false,"suffix":""},{"dropping-particle":"","family":"Wakefield","given":"S","non-dropping-particle":"","parse-names":false,"suffix":""},{"dropping-particle":"","family":"Bell","given":"S","non-dropping-particle":"","parse-names":false,"suffix":""},{"dropping-particle":"","family":"Harkness","given":"K","non-dropping-particle":"","parse-names":false,"suffix":""},{"dropping-particle":"","family":"Venneri","given":"A","non-dropping-particle":"","parse-names":false,"suffix":""},{"dropping-particle":"","family":"Reuber","given":"M","non-dropping-particle":"","parse-names":false,"suffix":""}],"collection-title":"Association of British Neurologists, ABN 2014. Cardiff United Kingdom.,(var.pagings).","container-title":"Journal of Neurology, Neurosurgery and Psychiatry","id":"ITEM-1","issue":"10","issued":{"date-parts":[["2014"]]},"page":"A8","publisher":"BMJ Publishing Group","publisher-place":"D. Blackburn, Sheffield Teaching Hospitals NHS Foundation Trust, United Kingdom","title":"Functional memory disorder; review from a memory clinic","type":"article-journal","volume":"85"},"uris":["http://www.mendeley.com/documents/?uuid=dfc8a869-9ea8-4f12-97c0-d40d63159cdb"]},{"id":"ITEM-2","itemData":{"ISSN":"1756-1833","PMID":"24018000","abstract":"This provocative and thoughtful article has stimulated a variety of responses. These include the necessary distinction between awareness campaigns and proactive screening for cognitive decline, and the investigation of those who sense or whose relatives notice some progressive change in cognitive ability. The thorough assessment of the latter would still seem an appropriate role for ‘memory services’, however constituted. Increased public awareness has already influenced referral to memory clinics however. Some objective support for this comes from a retrospective review of patients attending our working age neurology-led memory clinic. The percentage of people with an organic dementia decreased from 65% in 2004 &amp; 2006 to 45% in 2012. Since then we have also reviewed all new clinic referrals clinic over a 10 month period and the pattern was maintained, with only 45% of patients fulfilling criteria for an organic memory problem. A similar change in referral profile has been seen elsewhere in the UK 1. As Le Couteur et al. claim, people with memory complaints can all too easily be diagnosed with a prodrome of dementia such as subjective memory decline. We agree that this type of label is not likely to be useful but argue that patients with non progressive memory complaints are distressed and their symptoms are often chronic. There is some evidence of chronicity from a study of people with Functional Memory Disorder (defined as 1. Acquired memory impairment that significantly affects their professional and/or private life. 2. Neuropsychological tests are within 1.5 standard deviations of age-corrected normative data. 3. Absence of a recognizable organic cause of cognitive impairment or major psychiatric disease. 4. Aged &gt;70) which reported remission in only a handful of cases 2. Depression and anxiety are very common in our clinic and a multidisciplinary approach and staff establishment in the memory clinic would be the ideal way of meeting these patients’ needs. The other salient change in the memory clinic referral profile is the presentation of many more patients with early stage Alzheimer’s disease. These present the greatest difficulty in accurate diagnosis and management and highlight the need for more accurate and better assessment instruments which should be validated for this population. Desirable changes in primary and secondary care are improved pathways for the assessment and management of these patients with early cognitive decline as well as …","author":[{"dropping-particle":"","family":"Couteur","given":"David G","non-dropping-particle":"Le","parse-names":false,"suffix":""},{"dropping-particle":"","family":"Doust","given":"Jenny","non-dropping-particle":"","parse-names":false,"suffix":""},{"dropping-particle":"","family":"Creasey","given":"Helen","non-dropping-particle":"","parse-names":false,"suffix":""},{"dropping-particle":"","family":"Brayne","given":"Carol","non-dropping-particle":"","parse-names":false,"suffix":""},{"dropping-particle":"","family":"Blackburn","given":"Daniel J","non-dropping-particle":"","parse-names":false,"suffix":""},{"dropping-particle":"","family":"Shanks","given":"Michael F","non-dropping-particle":"","parse-names":false,"suffix":""},{"dropping-particle":"","family":"Harkness","given":"Kirsty A","non-dropping-particle":"","parse-names":false,"suffix":""},{"dropping-particle":"","family":"Reuber","given":"Markus","non-dropping-particle":"","parse-names":false,"suffix":""},{"dropping-particle":"","family":"Venneri","given":"Annalena","non-dropping-particle":"","parse-names":false,"suffix":""}],"container-title":"British Medical Journal","id":"ITEM-2","issue":"347","issued":{"date-parts":[["2013","1"]]},"page":"f5125","title":"Re: Political drive to screen for pre-dementia: not evidence based and ignores the harms of diagnosis","type":"article-journal","volume":"347"},"uris":["http://www.mendeley.com/documents/?uuid=3ca96de5-a6a2-4425-8ff0-4442ac9b88e6"]}],"mendeley":{"formattedCitation":"(Blackburn et al., 2014; Le Couteur et al., 2013)","plainTextFormattedCitation":"(Blackburn et al., 2014; Le Couteur et al., 2013)","previouslyFormattedCitation":"(Blackburn et al., 2014; Le Couteur et al., 2013)"},"properties":{"noteIndex":0},"schema":"https://github.com/citation-style-language/schema/raw/master/csl-citation.json"}</w:instrText>
      </w:r>
      <w:r w:rsidR="00BC5393" w:rsidRPr="009D5A8D">
        <w:rPr>
          <w:color w:val="000000" w:themeColor="text1"/>
        </w:rPr>
        <w:fldChar w:fldCharType="separate"/>
      </w:r>
      <w:r w:rsidR="00BC5393" w:rsidRPr="009D5A8D">
        <w:rPr>
          <w:noProof/>
          <w:color w:val="000000" w:themeColor="text1"/>
        </w:rPr>
        <w:t>(Blackburn et al., 2014; Le Couteur et al., 2013)</w:t>
      </w:r>
      <w:r w:rsidR="00BC5393" w:rsidRPr="009D5A8D">
        <w:rPr>
          <w:color w:val="000000" w:themeColor="text1"/>
        </w:rPr>
        <w:fldChar w:fldCharType="end"/>
      </w:r>
      <w:r w:rsidR="00BC5393" w:rsidRPr="009D5A8D">
        <w:rPr>
          <w:color w:val="000000" w:themeColor="text1"/>
        </w:rPr>
        <w:t>.</w:t>
      </w:r>
    </w:p>
    <w:p w14:paraId="56281779" w14:textId="77777777" w:rsidR="005E40E3" w:rsidRPr="009D5A8D" w:rsidRDefault="005E40E3" w:rsidP="009D5A8D">
      <w:pPr>
        <w:rPr>
          <w:color w:val="000000" w:themeColor="text1"/>
        </w:rPr>
      </w:pPr>
      <w:r w:rsidRPr="009D5A8D">
        <w:rPr>
          <w:color w:val="000000" w:themeColor="text1"/>
        </w:rPr>
        <w:t xml:space="preserve">The scientific literature on cognitive symptoms </w:t>
      </w:r>
      <w:r w:rsidR="00DA23F3" w:rsidRPr="009D5A8D">
        <w:rPr>
          <w:color w:val="000000" w:themeColor="text1"/>
        </w:rPr>
        <w:t>not due to</w:t>
      </w:r>
      <w:r w:rsidR="00E129B8" w:rsidRPr="009D5A8D">
        <w:rPr>
          <w:color w:val="000000" w:themeColor="text1"/>
        </w:rPr>
        <w:t xml:space="preserve"> neurodegenerative disease </w:t>
      </w:r>
      <w:r w:rsidR="002D4749" w:rsidRPr="009D5A8D">
        <w:rPr>
          <w:color w:val="000000" w:themeColor="text1"/>
        </w:rPr>
        <w:t>is</w:t>
      </w:r>
      <w:r w:rsidR="00E129B8" w:rsidRPr="009D5A8D">
        <w:rPr>
          <w:color w:val="000000" w:themeColor="text1"/>
        </w:rPr>
        <w:t xml:space="preserve"> a tangled landscape of overlapping terminology</w:t>
      </w:r>
      <w:r w:rsidR="00B81874" w:rsidRPr="009D5A8D">
        <w:rPr>
          <w:color w:val="000000" w:themeColor="text1"/>
        </w:rPr>
        <w:t xml:space="preserve">. </w:t>
      </w:r>
      <w:r w:rsidR="00E129B8" w:rsidRPr="009D5A8D">
        <w:rPr>
          <w:color w:val="000000" w:themeColor="text1"/>
        </w:rPr>
        <w:t>Early 20</w:t>
      </w:r>
      <w:r w:rsidR="00E129B8" w:rsidRPr="009D5A8D">
        <w:rPr>
          <w:color w:val="000000" w:themeColor="text1"/>
          <w:vertAlign w:val="superscript"/>
        </w:rPr>
        <w:t>th</w:t>
      </w:r>
      <w:r w:rsidR="00E129B8" w:rsidRPr="009D5A8D">
        <w:rPr>
          <w:color w:val="000000" w:themeColor="text1"/>
        </w:rPr>
        <w:t xml:space="preserve"> century physicians used the term</w:t>
      </w:r>
      <w:r w:rsidR="00D91AA4" w:rsidRPr="009D5A8D">
        <w:rPr>
          <w:color w:val="000000" w:themeColor="text1"/>
        </w:rPr>
        <w:t xml:space="preserve"> ‘</w:t>
      </w:r>
      <w:proofErr w:type="spellStart"/>
      <w:r w:rsidR="00D91AA4" w:rsidRPr="009D5A8D">
        <w:rPr>
          <w:color w:val="000000" w:themeColor="text1"/>
        </w:rPr>
        <w:t>pseudodementia</w:t>
      </w:r>
      <w:proofErr w:type="spellEnd"/>
      <w:r w:rsidR="00D91AA4" w:rsidRPr="009D5A8D">
        <w:rPr>
          <w:color w:val="000000" w:themeColor="text1"/>
        </w:rPr>
        <w:t>’ to describe clinical syndromes with the appearance of dementia but rather caused by depression, conversion disorders (hysteria),</w:t>
      </w:r>
      <w:r w:rsidR="00E129B8" w:rsidRPr="009D5A8D">
        <w:rPr>
          <w:color w:val="000000" w:themeColor="text1"/>
        </w:rPr>
        <w:t xml:space="preserve"> dissociative states</w:t>
      </w:r>
      <w:r w:rsidR="002D4749" w:rsidRPr="009D5A8D">
        <w:rPr>
          <w:color w:val="000000" w:themeColor="text1"/>
        </w:rPr>
        <w:t xml:space="preserve"> (also described amongst</w:t>
      </w:r>
      <w:r w:rsidR="00B81874" w:rsidRPr="009D5A8D">
        <w:rPr>
          <w:color w:val="000000" w:themeColor="text1"/>
        </w:rPr>
        <w:t xml:space="preserve"> ‘</w:t>
      </w:r>
      <w:proofErr w:type="spellStart"/>
      <w:r w:rsidR="00B81874" w:rsidRPr="009D5A8D">
        <w:rPr>
          <w:color w:val="000000" w:themeColor="text1"/>
        </w:rPr>
        <w:t>Ganser</w:t>
      </w:r>
      <w:proofErr w:type="spellEnd"/>
      <w:r w:rsidR="00B81874" w:rsidRPr="009D5A8D">
        <w:rPr>
          <w:color w:val="000000" w:themeColor="text1"/>
        </w:rPr>
        <w:t xml:space="preserve"> states’</w:t>
      </w:r>
      <w:r w:rsidR="002D4749" w:rsidRPr="009D5A8D">
        <w:rPr>
          <w:color w:val="000000" w:themeColor="text1"/>
        </w:rPr>
        <w:t>)</w:t>
      </w:r>
      <w:r w:rsidR="00E129B8" w:rsidRPr="009D5A8D">
        <w:rPr>
          <w:color w:val="000000" w:themeColor="text1"/>
        </w:rPr>
        <w:t>, or</w:t>
      </w:r>
      <w:r w:rsidR="00D91AA4" w:rsidRPr="009D5A8D">
        <w:rPr>
          <w:color w:val="000000" w:themeColor="text1"/>
        </w:rPr>
        <w:t xml:space="preserve"> disordered personality</w:t>
      </w:r>
      <w:r w:rsidR="00E129B8" w:rsidRPr="009D5A8D">
        <w:rPr>
          <w:color w:val="000000" w:themeColor="text1"/>
        </w:rPr>
        <w:t xml:space="preserve"> </w:t>
      </w:r>
      <w:r w:rsidR="00E129B8" w:rsidRPr="009D5A8D">
        <w:rPr>
          <w:color w:val="000000" w:themeColor="text1"/>
        </w:rPr>
        <w:fldChar w:fldCharType="begin" w:fldLock="1"/>
      </w:r>
      <w:r w:rsidR="00B81874" w:rsidRPr="009D5A8D">
        <w:rPr>
          <w:color w:val="000000" w:themeColor="text1"/>
        </w:rPr>
        <w:instrText>ADDIN CSL_CITATION {"citationItems":[{"id":"ITEM-1","itemData":{"author":[{"dropping-particle":"","family":"Bleuler","given":"Eugene","non-dropping-particle":"","parse-names":false,"suffix":""}],"edition":"2","id":"ITEM-1","issued":{"date-parts":[["1934"]]},"publisher":"MacMillan","publisher-place":"New York","title":"Textbook of Psychiatry","translator":[{"dropping-particle":"","family":"Brill","given":"A A","non-dropping-particle":"","parse-names":false,"suffix":""}],"type":"book"},"uris":["http://www.mendeley.com/documents/?uuid=6496c709-6606-4ae4-8c4b-530a9367bbf7"]},{"id":"ITEM-2","itemData":{"DOI":"10.1111/j.1600-0447.1961.tb07367.x","author":[{"dropping-particle":"","family":"Kiloh","given":"L G","non-dropping-particle":"","parse-names":false,"suffix":""}],"container-title":"Acta Psychiatrica Scandinavica","id":"ITEM-2","issue":"4","issued":{"date-parts":[["1961","12"]]},"note":"read 170818\n\nThose in whom picture of dementia is closely mimicked.\n\nSometimes equated with Ganser state, but 'there is little justification for limiting its use in this way'; may be difficult to differentiate from schizophrenia; akin to catatonic negativism.\n\n'The apparent gross intellectual deficit fails to be refelected in the field of behavioiur\n\nCase 1: ganser state after brain injury DURING PTA\n\nCase 2: malingering (but sounds like FND)\n\nCase 3: reactive depression, father died of senile dementia\n\nCase 4: Obsessionality and depersonalisation - obsessional checking of word spelling\n\nCase 5: endogenous depression, treated with bilateral topectomy 9,10,46\n\nCase 6: mild endogenous depression treated with imipramine\n\nCase 7: depression and paraphrenia (non mood congruent psychosis) treated with imipramine\n\nCase 8: Mania\n\n9 and 10 ?mixed manic-depressive state or periodic catatonia\n\nCase 9: Underlying cause unclear - responded to ECT\n\nCase 10: Underlying cause unclear - 'trance-like state in which she felt depressed' key feature acute (5 week) history and several previous lifetime episodes lasting weeks. \n\nCriticises Ziegler - diagnosed dementia on basis of air encephalogram - 1/4 did not have symptoms - kiloh does not think that this &amp;quot;dementia sine dementia&amp;quot; exists or that air enceph is more sensitive than clinical methods. \n\nCriticies overreliance on psychometric tests: measure functional disturbance rather than true intellecutal loss, and as such can arise as the result of other processes (attention, concentration)\n\nDescribes studies reporting low correlation between degree of AD pathology and clinical picture, therefore cortical biopsy unlikely helpful.","page":"336-351","title":"Pseudo-dementia","type":"article-journal","volume":"37"},"uris":["http://www.mendeley.com/documents/?uuid=52eac5b0-aa2d-3e53-8e26-e8bf3406a190"]},{"id":"ITEM-3","itemData":{"ISSN":"0002-953X,0002-953X","abstract":"Pseudodementia is the syndrome in which dementia is mimicked or caricatured by functional psychiatric disorders. The author describes 10 patients with pseudodementia and compares its clinical features with those of true dementia. The syndrome occurred in patients with various psychiatric diagnoses, but a striking feature in most patients was marked dependency. The recognition of this clinical syndrome should obviate the need for many neurological diagnostic studies and lead to earlier and more effective psychiatric treatment.","author":[{"dropping-particle":"","family":"Wells","given":"C E","non-dropping-particle":"","parse-names":false,"suffix":""}],"container-title":"The American journal of psychiatry","id":"ITEM-3","issue":"7","issued":{"date-parts":[["1979"]]},"page":"895","publisher-place":"United States","title":"Pseudodementia.","type":"article-journal","volume":"136"},"uris":["http://www.mendeley.com/documents/?uuid=1e251168-847b-4315-9159-f41c27a0e857"]}],"mendeley":{"formattedCitation":"(Bleuler, 1934; Kiloh, 1961; Wells, 1979)","plainTextFormattedCitation":"(Bleuler, 1934; Kiloh, 1961; Wells, 1979)","previouslyFormattedCitation":"(Bleuler, 1934; Kiloh, 1961; Wells, 1979)"},"properties":{"noteIndex":0},"schema":"https://github.com/citation-style-language/schema/raw/master/csl-citation.json"}</w:instrText>
      </w:r>
      <w:r w:rsidR="00E129B8" w:rsidRPr="009D5A8D">
        <w:rPr>
          <w:color w:val="000000" w:themeColor="text1"/>
        </w:rPr>
        <w:fldChar w:fldCharType="separate"/>
      </w:r>
      <w:r w:rsidR="00E129B8" w:rsidRPr="009D5A8D">
        <w:rPr>
          <w:noProof/>
          <w:color w:val="000000" w:themeColor="text1"/>
        </w:rPr>
        <w:t>(Bleuler, 1934; Kiloh, 1961; Wells, 1979)</w:t>
      </w:r>
      <w:r w:rsidR="00E129B8" w:rsidRPr="009D5A8D">
        <w:rPr>
          <w:color w:val="000000" w:themeColor="text1"/>
        </w:rPr>
        <w:fldChar w:fldCharType="end"/>
      </w:r>
      <w:r w:rsidR="00D91AA4" w:rsidRPr="009D5A8D">
        <w:rPr>
          <w:color w:val="000000" w:themeColor="text1"/>
        </w:rPr>
        <w:t xml:space="preserve">. The </w:t>
      </w:r>
      <w:r w:rsidR="00E129B8" w:rsidRPr="009D5A8D">
        <w:rPr>
          <w:color w:val="000000" w:themeColor="text1"/>
        </w:rPr>
        <w:t>breadth</w:t>
      </w:r>
      <w:r w:rsidR="00D91AA4" w:rsidRPr="009D5A8D">
        <w:rPr>
          <w:color w:val="000000" w:themeColor="text1"/>
        </w:rPr>
        <w:t xml:space="preserve"> of </w:t>
      </w:r>
      <w:r w:rsidR="000C0852" w:rsidRPr="009D5A8D">
        <w:rPr>
          <w:color w:val="000000" w:themeColor="text1"/>
        </w:rPr>
        <w:t xml:space="preserve">the </w:t>
      </w:r>
      <w:r w:rsidR="00D91AA4" w:rsidRPr="009D5A8D">
        <w:rPr>
          <w:color w:val="000000" w:themeColor="text1"/>
        </w:rPr>
        <w:t>‘</w:t>
      </w:r>
      <w:proofErr w:type="spellStart"/>
      <w:r w:rsidR="00D91AA4" w:rsidRPr="009D5A8D">
        <w:rPr>
          <w:color w:val="000000" w:themeColor="text1"/>
        </w:rPr>
        <w:t>pseudodementia</w:t>
      </w:r>
      <w:proofErr w:type="spellEnd"/>
      <w:r w:rsidR="00D91AA4" w:rsidRPr="009D5A8D">
        <w:rPr>
          <w:color w:val="000000" w:themeColor="text1"/>
        </w:rPr>
        <w:t>’</w:t>
      </w:r>
      <w:r w:rsidR="000C0852" w:rsidRPr="009D5A8D">
        <w:rPr>
          <w:color w:val="000000" w:themeColor="text1"/>
        </w:rPr>
        <w:t xml:space="preserve"> concept </w:t>
      </w:r>
      <w:r w:rsidR="002D4749" w:rsidRPr="009D5A8D">
        <w:rPr>
          <w:color w:val="000000" w:themeColor="text1"/>
        </w:rPr>
        <w:t>has been</w:t>
      </w:r>
      <w:r w:rsidR="00E129B8" w:rsidRPr="009D5A8D">
        <w:rPr>
          <w:color w:val="000000" w:themeColor="text1"/>
        </w:rPr>
        <w:t xml:space="preserve"> </w:t>
      </w:r>
      <w:r w:rsidR="00D91AA4" w:rsidRPr="009D5A8D">
        <w:rPr>
          <w:color w:val="000000" w:themeColor="text1"/>
        </w:rPr>
        <w:t xml:space="preserve">lost over time although ‘depressive </w:t>
      </w:r>
      <w:proofErr w:type="spellStart"/>
      <w:r w:rsidR="00D91AA4" w:rsidRPr="009D5A8D">
        <w:rPr>
          <w:color w:val="000000" w:themeColor="text1"/>
        </w:rPr>
        <w:t>pseudodementia</w:t>
      </w:r>
      <w:proofErr w:type="spellEnd"/>
      <w:r w:rsidR="00D91AA4" w:rsidRPr="009D5A8D">
        <w:rPr>
          <w:color w:val="000000" w:themeColor="text1"/>
        </w:rPr>
        <w:t>’</w:t>
      </w:r>
      <w:r w:rsidR="00F642BE">
        <w:rPr>
          <w:color w:val="000000" w:themeColor="text1"/>
        </w:rPr>
        <w:t xml:space="preserve"> persists as a term for </w:t>
      </w:r>
      <w:r w:rsidR="00D91AA4" w:rsidRPr="009D5A8D">
        <w:rPr>
          <w:color w:val="000000" w:themeColor="text1"/>
        </w:rPr>
        <w:t xml:space="preserve">cognitive impairment </w:t>
      </w:r>
      <w:r w:rsidR="002D4749" w:rsidRPr="009D5A8D">
        <w:rPr>
          <w:color w:val="000000" w:themeColor="text1"/>
        </w:rPr>
        <w:t>associated with</w:t>
      </w:r>
      <w:r w:rsidR="00F642BE">
        <w:rPr>
          <w:color w:val="000000" w:themeColor="text1"/>
        </w:rPr>
        <w:t xml:space="preserve"> severe depression. </w:t>
      </w:r>
      <w:r w:rsidR="00D91AA4" w:rsidRPr="009D5A8D">
        <w:rPr>
          <w:color w:val="000000" w:themeColor="text1"/>
        </w:rPr>
        <w:t xml:space="preserve">In recent years, dementia researchers investigating subjective cognitive </w:t>
      </w:r>
      <w:r w:rsidR="002D4749" w:rsidRPr="009D5A8D">
        <w:rPr>
          <w:color w:val="000000" w:themeColor="text1"/>
        </w:rPr>
        <w:t>decline</w:t>
      </w:r>
      <w:r w:rsidR="00F642BE">
        <w:rPr>
          <w:color w:val="000000" w:themeColor="text1"/>
        </w:rPr>
        <w:t xml:space="preserve"> (also called subjective cognitive impairment)</w:t>
      </w:r>
      <w:r w:rsidR="00D91AA4" w:rsidRPr="009D5A8D">
        <w:rPr>
          <w:color w:val="000000" w:themeColor="text1"/>
        </w:rPr>
        <w:t xml:space="preserve"> have been so strongly invested in identifying markers of prodromal and pre-clinical </w:t>
      </w:r>
      <w:r w:rsidR="00F642BE">
        <w:rPr>
          <w:color w:val="000000" w:themeColor="text1"/>
        </w:rPr>
        <w:t>dementia</w:t>
      </w:r>
      <w:r w:rsidR="00D91AA4" w:rsidRPr="009D5A8D">
        <w:rPr>
          <w:color w:val="000000" w:themeColor="text1"/>
        </w:rPr>
        <w:t xml:space="preserve"> that little attention has been paid to alternative causes of symptoms. </w:t>
      </w:r>
      <w:r w:rsidR="00F642BE">
        <w:rPr>
          <w:color w:val="000000" w:themeColor="text1"/>
        </w:rPr>
        <w:t>Individuals (particularly younger individuals) presenting</w:t>
      </w:r>
      <w:r w:rsidR="00F54DE0" w:rsidRPr="009D5A8D">
        <w:rPr>
          <w:color w:val="000000" w:themeColor="text1"/>
        </w:rPr>
        <w:t xml:space="preserve"> with </w:t>
      </w:r>
      <w:r w:rsidR="002D4749" w:rsidRPr="009D5A8D">
        <w:rPr>
          <w:color w:val="000000" w:themeColor="text1"/>
        </w:rPr>
        <w:t xml:space="preserve">cognitive </w:t>
      </w:r>
      <w:r w:rsidR="00F54DE0" w:rsidRPr="009D5A8D">
        <w:rPr>
          <w:color w:val="000000" w:themeColor="text1"/>
        </w:rPr>
        <w:t xml:space="preserve">symptoms and normal cognitive examination are </w:t>
      </w:r>
      <w:r w:rsidR="002D4749" w:rsidRPr="009D5A8D">
        <w:rPr>
          <w:color w:val="000000" w:themeColor="text1"/>
        </w:rPr>
        <w:t>also</w:t>
      </w:r>
      <w:r w:rsidR="00F54DE0" w:rsidRPr="009D5A8D">
        <w:rPr>
          <w:color w:val="000000" w:themeColor="text1"/>
        </w:rPr>
        <w:t xml:space="preserve"> </w:t>
      </w:r>
      <w:r w:rsidR="00F642BE">
        <w:rPr>
          <w:color w:val="000000" w:themeColor="text1"/>
        </w:rPr>
        <w:t xml:space="preserve">often </w:t>
      </w:r>
      <w:r w:rsidR="00F54DE0" w:rsidRPr="009D5A8D">
        <w:rPr>
          <w:color w:val="000000" w:themeColor="text1"/>
        </w:rPr>
        <w:t>describe</w:t>
      </w:r>
      <w:r w:rsidR="002D4749" w:rsidRPr="009D5A8D">
        <w:rPr>
          <w:color w:val="000000" w:themeColor="text1"/>
        </w:rPr>
        <w:t xml:space="preserve">d, perhaps unhelpfully, </w:t>
      </w:r>
      <w:r w:rsidR="00F54DE0" w:rsidRPr="009D5A8D">
        <w:rPr>
          <w:color w:val="000000" w:themeColor="text1"/>
        </w:rPr>
        <w:t xml:space="preserve">as </w:t>
      </w:r>
      <w:r w:rsidR="002D4749" w:rsidRPr="009D5A8D">
        <w:rPr>
          <w:color w:val="000000" w:themeColor="text1"/>
        </w:rPr>
        <w:t xml:space="preserve">the </w:t>
      </w:r>
      <w:r w:rsidR="00F54DE0" w:rsidRPr="009D5A8D">
        <w:rPr>
          <w:color w:val="000000" w:themeColor="text1"/>
        </w:rPr>
        <w:t xml:space="preserve">‘worried well’. </w:t>
      </w:r>
    </w:p>
    <w:p w14:paraId="5B194EED" w14:textId="77777777" w:rsidR="00B81874" w:rsidRPr="009D5A8D" w:rsidRDefault="00376268" w:rsidP="009D5A8D">
      <w:pPr>
        <w:rPr>
          <w:color w:val="000000" w:themeColor="text1"/>
        </w:rPr>
      </w:pPr>
      <w:r w:rsidRPr="009D5A8D">
        <w:rPr>
          <w:color w:val="000000" w:themeColor="text1"/>
        </w:rPr>
        <w:t>While</w:t>
      </w:r>
      <w:r w:rsidR="00E96C97" w:rsidRPr="009D5A8D">
        <w:rPr>
          <w:color w:val="000000" w:themeColor="text1"/>
        </w:rPr>
        <w:t xml:space="preserve"> </w:t>
      </w:r>
      <w:r w:rsidRPr="009D5A8D">
        <w:rPr>
          <w:color w:val="000000" w:themeColor="text1"/>
        </w:rPr>
        <w:t xml:space="preserve">in a minority </w:t>
      </w:r>
      <w:r w:rsidR="00E96C97" w:rsidRPr="009D5A8D">
        <w:rPr>
          <w:color w:val="000000" w:themeColor="text1"/>
        </w:rPr>
        <w:t>subjective cognitive symptoms may</w:t>
      </w:r>
      <w:r w:rsidRPr="009D5A8D">
        <w:rPr>
          <w:color w:val="000000" w:themeColor="text1"/>
        </w:rPr>
        <w:t xml:space="preserve"> be</w:t>
      </w:r>
      <w:r w:rsidR="00E96C97" w:rsidRPr="009D5A8D">
        <w:rPr>
          <w:color w:val="000000" w:themeColor="text1"/>
        </w:rPr>
        <w:t xml:space="preserve"> </w:t>
      </w:r>
      <w:r w:rsidRPr="009D5A8D">
        <w:rPr>
          <w:color w:val="000000" w:themeColor="text1"/>
        </w:rPr>
        <w:t>an early sign</w:t>
      </w:r>
      <w:r w:rsidR="00DA23F3" w:rsidRPr="009D5A8D">
        <w:rPr>
          <w:color w:val="000000" w:themeColor="text1"/>
        </w:rPr>
        <w:t xml:space="preserve"> of dementia, </w:t>
      </w:r>
      <w:r w:rsidR="00F54DE0" w:rsidRPr="009D5A8D">
        <w:rPr>
          <w:color w:val="000000" w:themeColor="text1"/>
        </w:rPr>
        <w:t xml:space="preserve">it is likely that </w:t>
      </w:r>
      <w:r w:rsidR="001331A5" w:rsidRPr="009D5A8D">
        <w:rPr>
          <w:color w:val="000000" w:themeColor="text1"/>
        </w:rPr>
        <w:t>a significant proportion</w:t>
      </w:r>
      <w:r w:rsidR="00DA23F3" w:rsidRPr="009D5A8D">
        <w:rPr>
          <w:color w:val="000000" w:themeColor="text1"/>
        </w:rPr>
        <w:t xml:space="preserve"> </w:t>
      </w:r>
      <w:r w:rsidR="00F642BE">
        <w:rPr>
          <w:color w:val="000000" w:themeColor="text1"/>
        </w:rPr>
        <w:t>–</w:t>
      </w:r>
      <w:r w:rsidR="00DA23F3" w:rsidRPr="009D5A8D">
        <w:rPr>
          <w:color w:val="000000" w:themeColor="text1"/>
        </w:rPr>
        <w:t xml:space="preserve"> </w:t>
      </w:r>
      <w:r w:rsidRPr="009D5A8D">
        <w:rPr>
          <w:color w:val="000000" w:themeColor="text1"/>
        </w:rPr>
        <w:t xml:space="preserve">including </w:t>
      </w:r>
      <w:r w:rsidR="001331A5" w:rsidRPr="009D5A8D">
        <w:rPr>
          <w:color w:val="000000" w:themeColor="text1"/>
        </w:rPr>
        <w:t>some</w:t>
      </w:r>
      <w:r w:rsidRPr="009D5A8D">
        <w:rPr>
          <w:color w:val="000000" w:themeColor="text1"/>
        </w:rPr>
        <w:t xml:space="preserve"> </w:t>
      </w:r>
      <w:r w:rsidR="00DA23F3" w:rsidRPr="009D5A8D">
        <w:rPr>
          <w:color w:val="000000" w:themeColor="text1"/>
        </w:rPr>
        <w:t>i</w:t>
      </w:r>
      <w:r w:rsidR="00F54DE0" w:rsidRPr="009D5A8D">
        <w:rPr>
          <w:color w:val="000000" w:themeColor="text1"/>
        </w:rPr>
        <w:t>n whom cognitive tests</w:t>
      </w:r>
      <w:r w:rsidR="00DA23F3" w:rsidRPr="009D5A8D">
        <w:rPr>
          <w:color w:val="000000" w:themeColor="text1"/>
        </w:rPr>
        <w:t xml:space="preserve"> lead to descriptions of</w:t>
      </w:r>
      <w:r w:rsidR="00E96C97" w:rsidRPr="009D5A8D">
        <w:rPr>
          <w:color w:val="000000" w:themeColor="text1"/>
        </w:rPr>
        <w:t xml:space="preserve"> mild cognitive i</w:t>
      </w:r>
      <w:r w:rsidR="00DA23F3" w:rsidRPr="009D5A8D">
        <w:rPr>
          <w:color w:val="000000" w:themeColor="text1"/>
        </w:rPr>
        <w:t>mpairment or dementia –</w:t>
      </w:r>
      <w:r w:rsidR="00E96C97" w:rsidRPr="009D5A8D">
        <w:rPr>
          <w:color w:val="000000" w:themeColor="text1"/>
        </w:rPr>
        <w:t xml:space="preserve"> </w:t>
      </w:r>
      <w:r w:rsidR="005C6A25">
        <w:rPr>
          <w:color w:val="000000" w:themeColor="text1"/>
        </w:rPr>
        <w:t xml:space="preserve">are best described as having a </w:t>
      </w:r>
      <w:r w:rsidRPr="009D5A8D">
        <w:rPr>
          <w:b/>
          <w:color w:val="000000" w:themeColor="text1"/>
        </w:rPr>
        <w:t>functional cognitive disorder</w:t>
      </w:r>
      <w:r w:rsidR="00DA23F3" w:rsidRPr="009D5A8D">
        <w:rPr>
          <w:color w:val="000000" w:themeColor="text1"/>
        </w:rPr>
        <w:t xml:space="preserve">. </w:t>
      </w:r>
      <w:r w:rsidR="00E96C97" w:rsidRPr="009D5A8D">
        <w:rPr>
          <w:color w:val="000000" w:themeColor="text1"/>
        </w:rPr>
        <w:t>Functional cognitive disord</w:t>
      </w:r>
      <w:r w:rsidR="005C6A25">
        <w:rPr>
          <w:color w:val="000000" w:themeColor="text1"/>
        </w:rPr>
        <w:t>er</w:t>
      </w:r>
      <w:r w:rsidR="00BC5393" w:rsidRPr="009D5A8D">
        <w:rPr>
          <w:color w:val="000000" w:themeColor="text1"/>
        </w:rPr>
        <w:t xml:space="preserve"> (FCD)</w:t>
      </w:r>
      <w:r w:rsidR="00E96C97" w:rsidRPr="009D5A8D">
        <w:rPr>
          <w:color w:val="000000" w:themeColor="text1"/>
        </w:rPr>
        <w:t xml:space="preserve"> </w:t>
      </w:r>
      <w:r w:rsidR="005C6A25">
        <w:rPr>
          <w:color w:val="000000" w:themeColor="text1"/>
        </w:rPr>
        <w:t>is</w:t>
      </w:r>
      <w:r w:rsidR="00E96C97" w:rsidRPr="009D5A8D">
        <w:rPr>
          <w:color w:val="000000" w:themeColor="text1"/>
        </w:rPr>
        <w:t xml:space="preserve"> a type of </w:t>
      </w:r>
      <w:r w:rsidR="005E40E3" w:rsidRPr="009D5A8D">
        <w:rPr>
          <w:color w:val="000000" w:themeColor="text1"/>
        </w:rPr>
        <w:t>functi</w:t>
      </w:r>
      <w:r w:rsidR="001331A5" w:rsidRPr="009D5A8D">
        <w:rPr>
          <w:color w:val="000000" w:themeColor="text1"/>
        </w:rPr>
        <w:t>onal neurological disorder, producing</w:t>
      </w:r>
      <w:r w:rsidR="005E40E3" w:rsidRPr="009D5A8D">
        <w:rPr>
          <w:color w:val="000000" w:themeColor="text1"/>
        </w:rPr>
        <w:t xml:space="preserve"> cognitive symptoms which are genuine but experienced inconsistently and not related to organic disease. FCD</w:t>
      </w:r>
      <w:r w:rsidR="001331A5" w:rsidRPr="009D5A8D">
        <w:rPr>
          <w:color w:val="000000" w:themeColor="text1"/>
        </w:rPr>
        <w:t xml:space="preserve"> may</w:t>
      </w:r>
      <w:r w:rsidR="005E40E3" w:rsidRPr="009D5A8D">
        <w:rPr>
          <w:color w:val="000000" w:themeColor="text1"/>
        </w:rPr>
        <w:t xml:space="preserve"> mimic dementia in the same way that other functional neurological disorders mimic organic causes of paralysis, seizure</w:t>
      </w:r>
      <w:r w:rsidR="001331A5" w:rsidRPr="009D5A8D">
        <w:rPr>
          <w:color w:val="000000" w:themeColor="text1"/>
        </w:rPr>
        <w:t xml:space="preserve">s, tremor, or speech disorders. FCD </w:t>
      </w:r>
      <w:r w:rsidR="005C6A25">
        <w:rPr>
          <w:color w:val="000000" w:themeColor="text1"/>
        </w:rPr>
        <w:t>is likely to be</w:t>
      </w:r>
      <w:r w:rsidR="001331A5" w:rsidRPr="009D5A8D">
        <w:rPr>
          <w:color w:val="000000" w:themeColor="text1"/>
        </w:rPr>
        <w:t xml:space="preserve"> heterogeneous: a </w:t>
      </w:r>
      <w:r w:rsidR="0037123D" w:rsidRPr="009D5A8D">
        <w:rPr>
          <w:color w:val="000000" w:themeColor="text1"/>
        </w:rPr>
        <w:t>recent review hypothesised a set of overlapping sub-categories: memory symptoms as part of anxiety or depression; excessive attentional focus on ‘normal’ memory problems; an isolated functional memory di</w:t>
      </w:r>
      <w:r w:rsidR="001331A5" w:rsidRPr="009D5A8D">
        <w:rPr>
          <w:color w:val="000000" w:themeColor="text1"/>
        </w:rPr>
        <w:t>sorder in which symptoms are neither</w:t>
      </w:r>
      <w:r w:rsidR="0037123D" w:rsidRPr="009D5A8D">
        <w:rPr>
          <w:color w:val="000000" w:themeColor="text1"/>
        </w:rPr>
        <w:t xml:space="preserve"> 'normal' nor entirely explained by anxiety;</w:t>
      </w:r>
      <w:r w:rsidR="005C6A25">
        <w:rPr>
          <w:color w:val="000000" w:themeColor="text1"/>
        </w:rPr>
        <w:t xml:space="preserve"> health anxiety about dementia;</w:t>
      </w:r>
      <w:r w:rsidR="0037123D" w:rsidRPr="009D5A8D">
        <w:rPr>
          <w:color w:val="000000" w:themeColor="text1"/>
        </w:rPr>
        <w:t xml:space="preserve"> memory symptoms as part of another functional disorde</w:t>
      </w:r>
      <w:r w:rsidR="00EC7C67" w:rsidRPr="009D5A8D">
        <w:rPr>
          <w:color w:val="000000" w:themeColor="text1"/>
        </w:rPr>
        <w:t xml:space="preserve">r; and dissociative amnesia </w:t>
      </w:r>
      <w:r w:rsidR="00EC7C67" w:rsidRPr="009D5A8D">
        <w:rPr>
          <w:color w:val="000000" w:themeColor="text1"/>
        </w:rPr>
        <w:fldChar w:fldCharType="begin" w:fldLock="1"/>
      </w:r>
      <w:r w:rsidR="00EC7C67" w:rsidRPr="009D5A8D">
        <w:rPr>
          <w:color w:val="000000" w:themeColor="text1"/>
        </w:rPr>
        <w:instrText>ADDIN CSL_CITATION {"citationItems":[{"id":"ITEM-1","itemData":{"abstract":"Cognitive symptoms such as poor memory and concentration represent a common cause of morbidity among patients presenting to general practitioners and may result in referral for a neurological opinion. In many cases, these symptoms do not relate to an underlying neurological disease or dementia. In this article we present a personal perspective on the differential diagnosis of cognitive symptoms in the neurology clinic, especially as this applies to patients who seek advice about memory problems but have no neurological disease process. These overlapping categories include the following 'functional' categories: 1) cognitive symptoms as part of anxiety or depression; 2) \"normal\" cognitive symptoms that become the focus of attention; 3) isolated functional cognitive disorder in which symptoms are outwith 'normal' but not explained by anxiety; 4) health anxiety about dementia; 5) cognitive symptoms as part of another functional disorder; and 6) retrograde dissociative (psychogenic) amnesia. Other 'non-dementia' diagnoses to consider in addition are 1) cognitive symptoms secondary to prescribed medication or substance misuse; 2) diseases other than dementia causing cognitive disorders; 3) patients who appear to have functional cognitive symptoms but then go on to develop dementia/another neurological disease; and finally 4) exaggeration/malingering. We discuss previous attempts to classify the problem of functional cognitive symptoms, the importance of making a positive diagnosis for the patient, and the need for large cohort studies to better define and manage this large group of patients.","author":[{"dropping-particle":"","family":"Stone","given":"Jon","non-dropping-particle":"","parse-names":false,"suffix":""},{"dropping-particle":"","family":"Pal","given":"Suvankar","non-dropping-particle":"","parse-names":false,"suffix":""},{"dropping-particle":"","family":"Blackburn","given":"Daniel","non-dropping-particle":"","parse-names":false,"suffix":""},{"dropping-particle":"","family":"Reuber","given":"Markus","non-dropping-particle":"","parse-names":false,"suffix":""},{"dropping-particle":"","family":"Thekkumpurath","given":"Parvez","non-dropping-particle":"","parse-names":false,"suffix":""},{"dropping-particle":"","family":"Carson","given":"Alan","non-dropping-particle":"","parse-names":false,"suffix":""}],"container-title":"Journal of Alzheimer's Disease","id":"ITEM-1","issue":"S1","issued":{"date-parts":[["2015"]]},"note":"091018\n\nStone et al propose that those who present with cognitive symptoms not due to neurological disease, defined as Functional Cognitive Disorders generally fall into a range of overlapping categories: caused by anxiety or depression, 'normal' symptoms that become the focus of attention, an isolated functional cognitive disorder (neither normal nor caused by anxiety), occuring as part of another functional disorder, and retrograde (dissociative) amnesia. The authors note important other diagnoses to consider including prodromal dementia, symptoms caused by drugs, and exaggeration or malingering.","page":"S5-S17","title":"Functional (Psychogenic) Cognitive Disorders: A Perspective from the Neurology Clinic","type":"article-journal","volume":"48"},"uris":["http://www.mendeley.com/documents/?uuid=ca6071ed-1f80-4ee1-9ec2-184e47be2e4d"]}],"mendeley":{"formattedCitation":"(Stone et al., 2015)","plainTextFormattedCitation":"(Stone et al., 2015)","previouslyFormattedCitation":"(Stone et al., 2015)"},"properties":{"noteIndex":0},"schema":"https://github.com/citation-style-language/schema/raw/master/csl-citation.json"}</w:instrText>
      </w:r>
      <w:r w:rsidR="00EC7C67" w:rsidRPr="009D5A8D">
        <w:rPr>
          <w:color w:val="000000" w:themeColor="text1"/>
        </w:rPr>
        <w:fldChar w:fldCharType="separate"/>
      </w:r>
      <w:r w:rsidR="00EC7C67" w:rsidRPr="009D5A8D">
        <w:rPr>
          <w:noProof/>
          <w:color w:val="000000" w:themeColor="text1"/>
        </w:rPr>
        <w:t>(Stone et al., 2015)</w:t>
      </w:r>
      <w:r w:rsidR="00EC7C67" w:rsidRPr="009D5A8D">
        <w:rPr>
          <w:color w:val="000000" w:themeColor="text1"/>
        </w:rPr>
        <w:fldChar w:fldCharType="end"/>
      </w:r>
      <w:r w:rsidR="00EC7C67" w:rsidRPr="009D5A8D">
        <w:rPr>
          <w:color w:val="000000" w:themeColor="text1"/>
        </w:rPr>
        <w:t>.</w:t>
      </w:r>
      <w:r w:rsidR="0037123D" w:rsidRPr="009D5A8D">
        <w:rPr>
          <w:color w:val="000000" w:themeColor="text1"/>
        </w:rPr>
        <w:t xml:space="preserve"> </w:t>
      </w:r>
    </w:p>
    <w:p w14:paraId="74F5CF5C" w14:textId="77777777" w:rsidR="00B81874" w:rsidRPr="009D5A8D" w:rsidRDefault="00B81874" w:rsidP="009D5A8D">
      <w:pPr>
        <w:pStyle w:val="Heading2"/>
      </w:pPr>
      <w:r w:rsidRPr="009D5A8D">
        <w:lastRenderedPageBreak/>
        <w:t xml:space="preserve">Introduction </w:t>
      </w:r>
    </w:p>
    <w:p w14:paraId="1520E087" w14:textId="77777777" w:rsidR="005C6A25" w:rsidRDefault="005E40E3" w:rsidP="009D5A8D">
      <w:pPr>
        <w:rPr>
          <w:color w:val="000000" w:themeColor="text1"/>
        </w:rPr>
      </w:pPr>
      <w:r w:rsidRPr="009D5A8D">
        <w:rPr>
          <w:color w:val="000000" w:themeColor="text1"/>
        </w:rPr>
        <w:t>The important clinical problem that this study wishes to address is of how we might more confidently identify patients with functional cognitive disorders in a clinical setting.</w:t>
      </w:r>
      <w:r w:rsidR="005C6A25">
        <w:rPr>
          <w:color w:val="000000" w:themeColor="text1"/>
        </w:rPr>
        <w:t xml:space="preserve"> </w:t>
      </w:r>
    </w:p>
    <w:p w14:paraId="2952684C" w14:textId="77777777" w:rsidR="005C6A25" w:rsidRDefault="005E40E3" w:rsidP="009D5A8D">
      <w:pPr>
        <w:rPr>
          <w:color w:val="000000" w:themeColor="text1"/>
        </w:rPr>
      </w:pPr>
      <w:r w:rsidRPr="009D5A8D">
        <w:rPr>
          <w:color w:val="000000" w:themeColor="text1"/>
        </w:rPr>
        <w:t xml:space="preserve">This clinical problem is becoming more pressing for two reasons. </w:t>
      </w:r>
    </w:p>
    <w:p w14:paraId="5977E980" w14:textId="77777777" w:rsidR="0037123D" w:rsidRPr="009D5A8D" w:rsidRDefault="005E40E3" w:rsidP="009D5A8D">
      <w:pPr>
        <w:rPr>
          <w:color w:val="000000" w:themeColor="text1"/>
        </w:rPr>
      </w:pPr>
      <w:r w:rsidRPr="009D5A8D">
        <w:rPr>
          <w:color w:val="000000" w:themeColor="text1"/>
        </w:rPr>
        <w:t xml:space="preserve">Firstly, </w:t>
      </w:r>
      <w:r w:rsidR="0037123D" w:rsidRPr="009D5A8D">
        <w:rPr>
          <w:color w:val="000000" w:themeColor="text1"/>
        </w:rPr>
        <w:t>large</w:t>
      </w:r>
      <w:r w:rsidRPr="009D5A8D">
        <w:rPr>
          <w:color w:val="000000" w:themeColor="text1"/>
        </w:rPr>
        <w:t xml:space="preserve"> numbers of </w:t>
      </w:r>
      <w:r w:rsidR="005C6A25">
        <w:rPr>
          <w:color w:val="000000" w:themeColor="text1"/>
        </w:rPr>
        <w:t>individuals</w:t>
      </w:r>
      <w:r w:rsidRPr="009D5A8D">
        <w:rPr>
          <w:color w:val="000000" w:themeColor="text1"/>
        </w:rPr>
        <w:t xml:space="preserve"> with functional cognitive disorders are presenting to cognitive clinics</w:t>
      </w:r>
      <w:r w:rsidR="005C6A25">
        <w:rPr>
          <w:color w:val="000000" w:themeColor="text1"/>
        </w:rPr>
        <w:t>,</w:t>
      </w:r>
      <w:r w:rsidR="0037123D" w:rsidRPr="009D5A8D">
        <w:rPr>
          <w:color w:val="000000" w:themeColor="text1"/>
        </w:rPr>
        <w:t xml:space="preserve"> but as the disorder </w:t>
      </w:r>
      <w:r w:rsidR="005C6A25">
        <w:rPr>
          <w:color w:val="000000" w:themeColor="text1"/>
        </w:rPr>
        <w:t>has</w:t>
      </w:r>
      <w:r w:rsidR="0037123D" w:rsidRPr="009D5A8D">
        <w:rPr>
          <w:color w:val="000000" w:themeColor="text1"/>
        </w:rPr>
        <w:t xml:space="preserve"> not been clearly </w:t>
      </w:r>
      <w:r w:rsidR="00EC7C67" w:rsidRPr="009D5A8D">
        <w:rPr>
          <w:color w:val="000000" w:themeColor="text1"/>
        </w:rPr>
        <w:t>defined,</w:t>
      </w:r>
      <w:r w:rsidR="0037123D" w:rsidRPr="009D5A8D">
        <w:rPr>
          <w:color w:val="000000" w:themeColor="text1"/>
        </w:rPr>
        <w:t xml:space="preserve"> they </w:t>
      </w:r>
      <w:r w:rsidR="005C6A25">
        <w:rPr>
          <w:color w:val="000000" w:themeColor="text1"/>
        </w:rPr>
        <w:t>are not receiving</w:t>
      </w:r>
      <w:r w:rsidR="0037123D" w:rsidRPr="009D5A8D">
        <w:rPr>
          <w:color w:val="000000" w:themeColor="text1"/>
        </w:rPr>
        <w:t xml:space="preserve"> evidence-based treatment</w:t>
      </w:r>
      <w:r w:rsidRPr="009D5A8D">
        <w:rPr>
          <w:color w:val="000000" w:themeColor="text1"/>
        </w:rPr>
        <w:t xml:space="preserve">. </w:t>
      </w:r>
      <w:r w:rsidR="00BC5393" w:rsidRPr="009D5A8D">
        <w:rPr>
          <w:color w:val="000000" w:themeColor="text1"/>
        </w:rPr>
        <w:t xml:space="preserve">Defining this group will allow trials of treatment for FCD. </w:t>
      </w:r>
    </w:p>
    <w:p w14:paraId="6845AEB0" w14:textId="77777777" w:rsidR="0037123D" w:rsidRPr="009D5A8D" w:rsidRDefault="00BC5393" w:rsidP="009D5A8D">
      <w:pPr>
        <w:rPr>
          <w:color w:val="000000" w:themeColor="text1"/>
        </w:rPr>
      </w:pPr>
      <w:r w:rsidRPr="009D5A8D">
        <w:rPr>
          <w:color w:val="000000" w:themeColor="text1"/>
        </w:rPr>
        <w:t>Second</w:t>
      </w:r>
      <w:r w:rsidR="00F54DE0" w:rsidRPr="009D5A8D">
        <w:rPr>
          <w:color w:val="000000" w:themeColor="text1"/>
        </w:rPr>
        <w:t>ly, clinical tools enabling accurate diagnosis of</w:t>
      </w:r>
      <w:r w:rsidRPr="009D5A8D">
        <w:rPr>
          <w:color w:val="000000" w:themeColor="text1"/>
        </w:rPr>
        <w:t xml:space="preserve"> FCD will reduce misdiagnoses of Alzheimer’s dementia and </w:t>
      </w:r>
      <w:r w:rsidR="00F54DE0" w:rsidRPr="009D5A8D">
        <w:rPr>
          <w:color w:val="000000" w:themeColor="text1"/>
        </w:rPr>
        <w:t>so</w:t>
      </w:r>
      <w:r w:rsidRPr="009D5A8D">
        <w:rPr>
          <w:color w:val="000000" w:themeColor="text1"/>
        </w:rPr>
        <w:t xml:space="preserve"> reduce the risks of inappropriate treatment or inclusion in clinical trials. Much current</w:t>
      </w:r>
      <w:r w:rsidR="005E40E3" w:rsidRPr="009D5A8D">
        <w:rPr>
          <w:color w:val="000000" w:themeColor="text1"/>
        </w:rPr>
        <w:t xml:space="preserve"> research aims to identify and study high risk populations in the very earliest – preclinical and prodromal – stages of Alzheimer’s dementia, with a view to changing disease course through accurate diagnosis and thereafter intervention. It is now considered that neurodegenerative disease can present with a series of ‘stages’: from preclinical disease throu</w:t>
      </w:r>
      <w:r w:rsidR="000F732F" w:rsidRPr="009D5A8D">
        <w:rPr>
          <w:color w:val="000000" w:themeColor="text1"/>
        </w:rPr>
        <w:t>gh subjective cognitive decline</w:t>
      </w:r>
      <w:r w:rsidR="005E40E3" w:rsidRPr="009D5A8D">
        <w:rPr>
          <w:color w:val="000000" w:themeColor="text1"/>
        </w:rPr>
        <w:t xml:space="preserve"> through MCI before the full dementia syndrome is reached. </w:t>
      </w:r>
      <w:r w:rsidR="005C6A25">
        <w:rPr>
          <w:color w:val="000000" w:themeColor="text1"/>
        </w:rPr>
        <w:t>Although clinically helpful, i</w:t>
      </w:r>
      <w:r w:rsidR="005E40E3" w:rsidRPr="009D5A8D">
        <w:rPr>
          <w:color w:val="000000" w:themeColor="text1"/>
        </w:rPr>
        <w:t>n the early phases these categories represent mixed, complex and overlapping clin</w:t>
      </w:r>
      <w:r w:rsidR="005C6A25">
        <w:rPr>
          <w:color w:val="000000" w:themeColor="text1"/>
        </w:rPr>
        <w:t xml:space="preserve">ical and biological phenotypes, and there </w:t>
      </w:r>
      <w:r w:rsidR="005E40E3" w:rsidRPr="009D5A8D">
        <w:rPr>
          <w:color w:val="000000" w:themeColor="text1"/>
        </w:rPr>
        <w:t xml:space="preserve">is a risk that patients with FCD </w:t>
      </w:r>
      <w:r w:rsidR="0037123D" w:rsidRPr="009D5A8D">
        <w:rPr>
          <w:color w:val="000000" w:themeColor="text1"/>
        </w:rPr>
        <w:t>are being</w:t>
      </w:r>
      <w:r w:rsidR="005E40E3" w:rsidRPr="009D5A8D">
        <w:rPr>
          <w:color w:val="000000" w:themeColor="text1"/>
        </w:rPr>
        <w:t xml:space="preserve"> incorrectly identified as having preclinical Alzheimer’s disease and vice versa. </w:t>
      </w:r>
      <w:r w:rsidR="005C6A25">
        <w:rPr>
          <w:color w:val="000000" w:themeColor="text1"/>
        </w:rPr>
        <w:t>With new</w:t>
      </w:r>
      <w:r w:rsidR="005E40E3" w:rsidRPr="009D5A8D">
        <w:rPr>
          <w:color w:val="000000" w:themeColor="text1"/>
        </w:rPr>
        <w:t xml:space="preserve"> treatments </w:t>
      </w:r>
      <w:r w:rsidR="005C6A25">
        <w:rPr>
          <w:color w:val="000000" w:themeColor="text1"/>
        </w:rPr>
        <w:t xml:space="preserve">aimed at </w:t>
      </w:r>
      <w:r w:rsidR="005E40E3" w:rsidRPr="009D5A8D">
        <w:rPr>
          <w:color w:val="000000" w:themeColor="text1"/>
        </w:rPr>
        <w:t xml:space="preserve">individuals with these very early symptoms it is going to become increasingly important to be able to </w:t>
      </w:r>
      <w:r w:rsidR="00152C6B">
        <w:rPr>
          <w:color w:val="000000" w:themeColor="text1"/>
        </w:rPr>
        <w:t xml:space="preserve">identify </w:t>
      </w:r>
      <w:r w:rsidR="005E40E3" w:rsidRPr="009D5A8D">
        <w:rPr>
          <w:color w:val="000000" w:themeColor="text1"/>
        </w:rPr>
        <w:t xml:space="preserve">confidently those with FCD who will not benefit but who may be harmed </w:t>
      </w:r>
      <w:r w:rsidR="0037123D" w:rsidRPr="009D5A8D">
        <w:rPr>
          <w:color w:val="000000" w:themeColor="text1"/>
        </w:rPr>
        <w:t xml:space="preserve">by inappropriate intervention. </w:t>
      </w:r>
    </w:p>
    <w:p w14:paraId="544B71F3" w14:textId="77777777" w:rsidR="00152C6B" w:rsidRDefault="006B18A8" w:rsidP="009D5A8D">
      <w:pPr>
        <w:rPr>
          <w:color w:val="000000" w:themeColor="text1"/>
        </w:rPr>
      </w:pPr>
      <w:r w:rsidRPr="009D5A8D">
        <w:rPr>
          <w:color w:val="000000" w:themeColor="text1"/>
        </w:rPr>
        <w:t xml:space="preserve">Research into functional neurological disorders </w:t>
      </w:r>
      <w:r w:rsidR="00F9025F" w:rsidRPr="009D5A8D">
        <w:rPr>
          <w:color w:val="000000" w:themeColor="text1"/>
        </w:rPr>
        <w:t xml:space="preserve">(FND) </w:t>
      </w:r>
      <w:r w:rsidRPr="009D5A8D">
        <w:rPr>
          <w:color w:val="000000" w:themeColor="text1"/>
        </w:rPr>
        <w:t>in recent years has ensured that functional neurological disorder is no longer a diagnosis of exclusion, but rather one made on the ba</w:t>
      </w:r>
      <w:r w:rsidR="00F9025F" w:rsidRPr="009D5A8D">
        <w:rPr>
          <w:color w:val="000000" w:themeColor="text1"/>
        </w:rPr>
        <w:t>sis of positive clinical signs, such as the Hoover’s sign of functional leg weakness</w:t>
      </w:r>
      <w:r w:rsidR="000F732F" w:rsidRPr="009D5A8D">
        <w:rPr>
          <w:color w:val="000000" w:themeColor="text1"/>
        </w:rPr>
        <w:t xml:space="preserve"> - weakness of voluntary hip extension which normalises during contralateral hip flexion </w:t>
      </w:r>
      <w:r w:rsidR="000F732F" w:rsidRPr="009D5A8D">
        <w:rPr>
          <w:color w:val="000000" w:themeColor="text1"/>
        </w:rPr>
        <w:fldChar w:fldCharType="begin" w:fldLock="1"/>
      </w:r>
      <w:r w:rsidR="00E129B8" w:rsidRPr="009D5A8D">
        <w:rPr>
          <w:color w:val="000000" w:themeColor="text1"/>
        </w:rPr>
        <w:instrText>ADDIN CSL_CITATION {"citationItems":[{"id":"ITEM-1","itemData":{"ISSN":"00223999","abstract":"Objective: Hoover's sign - weakness of voluntary hip extension with normal involuntary hip extension during contralateral hip flexion against resistance - is a commonly used sign in the diagnosis of functional weakness of the lower limb. However, little is known about the performance of this sign in clinical practice. Methods: Hoover's sign was tested as part of the diagnostic work-up of 337 patients presenting to hospital with suspected stroke. We made a gold-standard diagnosis of stroke, functional disorder, or other diagnosis based on clinical history and examination, imaging and clinical follow-up. We calculated the sensitivity, specificity, positive and negative predictive values of Hoover's sign for a diagnosis of functional weakness in patients who presented with leg weakness. Results: We consecutively recruited 337 consecutive patients with suspected stroke, 124 of whom presented with leg weakness. 8 of these patients had a diagnosis of functional disorder. The sensitivity of Hoover's sign for a diagnosis of functional weakness in those who presented with leg weakness was 63% (95% CI: 24 to 91), and the specificity was 100% (95% CI: 97 to 100). Conclusions: In this cohort, Hoover's sign was moderately sensitive and very specific for a diagnosis of functional weakness. Further studies are required to assess inter-observer variability and performance of the test in larger numbers of patients with functional weakness. © 2011 Elsevier Inc..","author":[{"dropping-particle":"","family":"McWhirter","given":"Laura","non-dropping-particle":"","parse-names":false,"suffix":""},{"dropping-particle":"","family":"Stone","given":"Jon","non-dropping-particle":"","parse-names":false,"suffix":""},{"dropping-particle":"","family":"Sandercock","given":"Peter","non-dropping-particle":"","parse-names":false,"suffix":""},{"dropping-particle":"","family":"Whiteley","given":"William","non-dropping-particle":"","parse-names":false,"suffix":""}],"container-title":"Journal of Psychosomatic Research","id":"ITEM-1","issue":"6","issued":{"date-parts":[["2011","12"]]},"page":"384-386","title":"Hoover's sign for the diagnosis of functional weakness: A prospective unblinded cohort study in patients with suspected stroke","type":"article-journal","volume":"71"},"uris":["http://www.mendeley.com/documents/?uuid=fdd2cb40-2879-33ba-8b47-649756256a2b"]}],"mendeley":{"formattedCitation":"(McWhirter, Stone, Sandercock, &amp; Whiteley, 2011)","plainTextFormattedCitation":"(McWhirter, Stone, Sandercock, &amp; Whiteley, 2011)","previouslyFormattedCitation":"(McWhirter, Stone, Sandercock, &amp; Whiteley, 2011)"},"properties":{"noteIndex":0},"schema":"https://github.com/citation-style-language/schema/raw/master/csl-citation.json"}</w:instrText>
      </w:r>
      <w:r w:rsidR="000F732F" w:rsidRPr="009D5A8D">
        <w:rPr>
          <w:color w:val="000000" w:themeColor="text1"/>
        </w:rPr>
        <w:fldChar w:fldCharType="separate"/>
      </w:r>
      <w:r w:rsidR="000F732F" w:rsidRPr="009D5A8D">
        <w:rPr>
          <w:noProof/>
          <w:color w:val="000000" w:themeColor="text1"/>
        </w:rPr>
        <w:t>(McWhirter, Stone, Sandercock, &amp; Whiteley, 2011)</w:t>
      </w:r>
      <w:r w:rsidR="000F732F" w:rsidRPr="009D5A8D">
        <w:rPr>
          <w:color w:val="000000" w:themeColor="text1"/>
        </w:rPr>
        <w:fldChar w:fldCharType="end"/>
      </w:r>
      <w:r w:rsidR="000F732F" w:rsidRPr="009D5A8D">
        <w:rPr>
          <w:color w:val="000000" w:themeColor="text1"/>
        </w:rPr>
        <w:t>. Defining</w:t>
      </w:r>
      <w:r w:rsidR="00F9025F" w:rsidRPr="009D5A8D">
        <w:rPr>
          <w:color w:val="000000" w:themeColor="text1"/>
        </w:rPr>
        <w:t xml:space="preserve"> these signs has improved patient care and invigorated research into </w:t>
      </w:r>
      <w:r w:rsidR="00152C6B">
        <w:rPr>
          <w:color w:val="000000" w:themeColor="text1"/>
        </w:rPr>
        <w:t xml:space="preserve">mechanisms of and </w:t>
      </w:r>
      <w:r w:rsidR="00F9025F" w:rsidRPr="009D5A8D">
        <w:rPr>
          <w:color w:val="000000" w:themeColor="text1"/>
        </w:rPr>
        <w:t xml:space="preserve">treatments for FND </w:t>
      </w:r>
      <w:r w:rsidR="00F9025F" w:rsidRPr="009D5A8D">
        <w:rPr>
          <w:color w:val="000000" w:themeColor="text1"/>
        </w:rPr>
        <w:fldChar w:fldCharType="begin" w:fldLock="1"/>
      </w:r>
      <w:r w:rsidR="00074C3A" w:rsidRPr="009D5A8D">
        <w:rPr>
          <w:color w:val="000000" w:themeColor="text1"/>
        </w:rPr>
        <w:instrText>ADDIN CSL_CITATION {"citationItems":[{"id":"ITEM-1","itemData":{"DOI":"10.1001/jamaneurol.2018.1264","ISSN":"2168-6149","PMID":"29868890","abstract":"Importance Functional neurological disorders (FND) are common sources of disability in medicine. Patients have often been misdiagnosed, correctly diagnosed after lengthy delays, and/or subjected to poorly delivered diagnoses that prevent diagnostic understanding and lead to inappropriate treatments, iatrogenic harm, unnecessary and costly evaluations, and poor outcomes. Observations Functional Neurological Symptom Disorder/Conversion Disorder was adopted by the Diagnostic and Statistical Manual of Mental Disorders, Fifth Edition, replacing the term psychogenic with functional and removing the criterion of psychological stress as a prerequisite for FND. A diagnosis can now be made in an inclusionary manner by identifying neurological signs that are specific to FNDs without reliance on presence or absence of psychological stressors or suggestive historical clues. The new model highlights a wider range of past sensitizing events, such as physical trauma, medical illness, or physiological/psychophysiological events. In this model, strong ideas and expectations about these events correlate with abnormal predictions of sensory data and body-focused attention. Neurobiological abnormalities include hypoactivation of the supplementary motor area and relative disconnection with areas that select or inhibit movements and are associated with a sense of agency. Promising evidence has accumulated for the benefit of specific physical rehabilitation and psychological interventions alone or in combination, but clinical trial evidence remains limited. Conclusions and Relevance Functional neurological disorders are a neglected but potentially reversible source of disability. Further research is needed to determine the dose and duration of various interventions, the value of combination treatments and multidisciplinary therapy, and the therapeutic modality best suited for each patient.","author":[{"dropping-particle":"","family":"Espay","given":"Alberto J.","non-dropping-particle":"","parse-names":false,"suffix":""},{"dropping-particle":"","family":"Aybek","given":"Selma","non-dropping-particle":"","parse-names":false,"suffix":""},{"dropping-particle":"","family":"Carson","given":"Alan","non-dropping-particle":"","parse-names":false,"suffix":""},{"dropping-particle":"","family":"Edwards","given":"Mark J.","non-dropping-particle":"","parse-names":false,"suffix":""},{"dropping-particle":"","family":"Goldstein","given":"Laura H.","non-dropping-particle":"","parse-names":false,"suffix":""},{"dropping-particle":"","family":"Hallett","given":"Mark","non-dropping-particle":"","parse-names":false,"suffix":""},{"dropping-particle":"","family":"LaFaver","given":"Kathrin","non-dropping-particle":"","parse-names":false,"suffix":""},{"dropping-particle":"","family":"LaFrance","given":"W. Curt","non-dropping-particle":"","parse-names":false,"suffix":""},{"dropping-particle":"","family":"Lang","given":"Anthony E.","non-dropping-particle":"","parse-names":false,"suffix":""},{"dropping-particle":"","family":"Nicholson","given":"Tim","non-dropping-particle":"","parse-names":false,"suffix":""},{"dropping-particle":"","family":"Nielsen","given":"Glenn","non-dropping-particle":"","parse-names":false,"suffix":""},{"dropping-particle":"","family":"Reuber","given":"Markus","non-dropping-particle":"","parse-names":false,"suffix":""},{"dropping-particle":"","family":"Voon","given":"Valerie","non-dropping-particle":"","parse-names":false,"suffix":""},{"dropping-particle":"","family":"Stone","given":"Jon","non-dropping-particle":"","parse-names":false,"suffix":""},{"dropping-particle":"","family":"Morgante","given":"Francesca","non-dropping-particle":"","parse-names":false,"suffix":""}],"container-title":"JAMA Neurology","id":"ITEM-1","issued":{"date-parts":[["2018","6","4"]]},"title":"Current Concepts in Diagnosis and Treatment of Functional Neurological Disorders","type":"article-journal"},"uris":["http://www.mendeley.com/documents/?uuid=0b5dcf4e-ad08-3bcb-9261-da5caaffde3a"]}],"mendeley":{"formattedCitation":"(Espay et al., 2018)","plainTextFormattedCitation":"(Espay et al., 2018)","previouslyFormattedCitation":"(Espay et al., 2018)"},"properties":{"noteIndex":0},"schema":"https://github.com/citation-style-language/schema/raw/master/csl-citation.json"}</w:instrText>
      </w:r>
      <w:r w:rsidR="00F9025F" w:rsidRPr="009D5A8D">
        <w:rPr>
          <w:color w:val="000000" w:themeColor="text1"/>
        </w:rPr>
        <w:fldChar w:fldCharType="separate"/>
      </w:r>
      <w:r w:rsidR="00F9025F" w:rsidRPr="009D5A8D">
        <w:rPr>
          <w:noProof/>
          <w:color w:val="000000" w:themeColor="text1"/>
        </w:rPr>
        <w:t>(Espay et al., 2018)</w:t>
      </w:r>
      <w:r w:rsidR="00F9025F" w:rsidRPr="009D5A8D">
        <w:rPr>
          <w:color w:val="000000" w:themeColor="text1"/>
        </w:rPr>
        <w:fldChar w:fldCharType="end"/>
      </w:r>
      <w:r w:rsidR="00F9025F" w:rsidRPr="009D5A8D">
        <w:rPr>
          <w:color w:val="000000" w:themeColor="text1"/>
        </w:rPr>
        <w:t>.</w:t>
      </w:r>
      <w:r w:rsidR="000F732F" w:rsidRPr="009D5A8D">
        <w:rPr>
          <w:color w:val="000000" w:themeColor="text1"/>
        </w:rPr>
        <w:t xml:space="preserve"> </w:t>
      </w:r>
      <w:r w:rsidR="00152C6B">
        <w:rPr>
          <w:color w:val="000000" w:themeColor="text1"/>
        </w:rPr>
        <w:t>Research into functional cognitive symptoms has lagged behind that of FND in general, and although a number of distinctive features have been observed, no clear positive diagnostic test or profile has yet been identified.</w:t>
      </w:r>
    </w:p>
    <w:p w14:paraId="6D5F5336" w14:textId="77777777" w:rsidR="00EC7C67" w:rsidRPr="009D5A8D" w:rsidRDefault="00152C6B" w:rsidP="009D5A8D">
      <w:pPr>
        <w:rPr>
          <w:color w:val="000000" w:themeColor="text1"/>
        </w:rPr>
      </w:pPr>
      <w:r>
        <w:rPr>
          <w:color w:val="000000" w:themeColor="text1"/>
        </w:rPr>
        <w:t>Review of the literature suggests that most p</w:t>
      </w:r>
      <w:r w:rsidR="00DF5821" w:rsidRPr="009D5A8D">
        <w:rPr>
          <w:color w:val="000000" w:themeColor="text1"/>
        </w:rPr>
        <w:t xml:space="preserve">romising </w:t>
      </w:r>
      <w:r>
        <w:rPr>
          <w:color w:val="000000" w:themeColor="text1"/>
        </w:rPr>
        <w:t xml:space="preserve">diagnostic </w:t>
      </w:r>
      <w:r w:rsidR="00DF5821" w:rsidRPr="009D5A8D">
        <w:rPr>
          <w:color w:val="000000" w:themeColor="text1"/>
        </w:rPr>
        <w:t xml:space="preserve">signs </w:t>
      </w:r>
      <w:r>
        <w:rPr>
          <w:color w:val="000000" w:themeColor="text1"/>
        </w:rPr>
        <w:t>for</w:t>
      </w:r>
      <w:r w:rsidR="00DF5821" w:rsidRPr="009D5A8D">
        <w:rPr>
          <w:color w:val="000000" w:themeColor="text1"/>
        </w:rPr>
        <w:t xml:space="preserve"> FCD </w:t>
      </w:r>
      <w:r>
        <w:rPr>
          <w:color w:val="000000" w:themeColor="text1"/>
        </w:rPr>
        <w:t xml:space="preserve">may be those relating to </w:t>
      </w:r>
      <w:r w:rsidR="00DF5821" w:rsidRPr="009D5A8D">
        <w:rPr>
          <w:color w:val="000000" w:themeColor="text1"/>
        </w:rPr>
        <w:t xml:space="preserve">differences in behavioural and linguistic </w:t>
      </w:r>
      <w:r>
        <w:rPr>
          <w:color w:val="000000" w:themeColor="text1"/>
        </w:rPr>
        <w:t xml:space="preserve">interaction during </w:t>
      </w:r>
      <w:r w:rsidR="00DF5821" w:rsidRPr="009D5A8D">
        <w:rPr>
          <w:color w:val="000000" w:themeColor="text1"/>
        </w:rPr>
        <w:t xml:space="preserve">the physician-patient interaction between individuals with FCD and those with neurodegenerative disease </w:t>
      </w:r>
      <w:r w:rsidR="006B18A8" w:rsidRPr="009D5A8D">
        <w:rPr>
          <w:color w:val="000000" w:themeColor="text1"/>
        </w:rPr>
        <w:fldChar w:fldCharType="begin" w:fldLock="1"/>
      </w:r>
      <w:r w:rsidR="00F9025F" w:rsidRPr="009D5A8D">
        <w:rPr>
          <w:color w:val="000000" w:themeColor="text1"/>
        </w:rPr>
        <w:instrText>ADDIN CSL_CITATION {"citationItems":[{"id":"ITEM-1","itemData":{"DOI":"10.1097/WAD.0000000000000231","ISSN":"1546-4156","PMID":"29319602","abstract":"OBJECTIVE Specialist services for dementia are seeing an increasing number of patients. We investigated whether interactional and linguistic features in the communication behavior of patients with memory problems could help distinguish between those with problems secondary to neurological disorders (ND) and those with functional memory disorder (FMD). METHODS In part 1 of this study, a diagnostic scoring aid (DSA) was developed encouraging linguists to provide quantitative ratings for 14 interactional features. An optimal cut-off differentiating ND and FMD was established by applying the DSA to 30 initial patient-doctor memory clinic encounters. In part 2, the DSA was tested prospectively in 10 additional cases analyzed independently by 2 conversation analysts blinded to medical information. RESULTS In part 1, the median score of the DSA was +5 in ND and -5 in FMD (P&lt;0.001). The optimal numeric DSA cut-off (+1) identified patients with ND with a sensitivity of 86.7% and a specificity of 100%. In part 2, DSA scores of rater 1 correctly predicted 10/10 and those of rater 2 predicted 9/10 diagnoses. CONCLUSIONS This study indicates that interactional and linguistic features can help distinguish between patients developing dementia and those with FMD and could aid the stratification of patients with memory problems.","author":[{"dropping-particle":"","family":"Reuber","given":"Markus","non-dropping-particle":"","parse-names":false,"suffix":""},{"dropping-particle":"","family":"Blackburn","given":"Daniel J","non-dropping-particle":"","parse-names":false,"suffix":""},{"dropping-particle":"","family":"Elsey","given":"Chris","non-dropping-particle":"","parse-names":false,"suffix":""},{"dropping-particle":"","family":"Wakefield","given":"Sarah","non-dropping-particle":"","parse-names":false,"suffix":""},{"dropping-particle":"","family":"Ardern","given":"Kerry A","non-dropping-particle":"","parse-names":false,"suffix":""},{"dropping-particle":"","family":"Harkness","given":"Kirsty","non-dropping-particle":"","parse-names":false,"suffix":""},{"dropping-particle":"","family":"Venneri","given":"Annalena","non-dropping-particle":"","parse-names":false,"suffix":""},{"dropping-particle":"","family":"Jones","given":"Danielle","non-dropping-particle":"","parse-names":false,"suffix":""},{"dropping-particle":"","family":"Shaw","given":"Chloe","non-dropping-particle":"","parse-names":false,"suffix":""},{"dropping-particle":"","family":"Drew","given":"Paul","non-dropping-particle":"","parse-names":false,"suffix":""}],"container-title":"Alzheimer disease and associated disorders","id":"ITEM-1","issued":{"date-parts":[["2018","1","9"]]},"note":"language becomes impaired early in dementia but it is difficult to pick this up in clinic\n\nhowever conversation analysis derived interactional and linguistic observations have been helpful in distinguisng ES from NEA identifying NEA with S&amp;amp;S of 85%\n\nthis initial validation and assessment of quanititative diagnostic scoring aid rating interactional, topical and linguistic features to attempt to discriminate ND (not VCI and DPD) from FMD(functional memory disorder as per Schmidtke but including &amp;gt;70) - numerical cut-off derived\n\nall neuropsychological testing (same as Wakefield) and MRI\n\nGold standard: Schmidtke criteria except age cut off &amp;lt;70","title":"An Interactional Profile to Assist the Differential Diagnosis of Neurodegenerative and Functional Memory Disorders.","type":"article-journal"},"uris":["http://www.mendeley.com/documents/?uuid=67303305-95ac-37d9-9146-37630915bc42"]},{"id":"ITEM-2","itemData":{"DOI":"10.1017/S1041610218000121","abstract":"We read the paper by Soysal et al. (2017) with interest as we have experience of both the Attended With (AW) and the Head-Turning Sign (HTS) in a neurology-led cognitive disorders clinic. In our studies, we focused on the \"Attended Alone\" (AA) sign as a marker of cognitive health, rather than AW as a marker of cognitive impairment. Reexamining our data (Larner, 2014), we present (Table 1) our findings for AW, rather than AA, for ease of comparison with the findings of Soysal et al. (2017). Hence, AW is a high frequency sign (66.1% of all clinic attenders in our study; 69.7% in Soysal et al. (2017)) which is sensitive but not specific for cognitive impairment (hence, high false positive rate but low false negative rate) with low positive predictive value. Our studies of HTS (see Larner, 2018 for details) encompass two patient cohorts (n = 398 in total, of whom 246 AW) for whom the combined results are shown in the table. In contrast to AW, we find HTS to be a lower frequency sign (43.1% of all those AW in our studies). In our clinic, we found that HTS is not sensitive but very specific for cognitive impairment (hence, low false positive rate but high false negative rate) with high positive predictive value (Table 1). These findings are consistent across our two patient cohorts, but contrast with the findings of Soysal et al. (2017), who found HTS to have high sensitivity and negative predictive value for cognitive impairment. The reasons for this discrepancy are not immediately apparent to us, but may possibly relate to methodological factors (HTS may be defined differently in different studies Tabuas-Pereira et al. (2016)) or cultural factors (HTS had a higher frequency in the Soysal et al. cohort, 244/369 = 66.1% of AW). Sensitivity 0.93 (0.90-0.96) 0.65 (0.58-0.73) Specificity 0.47 (0.42-0.51) 0.95 (0.90-0.99) Positive predictive value 0.45 (0.41-0.49) 0.95 (0.91-0.99) Negative predictive value 0.93 (0.90-0.97) 0.61 (0.53-0.69) Both AW and HTS have the potential advantage of being both easily observed and producing categorical data that is dichotomous. We believe that the diagnostic value of these non-canonical signs merits further examination.","author":[{"dropping-particle":"","family":"Williamson","given":"J","non-dropping-particle":"","parse-names":false,"suffix":""},{"dropping-particle":"","family":"Larner","given":"A","non-dropping-particle":"","parse-names":false,"suffix":""}],"container-title":"International Psychogeriatrics","id":"ITEM-2","issued":{"date-parts":[["2018"]]},"title":"Attended with and head-turning sign can be clinical markers of cognitive impairment in older adults","type":"article-journal"},"uris":["http://www.mendeley.com/documents/?uuid=16e049d2-ae90-3238-9d63-17f06d556dc2"]}],"mendeley":{"formattedCitation":"(Reuber et al., 2018; Williamson &amp; Larner, 2018)","plainTextFormattedCitation":"(Reuber et al., 2018; Williamson &amp; Larner, 2018)","previouslyFormattedCitation":"(Reuber et al., 2018; Williamson &amp; Larner, 2018)"},"properties":{"noteIndex":0},"schema":"https://github.com/citation-style-language/schema/raw/master/csl-citation.json"}</w:instrText>
      </w:r>
      <w:r w:rsidR="006B18A8" w:rsidRPr="009D5A8D">
        <w:rPr>
          <w:color w:val="000000" w:themeColor="text1"/>
        </w:rPr>
        <w:fldChar w:fldCharType="separate"/>
      </w:r>
      <w:r w:rsidR="006B18A8" w:rsidRPr="009D5A8D">
        <w:rPr>
          <w:noProof/>
          <w:color w:val="000000" w:themeColor="text1"/>
        </w:rPr>
        <w:t>(Reuber et al., 2018; Williamson &amp; Larner, 2018)</w:t>
      </w:r>
      <w:r w:rsidR="006B18A8" w:rsidRPr="009D5A8D">
        <w:rPr>
          <w:color w:val="000000" w:themeColor="text1"/>
        </w:rPr>
        <w:fldChar w:fldCharType="end"/>
      </w:r>
      <w:r w:rsidR="00EC7C67" w:rsidRPr="009D5A8D">
        <w:rPr>
          <w:color w:val="000000" w:themeColor="text1"/>
        </w:rPr>
        <w:t xml:space="preserve">. </w:t>
      </w:r>
      <w:r w:rsidR="005E40E3" w:rsidRPr="009D5A8D">
        <w:rPr>
          <w:color w:val="000000" w:themeColor="text1"/>
        </w:rPr>
        <w:t xml:space="preserve">For example, patients with functional cognitive impairment </w:t>
      </w:r>
      <w:r w:rsidR="0037123D" w:rsidRPr="009D5A8D">
        <w:rPr>
          <w:color w:val="000000" w:themeColor="text1"/>
        </w:rPr>
        <w:t>seem</w:t>
      </w:r>
      <w:r w:rsidR="008E64F1" w:rsidRPr="009D5A8D">
        <w:rPr>
          <w:color w:val="000000" w:themeColor="text1"/>
        </w:rPr>
        <w:t xml:space="preserve"> more likely</w:t>
      </w:r>
      <w:r w:rsidR="005E40E3" w:rsidRPr="009D5A8D">
        <w:rPr>
          <w:color w:val="000000" w:themeColor="text1"/>
        </w:rPr>
        <w:t xml:space="preserve"> to attend alone, </w:t>
      </w:r>
      <w:r w:rsidR="008E64F1" w:rsidRPr="009D5A8D">
        <w:rPr>
          <w:color w:val="000000" w:themeColor="text1"/>
        </w:rPr>
        <w:t>are</w:t>
      </w:r>
      <w:r w:rsidR="005E40E3" w:rsidRPr="009D5A8D">
        <w:rPr>
          <w:color w:val="000000" w:themeColor="text1"/>
        </w:rPr>
        <w:t xml:space="preserve"> more concerned about their memory problem than others, report </w:t>
      </w:r>
      <w:proofErr w:type="spellStart"/>
      <w:r w:rsidR="008E64F1" w:rsidRPr="009D5A8D">
        <w:rPr>
          <w:color w:val="000000" w:themeColor="text1"/>
        </w:rPr>
        <w:t>premorbidly</w:t>
      </w:r>
      <w:proofErr w:type="spellEnd"/>
      <w:r w:rsidR="008E64F1" w:rsidRPr="009D5A8D">
        <w:rPr>
          <w:color w:val="000000" w:themeColor="text1"/>
        </w:rPr>
        <w:t xml:space="preserve"> exceptional memory, </w:t>
      </w:r>
      <w:r w:rsidR="005E40E3" w:rsidRPr="009D5A8D">
        <w:rPr>
          <w:color w:val="000000" w:themeColor="text1"/>
        </w:rPr>
        <w:t>provide detailed histories, and are able to answer questions with multipl</w:t>
      </w:r>
      <w:r w:rsidR="0037123D" w:rsidRPr="009D5A8D">
        <w:rPr>
          <w:color w:val="000000" w:themeColor="text1"/>
        </w:rPr>
        <w:t>e components. It has been suggested that p</w:t>
      </w:r>
      <w:r w:rsidR="008E64F1" w:rsidRPr="009D5A8D">
        <w:rPr>
          <w:color w:val="000000" w:themeColor="text1"/>
        </w:rPr>
        <w:t xml:space="preserve">atients with FCD </w:t>
      </w:r>
      <w:r w:rsidR="005E40E3" w:rsidRPr="009D5A8D">
        <w:rPr>
          <w:color w:val="000000" w:themeColor="text1"/>
        </w:rPr>
        <w:t>may answer questions where there is a 50:50 chance of obtaining the correct answer</w:t>
      </w:r>
      <w:r w:rsidR="00F9025F" w:rsidRPr="009D5A8D">
        <w:rPr>
          <w:color w:val="000000" w:themeColor="text1"/>
        </w:rPr>
        <w:t xml:space="preserve"> (‘forced choice’)</w:t>
      </w:r>
      <w:r w:rsidR="005E40E3" w:rsidRPr="009D5A8D">
        <w:rPr>
          <w:color w:val="000000" w:themeColor="text1"/>
        </w:rPr>
        <w:t xml:space="preserve"> with a rate of correct answers significantly less than chance</w:t>
      </w:r>
      <w:r w:rsidR="0037123D" w:rsidRPr="009D5A8D">
        <w:rPr>
          <w:color w:val="000000" w:themeColor="text1"/>
        </w:rPr>
        <w:t xml:space="preserve"> (a feature of force-choice effort/performance validity tests)</w:t>
      </w:r>
      <w:r w:rsidR="005E40E3" w:rsidRPr="009D5A8D">
        <w:rPr>
          <w:color w:val="000000" w:themeColor="text1"/>
        </w:rPr>
        <w:t>, suggesting that the correct an</w:t>
      </w:r>
      <w:r w:rsidR="00EC7C67" w:rsidRPr="009D5A8D">
        <w:rPr>
          <w:color w:val="000000" w:themeColor="text1"/>
        </w:rPr>
        <w:t xml:space="preserve">swer is known at some level </w:t>
      </w:r>
      <w:r w:rsidR="00EC7C67" w:rsidRPr="009D5A8D">
        <w:rPr>
          <w:color w:val="000000" w:themeColor="text1"/>
        </w:rPr>
        <w:fldChar w:fldCharType="begin" w:fldLock="1"/>
      </w:r>
      <w:r w:rsidR="006B18A8" w:rsidRPr="009D5A8D">
        <w:rPr>
          <w:color w:val="000000" w:themeColor="text1"/>
        </w:rPr>
        <w:instrText>ADDIN CSL_CITATION {"citationItems":[{"id":"ITEM-1","itemData":{"abstract":"Cognitive symptoms such as poor memory and concentration represent a common cause of morbidity among patients presenting to general practitioners and may result in referral for a neurological opinion. In many cases, these symptoms do not relate to an underlying neurological disease or dementia. In this article we present a personal perspective on the differential diagnosis of cognitive symptoms in the neurology clinic, especially as this applies to patients who seek advice about memory problems but have no neurological disease process. These overlapping categories include the following 'functional' categories: 1) cognitive symptoms as part of anxiety or depression; 2) \"normal\" cognitive symptoms that become the focus of attention; 3) isolated functional cognitive disorder in which symptoms are outwith 'normal' but not explained by anxiety; 4) health anxiety about dementia; 5) cognitive symptoms as part of another functional disorder; and 6) retrograde dissociative (psychogenic) amnesia. Other 'non-dementia' diagnoses to consider in addition are 1) cognitive symptoms secondary to prescribed medication or substance misuse; 2) diseases other than dementia causing cognitive disorders; 3) patients who appear to have functional cognitive symptoms but then go on to develop dementia/another neurological disease; and finally 4) exaggeration/malingering. We discuss previous attempts to classify the problem of functional cognitive symptoms, the importance of making a positive diagnosis for the patient, and the need for large cohort studies to better define and manage this large group of patients.","author":[{"dropping-particle":"","family":"Stone","given":"Jon","non-dropping-particle":"","parse-names":false,"suffix":""},{"dropping-particle":"","family":"Pal","given":"Suvankar","non-dropping-particle":"","parse-names":false,"suffix":""},{"dropping-particle":"","family":"Blackburn","given":"Daniel","non-dropping-particle":"","parse-names":false,"suffix":""},{"dropping-particle":"","family":"Reuber","given":"Markus","non-dropping-particle":"","parse-names":false,"suffix":""},{"dropping-particle":"","family":"Thekkumpurath","given":"Parvez","non-dropping-particle":"","parse-names":false,"suffix":""},{"dropping-particle":"","family":"Carson","given":"Alan","non-dropping-particle":"","parse-names":false,"suffix":""}],"container-title":"Journal of Alzheimer's Disease","id":"ITEM-1","issue":"S1","issued":{"date-parts":[["2015"]]},"note":"091018\n\nStone et al propose that those who present with cognitive symptoms not due to neurological disease, defined as Functional Cognitive Disorders generally fall into a range of overlapping categories: caused by anxiety or depression, 'normal' symptoms that become the focus of attention, an isolated functional cognitive disorder (neither normal nor caused by anxiety), occuring as part of another functional disorder, and retrograde (dissociative) amnesia. The authors note important other diagnoses to consider including prodromal dementia, symptoms caused by drugs, and exaggeration or malingering.","page":"S5-S17","title":"Functional (Psychogenic) Cognitive Disorders: A Perspective from the Neurology Clinic","type":"article-journal","volume":"48"},"uris":["http://www.mendeley.com/documents/?uuid=ca6071ed-1f80-4ee1-9ec2-184e47be2e4d"]}],"mendeley":{"formattedCitation":"(Stone et al., 2015)","plainTextFormattedCitation":"(Stone et al., 2015)","previouslyFormattedCitation":"(Stone et al., 2015)"},"properties":{"noteIndex":0},"schema":"https://github.com/citation-style-language/schema/raw/master/csl-citation.json"}</w:instrText>
      </w:r>
      <w:r w:rsidR="00EC7C67" w:rsidRPr="009D5A8D">
        <w:rPr>
          <w:color w:val="000000" w:themeColor="text1"/>
        </w:rPr>
        <w:fldChar w:fldCharType="separate"/>
      </w:r>
      <w:r w:rsidR="00EC7C67" w:rsidRPr="009D5A8D">
        <w:rPr>
          <w:noProof/>
          <w:color w:val="000000" w:themeColor="text1"/>
        </w:rPr>
        <w:t>(Stone et al., 2015)</w:t>
      </w:r>
      <w:r w:rsidR="00EC7C67" w:rsidRPr="009D5A8D">
        <w:rPr>
          <w:color w:val="000000" w:themeColor="text1"/>
        </w:rPr>
        <w:fldChar w:fldCharType="end"/>
      </w:r>
      <w:r w:rsidR="00EC7C67" w:rsidRPr="009D5A8D">
        <w:rPr>
          <w:color w:val="000000" w:themeColor="text1"/>
        </w:rPr>
        <w:t>.</w:t>
      </w:r>
      <w:r w:rsidR="00F54DE0" w:rsidRPr="009D5A8D">
        <w:rPr>
          <w:color w:val="000000" w:themeColor="text1"/>
        </w:rPr>
        <w:t xml:space="preserve"> </w:t>
      </w:r>
    </w:p>
    <w:p w14:paraId="7D0839F2" w14:textId="77777777" w:rsidR="00DF5821" w:rsidRPr="009D5A8D" w:rsidRDefault="00DF5821" w:rsidP="009D5A8D">
      <w:pPr>
        <w:rPr>
          <w:color w:val="000000" w:themeColor="text1"/>
        </w:rPr>
      </w:pPr>
      <w:r w:rsidRPr="009D5A8D">
        <w:rPr>
          <w:color w:val="000000" w:themeColor="text1"/>
        </w:rPr>
        <w:t xml:space="preserve">The intention of this study is to explore the discriminant ability of the features listed above, and others, and from this to develop a diagnostic scoring tool which can accurately identify FCD in memory clinic patients. </w:t>
      </w:r>
    </w:p>
    <w:p w14:paraId="3FA3F884" w14:textId="77777777" w:rsidR="005E40E3" w:rsidRPr="009D5A8D" w:rsidRDefault="005E40E3" w:rsidP="005E40E3">
      <w:pPr>
        <w:rPr>
          <w:color w:val="000000" w:themeColor="text1"/>
        </w:rPr>
      </w:pPr>
    </w:p>
    <w:p w14:paraId="1081C6AF" w14:textId="77777777" w:rsidR="00327CA5" w:rsidRDefault="00D72CAF" w:rsidP="00607522">
      <w:pPr>
        <w:pStyle w:val="Heading1"/>
      </w:pPr>
      <w:r>
        <w:lastRenderedPageBreak/>
        <w:t>Hypothesis and Aims</w:t>
      </w:r>
    </w:p>
    <w:p w14:paraId="5DAFDC2C" w14:textId="77777777" w:rsidR="00607522" w:rsidRPr="00607522" w:rsidRDefault="004E5189" w:rsidP="00607522">
      <w:r>
        <w:t>The primary aim of this</w:t>
      </w:r>
      <w:r w:rsidR="00F256EC" w:rsidRPr="00F256EC">
        <w:t xml:space="preserve"> project is to </w:t>
      </w:r>
      <w:r w:rsidR="00177B03">
        <w:t>develop</w:t>
      </w:r>
      <w:r w:rsidR="00F256EC" w:rsidRPr="00F256EC">
        <w:t xml:space="preserve"> a diagnostic </w:t>
      </w:r>
      <w:r w:rsidR="00152C6B">
        <w:t>scoring tool</w:t>
      </w:r>
      <w:r w:rsidR="00F256EC" w:rsidRPr="00F256EC">
        <w:t xml:space="preserve"> which can be used to </w:t>
      </w:r>
      <w:r w:rsidR="00177B03">
        <w:t>diagnose</w:t>
      </w:r>
      <w:r w:rsidR="00F256EC" w:rsidRPr="00F256EC">
        <w:t xml:space="preserve"> functional </w:t>
      </w:r>
      <w:r w:rsidR="00823ACE">
        <w:t xml:space="preserve">(psychogenic) </w:t>
      </w:r>
      <w:r w:rsidR="00F256EC" w:rsidRPr="00F256EC">
        <w:t>cognitive disorders</w:t>
      </w:r>
      <w:r w:rsidR="00F2433D">
        <w:t xml:space="preserve"> (FCD)</w:t>
      </w:r>
      <w:r w:rsidR="00F256EC" w:rsidRPr="00F256EC">
        <w:t xml:space="preserve"> in an outpatient clinic setting</w:t>
      </w:r>
      <w:r w:rsidR="00F2433D">
        <w:t xml:space="preserve"> among those presenting with </w:t>
      </w:r>
      <w:r w:rsidR="00177B03">
        <w:t xml:space="preserve">cognitive symptoms where the differential diagnosis includes </w:t>
      </w:r>
      <w:r w:rsidR="00F2433D">
        <w:t>dementia / neurodegenerative disease (ND)</w:t>
      </w:r>
      <w:r w:rsidR="00F256EC" w:rsidRPr="00F256EC">
        <w:t xml:space="preserve">. A secondary aim is </w:t>
      </w:r>
      <w:r w:rsidR="00177B03">
        <w:t>characterise those</w:t>
      </w:r>
      <w:r w:rsidR="00F256EC" w:rsidRPr="00F256EC">
        <w:t xml:space="preserve"> individuals presenting for assessment of cognitive symptoms which are </w:t>
      </w:r>
      <w:r w:rsidR="00177B03">
        <w:t xml:space="preserve">ultimately </w:t>
      </w:r>
      <w:r w:rsidR="00F256EC" w:rsidRPr="00F256EC">
        <w:t xml:space="preserve">assessed to have a functional (psychogenic) cause.  </w:t>
      </w:r>
    </w:p>
    <w:p w14:paraId="3E9E7174" w14:textId="77777777" w:rsidR="00A72D84" w:rsidRPr="00607522" w:rsidRDefault="00327CA5" w:rsidP="00A72D84">
      <w:r w:rsidRPr="00607522">
        <w:t xml:space="preserve">The </w:t>
      </w:r>
      <w:r w:rsidR="00F256EC">
        <w:t xml:space="preserve">primary </w:t>
      </w:r>
      <w:r w:rsidRPr="00607522">
        <w:t>h</w:t>
      </w:r>
      <w:r w:rsidR="002B59D1">
        <w:t>ypothesi</w:t>
      </w:r>
      <w:r w:rsidR="00A72D84" w:rsidRPr="00607522">
        <w:t xml:space="preserve">s </w:t>
      </w:r>
      <w:r w:rsidR="002B59D1">
        <w:t>is</w:t>
      </w:r>
      <w:r w:rsidR="00A72D84" w:rsidRPr="00607522">
        <w:t xml:space="preserve">: </w:t>
      </w:r>
    </w:p>
    <w:p w14:paraId="5F735770" w14:textId="77777777" w:rsidR="00DC64D1" w:rsidRDefault="00A72D84" w:rsidP="00DC64D1">
      <w:pPr>
        <w:pStyle w:val="ListParagraph"/>
        <w:numPr>
          <w:ilvl w:val="0"/>
          <w:numId w:val="3"/>
        </w:numPr>
        <w:spacing w:after="0" w:line="240" w:lineRule="auto"/>
      </w:pPr>
      <w:r w:rsidRPr="00607522">
        <w:t xml:space="preserve">Functional cognitive disorders </w:t>
      </w:r>
      <w:r w:rsidR="00607522" w:rsidRPr="00607522">
        <w:t xml:space="preserve">can be </w:t>
      </w:r>
      <w:r w:rsidR="00607522">
        <w:t xml:space="preserve">positively </w:t>
      </w:r>
      <w:r w:rsidR="00607522" w:rsidRPr="00607522">
        <w:t xml:space="preserve">identified </w:t>
      </w:r>
      <w:r w:rsidR="00177B03">
        <w:t>by</w:t>
      </w:r>
      <w:r w:rsidR="00607522" w:rsidRPr="00607522">
        <w:t xml:space="preserve"> a </w:t>
      </w:r>
      <w:r w:rsidR="00607522">
        <w:t>characteristic</w:t>
      </w:r>
      <w:r w:rsidR="00607522" w:rsidRPr="00607522">
        <w:t xml:space="preserve"> profile of communication and behaviour features observable during standard clinical assessment. </w:t>
      </w:r>
    </w:p>
    <w:p w14:paraId="66EE5DE5" w14:textId="77777777" w:rsidR="00DC64D1" w:rsidRDefault="00DC64D1" w:rsidP="00DC64D1">
      <w:pPr>
        <w:pStyle w:val="ListParagraph"/>
        <w:spacing w:after="0" w:line="240" w:lineRule="auto"/>
      </w:pPr>
    </w:p>
    <w:p w14:paraId="6194FDD8" w14:textId="77777777" w:rsidR="00607522" w:rsidRDefault="00607522" w:rsidP="00F256EC">
      <w:pPr>
        <w:spacing w:after="0" w:line="240" w:lineRule="auto"/>
      </w:pPr>
      <w:r>
        <w:t xml:space="preserve">Secondary hypotheses are: </w:t>
      </w:r>
    </w:p>
    <w:p w14:paraId="2BDB37A3" w14:textId="77777777" w:rsidR="00DC64D1" w:rsidRDefault="00DC64D1" w:rsidP="00F256EC">
      <w:pPr>
        <w:spacing w:after="0" w:line="240" w:lineRule="auto"/>
      </w:pPr>
    </w:p>
    <w:p w14:paraId="13F23ED6" w14:textId="77777777" w:rsidR="002B59D1" w:rsidRPr="00607522" w:rsidRDefault="002B59D1" w:rsidP="002B59D1">
      <w:pPr>
        <w:pStyle w:val="ListParagraph"/>
        <w:numPr>
          <w:ilvl w:val="0"/>
          <w:numId w:val="1"/>
        </w:numPr>
      </w:pPr>
      <w:r w:rsidRPr="00607522">
        <w:t xml:space="preserve">A significant proportion of patients presenting with cognitive symptoms and assessed for possible neurodegenerative disease have functional (psychogenic) cognitive disorders. </w:t>
      </w:r>
    </w:p>
    <w:p w14:paraId="4F614A51" w14:textId="77777777" w:rsidR="002B59D1" w:rsidRDefault="002B59D1" w:rsidP="002B59D1">
      <w:pPr>
        <w:pStyle w:val="ListParagraph"/>
        <w:numPr>
          <w:ilvl w:val="0"/>
          <w:numId w:val="1"/>
        </w:numPr>
        <w:spacing w:after="0" w:line="240" w:lineRule="auto"/>
      </w:pPr>
      <w:r>
        <w:t xml:space="preserve">Individuals </w:t>
      </w:r>
      <w:r w:rsidRPr="00607522">
        <w:t xml:space="preserve">with FCD report </w:t>
      </w:r>
      <w:r>
        <w:t>greater</w:t>
      </w:r>
      <w:r w:rsidRPr="00607522">
        <w:t xml:space="preserve"> levels of </w:t>
      </w:r>
      <w:r>
        <w:t>cognitive symptoms</w:t>
      </w:r>
      <w:r w:rsidRPr="00607522">
        <w:t xml:space="preserve">, distress, disability, quality of life impairment and psychiatric comorbidity than patients </w:t>
      </w:r>
      <w:r>
        <w:t>with neurodegenerative disease</w:t>
      </w:r>
      <w:r w:rsidRPr="00607522">
        <w:t>.</w:t>
      </w:r>
    </w:p>
    <w:p w14:paraId="626CF691" w14:textId="77777777" w:rsidR="00026987" w:rsidRDefault="00D72CAF" w:rsidP="003C7C29">
      <w:pPr>
        <w:pStyle w:val="Heading1"/>
      </w:pPr>
      <w:r>
        <w:t>Method</w:t>
      </w:r>
    </w:p>
    <w:p w14:paraId="093BFD29" w14:textId="77777777" w:rsidR="00D72CAF" w:rsidRDefault="00D72CAF" w:rsidP="00D72CAF">
      <w:pPr>
        <w:pStyle w:val="Heading2"/>
      </w:pPr>
      <w:r>
        <w:t>Study design</w:t>
      </w:r>
    </w:p>
    <w:p w14:paraId="5D6BB142" w14:textId="77777777" w:rsidR="00177B03" w:rsidRDefault="00897D49" w:rsidP="00D1656A">
      <w:r w:rsidRPr="000077C5">
        <w:t xml:space="preserve">The proposed study is a cross-sectional </w:t>
      </w:r>
      <w:r w:rsidR="003C7C29">
        <w:t>study of adult patients presenting to outpatient clinics with</w:t>
      </w:r>
      <w:r w:rsidRPr="000077C5">
        <w:t xml:space="preserve"> cognitive sympt</w:t>
      </w:r>
      <w:r w:rsidR="003C7C29">
        <w:t>oms</w:t>
      </w:r>
      <w:r w:rsidR="00177B03">
        <w:t xml:space="preserve">, with the exception of those presenting late with </w:t>
      </w:r>
      <w:r w:rsidR="006270C0">
        <w:t xml:space="preserve">established dementia </w:t>
      </w:r>
      <w:r w:rsidR="00177B03">
        <w:t>in whom there is no diagnost</w:t>
      </w:r>
      <w:r w:rsidR="006270C0">
        <w:t>ic doubt</w:t>
      </w:r>
      <w:r w:rsidR="00177B03">
        <w:t>. The study population</w:t>
      </w:r>
      <w:r w:rsidRPr="000077C5">
        <w:t xml:space="preserve"> will include</w:t>
      </w:r>
      <w:r w:rsidR="00177B03">
        <w:t xml:space="preserve"> </w:t>
      </w:r>
      <w:r w:rsidRPr="000077C5">
        <w:t xml:space="preserve">patients </w:t>
      </w:r>
      <w:r w:rsidR="00177B03">
        <w:t>referred</w:t>
      </w:r>
      <w:r w:rsidRPr="000077C5">
        <w:t xml:space="preserve"> </w:t>
      </w:r>
      <w:r w:rsidR="004E5189">
        <w:t>to the</w:t>
      </w:r>
      <w:r w:rsidR="00177B03">
        <w:t xml:space="preserve"> City of Edinburgh Memory Assessment and Treatment Service, the Neurology Department of the Western General Hospital, and the Neuropsychiatry Department of the Western General Hospital.</w:t>
      </w:r>
    </w:p>
    <w:p w14:paraId="077C26FE" w14:textId="3D2CF13A" w:rsidR="003C7C29" w:rsidRPr="000077C5" w:rsidRDefault="009C354A" w:rsidP="00D1656A">
      <w:r>
        <w:t xml:space="preserve">The study pathway and summary of the data gathered at each stage is illustrated in </w:t>
      </w:r>
      <w:r w:rsidR="00420CEF" w:rsidRPr="00420CEF">
        <w:rPr>
          <w:b/>
        </w:rPr>
        <w:t>Figure 1</w:t>
      </w:r>
      <w:r w:rsidR="00420CEF">
        <w:t xml:space="preserve"> and </w:t>
      </w:r>
      <w:r w:rsidRPr="00420CEF">
        <w:rPr>
          <w:b/>
        </w:rPr>
        <w:t>Appendix 1</w:t>
      </w:r>
      <w:r>
        <w:t xml:space="preserve">. </w:t>
      </w:r>
      <w:r w:rsidR="00897D49" w:rsidRPr="000077C5">
        <w:t xml:space="preserve">Following </w:t>
      </w:r>
      <w:r w:rsidR="000077C5" w:rsidRPr="000077C5">
        <w:t>standard clinical</w:t>
      </w:r>
      <w:r w:rsidR="00897D49" w:rsidRPr="000077C5">
        <w:t xml:space="preserve"> assessment participants will attend for an additional research assessment</w:t>
      </w:r>
      <w:r w:rsidR="000077C5" w:rsidRPr="000077C5">
        <w:t xml:space="preserve"> by a researcher (LM) blinded</w:t>
      </w:r>
      <w:r w:rsidR="0005009D">
        <w:t xml:space="preserve"> to</w:t>
      </w:r>
      <w:r w:rsidR="000077C5" w:rsidRPr="000077C5">
        <w:t xml:space="preserve"> </w:t>
      </w:r>
      <w:r w:rsidR="000077C5">
        <w:t xml:space="preserve">information collected in the clinical assessment </w:t>
      </w:r>
      <w:r w:rsidR="006270C0">
        <w:t>(</w:t>
      </w:r>
      <w:r w:rsidR="000077C5">
        <w:t>clinical history, cognitive testing, and investigations</w:t>
      </w:r>
      <w:r w:rsidR="006270C0">
        <w:t>)</w:t>
      </w:r>
      <w:r w:rsidR="0005009D">
        <w:t xml:space="preserve"> but not </w:t>
      </w:r>
      <w:r w:rsidR="006270C0">
        <w:t xml:space="preserve">blinded </w:t>
      </w:r>
      <w:r w:rsidR="0005009D">
        <w:t>to referral details or demographic information</w:t>
      </w:r>
      <w:r w:rsidR="00897D49" w:rsidRPr="000077C5">
        <w:t xml:space="preserve">. </w:t>
      </w:r>
    </w:p>
    <w:p w14:paraId="40F094F9" w14:textId="77777777" w:rsidR="003C7C29" w:rsidRDefault="006270C0" w:rsidP="003C7C29">
      <w:r>
        <w:t>The</w:t>
      </w:r>
      <w:r w:rsidR="000077C5" w:rsidRPr="00032B7A">
        <w:t xml:space="preserve"> research assessment will constitute a standardised interview, brief cognitive tests</w:t>
      </w:r>
      <w:r w:rsidR="003C7C29">
        <w:t>, brief neurological examination,</w:t>
      </w:r>
      <w:r w:rsidR="000077C5" w:rsidRPr="00032B7A">
        <w:t xml:space="preserve"> and questionnaires. </w:t>
      </w:r>
      <w:r w:rsidR="00032B7A" w:rsidRPr="00032B7A">
        <w:t xml:space="preserve">Each </w:t>
      </w:r>
      <w:r w:rsidR="000B508D">
        <w:t>participant</w:t>
      </w:r>
      <w:r w:rsidR="00032B7A" w:rsidRPr="00032B7A">
        <w:t xml:space="preserve"> will be scored against a standardised schedule of behavi</w:t>
      </w:r>
      <w:r w:rsidR="003C7C29">
        <w:t>ours and communication features during</w:t>
      </w:r>
      <w:r w:rsidR="002B59D1">
        <w:t xml:space="preserve"> this standardised assessment. </w:t>
      </w:r>
      <w:r w:rsidR="00ED523B">
        <w:t xml:space="preserve">The predictive value of individual items </w:t>
      </w:r>
      <w:r w:rsidR="009C354A">
        <w:t xml:space="preserve">(some binary, some continuous) </w:t>
      </w:r>
      <w:r w:rsidR="002B59D1">
        <w:t xml:space="preserve">will be </w:t>
      </w:r>
      <w:r w:rsidR="00ED523B">
        <w:t>examined</w:t>
      </w:r>
      <w:r w:rsidR="002B59D1">
        <w:t xml:space="preserve"> </w:t>
      </w:r>
      <w:r w:rsidR="004E5189">
        <w:t>against</w:t>
      </w:r>
      <w:r w:rsidR="00ED523B">
        <w:t xml:space="preserve"> a reference standard</w:t>
      </w:r>
      <w:r w:rsidR="002B59D1">
        <w:t xml:space="preserve"> diagnosis</w:t>
      </w:r>
      <w:r w:rsidR="009C354A">
        <w:t xml:space="preserve"> (panel diagnosis A)</w:t>
      </w:r>
      <w:r w:rsidR="002B59D1">
        <w:t xml:space="preserve"> established by panel consensus follo</w:t>
      </w:r>
      <w:r>
        <w:t xml:space="preserve">wing usual clinical assessment, and a scoring tool developed from the items with best predictive accuracy. </w:t>
      </w:r>
    </w:p>
    <w:p w14:paraId="688FDEDC" w14:textId="45D95BA7" w:rsidR="00897D49" w:rsidRDefault="00ED523B" w:rsidP="00D1656A">
      <w:r>
        <w:t xml:space="preserve">Electronic medical records will be examined after 1-2 </w:t>
      </w:r>
      <w:r w:rsidR="00FF1BDF">
        <w:t>year</w:t>
      </w:r>
      <w:r>
        <w:t xml:space="preserve">s </w:t>
      </w:r>
      <w:r w:rsidR="000B508D" w:rsidRPr="000B508D">
        <w:t>in order to identify cases of either a) resolution of cognitive symptoms or b</w:t>
      </w:r>
      <w:r w:rsidR="00FF1BDF">
        <w:t xml:space="preserve">) change </w:t>
      </w:r>
      <w:r w:rsidR="009C354A">
        <w:t xml:space="preserve">of diagnosis </w:t>
      </w:r>
      <w:r w:rsidR="00FF1BDF">
        <w:t xml:space="preserve">to dementia, and </w:t>
      </w:r>
      <w:r>
        <w:t xml:space="preserve">predictive value of both individual factors and the resulting scoring tool will be </w:t>
      </w:r>
      <w:r w:rsidR="00FF1BDF">
        <w:t xml:space="preserve">re-assessed. </w:t>
      </w:r>
    </w:p>
    <w:p w14:paraId="3E9DE325" w14:textId="77777777" w:rsidR="003C1235" w:rsidRPr="000B508D" w:rsidRDefault="003C1235" w:rsidP="00D1656A"/>
    <w:p w14:paraId="726585EB" w14:textId="77777777" w:rsidR="00E46D41" w:rsidRPr="00E46D41" w:rsidRDefault="006C035D" w:rsidP="00103104">
      <w:pPr>
        <w:pStyle w:val="Heading2"/>
      </w:pPr>
      <w:r>
        <w:lastRenderedPageBreak/>
        <w:t>Inclusion criteria</w:t>
      </w:r>
    </w:p>
    <w:p w14:paraId="3BCF8D12" w14:textId="27FBD56B" w:rsidR="00DC64D1" w:rsidRDefault="00E46D41" w:rsidP="00D1656A">
      <w:r w:rsidRPr="00EE6949">
        <w:t xml:space="preserve">Participants </w:t>
      </w:r>
      <w:r w:rsidR="00103104">
        <w:t>will be included if t</w:t>
      </w:r>
      <w:r w:rsidRPr="00103104">
        <w:t>hey have presented to the memory clinic</w:t>
      </w:r>
      <w:r w:rsidR="00F707D7">
        <w:t>, neurology, or neuropsychiatry clinic</w:t>
      </w:r>
      <w:r w:rsidRPr="00103104">
        <w:t xml:space="preserve"> with</w:t>
      </w:r>
      <w:r w:rsidR="00937BA7">
        <w:t xml:space="preserve"> predominantly</w:t>
      </w:r>
      <w:r w:rsidRPr="00103104">
        <w:t xml:space="preserve"> cognitive symptoms</w:t>
      </w:r>
      <w:r w:rsidR="00410B92">
        <w:t>, are &gt;18 years old, and are able to give informed consent</w:t>
      </w:r>
      <w:r w:rsidR="00103104">
        <w:t xml:space="preserve">. </w:t>
      </w:r>
    </w:p>
    <w:p w14:paraId="2463B964" w14:textId="77777777" w:rsidR="00722A6D" w:rsidRDefault="00E46D41" w:rsidP="00722A6D">
      <w:r w:rsidRPr="00342E8F">
        <w:t>Participants will be excluded if:</w:t>
      </w:r>
    </w:p>
    <w:p w14:paraId="20CC009B" w14:textId="77777777" w:rsidR="00E46D41" w:rsidRPr="00342E8F" w:rsidRDefault="00E46D41" w:rsidP="00722A6D">
      <w:pPr>
        <w:pStyle w:val="ListParagraph"/>
        <w:numPr>
          <w:ilvl w:val="0"/>
          <w:numId w:val="12"/>
        </w:numPr>
      </w:pPr>
      <w:r>
        <w:t>They are severely cognitively impaired and receive a diagnosis of probable Alzheimer’s type dementia (according to current consensus diagnostic criteria</w:t>
      </w:r>
      <w:r>
        <w:fldChar w:fldCharType="begin" w:fldLock="1"/>
      </w:r>
      <w:r w:rsidR="00EC7C67">
        <w:instrText>ADDIN CSL_CITATION {"citationItems":[{"id":"ITEM-1","itemData":{"DOI":"10.1016/j.jalz.2011.03.005","ISSN":"1552-5279","PMID":"21514250","abstract":"The National Institute on Aging and the Alzheimer's Association charged a workgroup with the task of revising the 1984 criteria for Alzheimer's disease (AD) dementia. The workgroup sought to ensure that the revised criteria would be flexible enough to be used by both general healthcare providers without access to neuropsychological testing, advanced imaging, and cerebrospinal fluid measures, and specialized investigators involved in research or in clinical trial studies who would have these tools available. We present criteria for all-cause dementia and for AD dementia. We retained the general framework of probable AD dementia from the 1984 criteria. On the basis of the past 27 years of experience, we made several changes in the clinical criteria for the diagnosis. We also retained the term possible AD dementia, but redefined it in a manner more focused than before. Biomarker evidence was also integrated into the diagnostic formulations for probable and possible AD dementia for use in research settings. The core clinical criteria for AD dementia will continue to be the cornerstone of the diagnosis in clinical practice, but biomarker evidence is expected to enhance the pathophysiological specificity of the diagnosis of AD dementia. Much work lies ahead for validating the biomarker diagnosis of AD dementia.","author":[{"dropping-particle":"","family":"McKhann","given":"Guy M","non-dropping-particle":"","parse-names":false,"suffix":""},{"dropping-particle":"","family":"Knopman","given":"David S","non-dropping-particle":"","parse-names":false,"suffix":""},{"dropping-particle":"","family":"Chertkow","given":"Howard","non-dropping-particle":"","parse-names":false,"suffix":""},{"dropping-particle":"","family":"Hyman","given":"Bradley T","non-dropping-particle":"","parse-names":false,"suffix":""},{"dropping-particle":"","family":"Jack","given":"Clifford R","non-dropping-particle":"","parse-names":false,"suffix":""},{"dropping-particle":"","family":"Kawas","given":"Claudia H","non-dropping-particle":"","parse-names":false,"suffix":""},{"dropping-particle":"","family":"Klunk","given":"William E","non-dropping-particle":"","parse-names":false,"suffix":""},{"dropping-particle":"","family":"Koroshetz","given":"Walter J","non-dropping-particle":"","parse-names":false,"suffix":""},{"dropping-particle":"","family":"Manly","given":"Jennifer J","non-dropping-particle":"","parse-names":false,"suffix":""},{"dropping-particle":"","family":"Mayeux","given":"Richard","non-dropping-particle":"","parse-names":false,"suffix":""},{"dropping-particle":"","family":"Mohs","given":"Richard C","non-dropping-particle":"","parse-names":false,"suffix":""},{"dropping-particle":"","family":"Morris","given":"John C","non-dropping-particle":"","parse-names":false,"suffix":""},{"dropping-particle":"","family":"Rossor","given":"Martin N","non-dropping-particle":"","parse-names":false,"suffix":""},{"dropping-particle":"","family":"Scheltens","given":"Philip","non-dropping-particle":"","parse-names":false,"suffix":""},{"dropping-particle":"","family":"Carrillo","given":"Maria C","non-dropping-particle":"","parse-names":false,"suffix":""},{"dropping-particle":"","family":"Thies","given":"Bill","non-dropping-particle":"","parse-names":false,"suffix":""},{"dropping-particle":"","family":"Weintraub","given":"Sandra","non-dropping-particle":"","parse-names":false,"suffix":""},{"dropping-particle":"","family":"Phelps","given":"Creighton H","non-dropping-particle":"","parse-names":false,"suffix":""},{"dropping-particle":"","family":"McKhann","given":"G.","non-dropping-particle":"","parse-names":false,"suffix":""},{"dropping-particle":"","family":"Drachman","given":"D.","non-dropping-particle":"","parse-names":false,"suffix":""},{"dropping-particle":"","family":"Folstein","given":"M.","non-dropping-particle":"","parse-names":false,"suffix":""},{"dropping-particle":"","family":"Katzman","given":"R.","non-dropping-particle":"","parse-names":false,"suffix":""},{"dropping-particle":"","family":"Price","given":"D.","non-dropping-particle":"","parse-names":false,"suffix":""},{"dropping-particle":"","family":"Stadlan","given":"E.M.","non-dropping-particle":"","parse-names":false,"suffix":""},{"dropping-particle":"","family":"Knopman","given":"D.S.","non-dropping-particle":"","parse-names":false,"suffix":""},{"dropping-particle":"","family":"DeKosky","given":"S.T.","non-dropping-particle":"","parse-names":false,"suffix":""},{"dropping-particle":"","family":"Cummings","given":"J.L.","non-dropping-particle":"","parse-names":false,"suffix":""},{"dropping-particle":"","family":"Chuit","given":"H.","non-dropping-particle":"","parse-names":false,"suffix":""},{"dropping-particle":"","family":"Corey-Bloom","given":"J.","non-dropping-particle":"","parse-names":false,"suffix":""},{"dropping-particle":"","family":"Relkin","given":"N.","non-dropping-particle":"","parse-names":false,"suffix":""},{"dropping-particle":"","family":"al.","given":"et","non-dropping-particle":"","parse-names":false,"suffix":""},{"dropping-particle":"","family":"Jack","given":"C.R.","non-dropping-particle":"","parse-names":false,"suffix":""},{"dropping-particle":"","family":"Albert","given":"M.S.","non-dropping-particle":"","parse-names":false,"suffix":""},{"dropping-particle":"","family":"Knopman","given":"D.S.","non-dropping-particle":"","parse-names":false,"suffix":""},{"dropping-particle":"","family":"McKhann","given":"G.M.","non-dropping-particle":"","parse-names":false,"suffix":""},{"dropping-particle":"","family":"Sperling","given":"R.A.","non-dropping-particle":"","parse-names":false,"suffix":""},{"dropping-particle":"","family":"Carrillo","given":"M..C","non-dropping-particle":"","parse-names":false,"suffix":""},{"dropping-particle":"","family":"al.","given":"et","non-dropping-particle":"","parse-names":false,"suffix":""},{"dropping-particle":"","family":"Sperling","given":"R.A.","non-dropping-particle":"","parse-names":false,"suffix":""},{"dropping-particle":"","family":"Aisen","given":"P.S.","non-dropping-particle":"","parse-names":false,"suffix":""},{"dropping-particle":"","family":"Beckett","given":"L.A.","non-dropping-particle":"","parse-names":false,"suffix":""},{"dropping-particle":"","family":"Bennett","given":"D.A.","non-dropping-particle":"","parse-names":false,"suffix":""},{"dropping-particle":"","family":"Craft","given":"S.","non-dropping-particle":"","parse-names":false,"suffix":""},{"dropping-particle":"","family":"Fagan","given":"A.M.","non-dropping-particle":"","parse-names":false,"suffix":""},{"dropping-particle":"","family":"al.","given":"et","non-dropping-particle":"","parse-names":false,"suffix":""},{"dropping-particle":"","family":"Albert","given":"M.S.","non-dropping-particle":"","parse-names":false,"suffix":""},{"dropping-particle":"","family":"DeKosky","given":"S.T.","non-dropping-particle":"","parse-names":false,"suffix":""},{"dropping-particle":"","family":"Dickson","given":"D.","non-dropping-particle":"","parse-names":false,"suffix":""},{"dropping-particle":"","family":"Dubois","given":"B.","non-dropping-particle":"","parse-names":false,"suffix":""},{"dropping-particle":"","family":"Feldman","given":"H.H.","non-dropping-particle":"","parse-names":false,"suffix":""},{"dropping-particle":"","family":"Fox","given":"N.C.","non-dropping-particle":"","parse-names":false,"suffix":""},{"dropping-particle":"","family":"al.","given":"et","non-dropping-particle":"","parse-names":false,"suffix":""},{"dropping-particle":"","family":"Jack","given":"C.R.","non-dropping-particle":"","parse-names":false,"suffix":""},{"dropping-particle":"","family":"Knopman","given":"D.S.","non-dropping-particle":"","parse-names":false,"suffix":""},{"dropping-particle":"","family":"Jagust","given":"W.J.","non-dropping-particle":"","parse-names":false,"suffix":""},{"dropping-particle":"","family":"Shaw","given":"L.M.","non-dropping-particle":"","parse-names":false,"suffix":""},{"dropping-particle":"","family":"Aisen","given":"P.S.","non-dropping-particle":"","parse-names":false,"suffix":""},{"dropping-particle":"","family":"Weiner","given":"M.W.","non-dropping-particle":"","parse-names":false,"suffix":""},{"dropping-particle":"","family":"al.","given":"et","non-dropping-particle":"","parse-names":false,"suffix":""},{"dropping-particle":"","family":"Fagan","given":"A.M.","non-dropping-particle":"","parse-names":false,"suffix":""},{"dropping-particle":"","family":"Head","given":"D.","non-dropping-particle":"","parse-names":false,"suffix":""},{"dropping-particle":"","family":"Shah","given":"A.R.","non-dropping-particle":"","parse-names":false,"suffix":""},{"dropping-particle":"","family":"Marcus","given":"D.","non-dropping-particle":"","parse-names":false,"suffix":""},{"dropping-particle":"","family":"Mintun","given":"M.","non-dropping-particle":"","parse-names":false,"suffix":""},{"dropping-particle":"","family":"Morris","given":"J.C.","non-dropping-particle":"","parse-names":false,"suffix":""},{"dropping-particle":"","family":"al.","given":"et","non-dropping-particle":"","parse-names":false,"suffix":""},{"dropping-particle":"","family":"McKeith","given":"I.G.","non-dropping-particle":"","parse-names":false,"suffix":""},{"dropping-particle":"","family":"Dickson","given":"D.W.","non-dropping-particle":"","parse-names":false,"suffix":""},{"dropping-particle":"","family":"Lowe","given":"J.","non-dropping-particle":"","parse-names":false,"suffix":""},{"dropping-particle":"","family":"Emre","given":"M.","non-dropping-particle":"","parse-names":false,"suffix":""},{"dropping-particle":"","family":"O’Brien","given":"J.T.","non-dropping-particle":"","parse-names":false,"suffix":""},{"dropping-particle":"","family":"Feldman","given":"H.","non-dropping-particle":"","parse-names":false,"suffix":""},{"dropping-particle":"","family":"al.","given":"et","non-dropping-particle":"","parse-names":false,"suffix":""},{"dropping-particle":"","family":"Roman","given":"G.C.","non-dropping-particle":"","parse-names":false,"suffix":""},{"dropping-particle":"","family":"Tatemichi","given":"T.K.","non-dropping-particle":"","parse-names":false,"suffix":""},{"dropping-particle":"","family":"Erkinjuntti","given":"T.","non-dropping-particle":"","parse-names":false,"suffix":""},{"dropping-particle":"","family":"Cummings","given":"J.L.","non-dropping-particle":"","parse-names":false,"suffix":""},{"dropping-particle":"","family":"Masdeu","given":"J.C.","non-dropping-particle":"","parse-names":false,"suffix":""},{"dropping-particle":"","family":"Garcia","given":"J.H.","non-dropping-particle":"","parse-names":false,"suffix":""},{"dropping-particle":"","family":"al.","given":"et","non-dropping-particle":"","parse-names":false,"suffix":""},{"dropping-particle":"","family":"Rascovsky","given":"K.","non-dropping-particle":"","parse-names":false,"suffix":""},{"dropping-particle":"","family":"Hodges","given":"J.R.","non-dropping-particle":"","parse-names":false,"suffix":""},{"dropping-particle":"","family":"Kipps","given":"C.M.","non-dropping-particle":"","parse-names":false,"suffix":""},{"dropping-particle":"","family":"Johnson","given":"J.K.","non-dropping-particle":"","parse-names":false,"suffix":""},{"dropping-particle":"","family":"Seeley","given":"W.W.","non-dropping-particle":"","parse-names":false,"suffix":""},{"dropping-particle":"","family":"Mendez","given":"M.F.","non-dropping-particle":"","parse-names":false,"suffix":""},{"dropping-particle":"","family":"al.","given":"et","non-dropping-particle":"","parse-names":false,"suffix":""},{"dropping-particle":"","family":"Neary","given":"D.","non-dropping-particle":"","parse-names":false,"suffix":""},{"dropping-particle":"","family":"Snowden","given":"J.S.","non-dropping-particle":"","parse-names":false,"suffix":""},{"dropping-particle":"","family":"Gustafson","given":"L.","non-dropping-particle":"","parse-names":false,"suffix":""},{"dropping-particle":"","family":"Passant","given":"U.","non-dropping-particle":"","parse-names":false,"suffix":""},{"dropping-particle":"","family":"Stuss","given":"D.","non-dropping-particle":"","parse-names":false,"suffix":""},{"dropping-particle":"","family":"Black","given":"S.","non-dropping-particle":"","parse-names":false,"suffix":""},{"dropping-particle":"","family":"al.","given":"et","non-dropping-particle":"","parse-names":false,"suffix":""},{"dropping-particle":"","family":"McKhann","given":"G.M.","non-dropping-particle":"","parse-names":false,"suffix":""},{"dropping-particle":"","family":"Albert","given":"M.S.","non-dropping-particle":"","parse-names":false,"suffix":""},{"dropping-particle":"","family":"Grossman","given":"M.","non-dropping-particle":"","parse-names":false,"suffix":""},{"dropping-particle":"","family":"Miller","given":"B.","non-dropping-particle":"","parse-names":false,"suffix":""},{"dropping-particle":"","family":"Dickson","given":"D.","non-dropping-particle":"","parse-names":false,"suffix":""},{"dropping-particle":"","family":"Trojanowski","given":"J.Q.","non-dropping-particle":"","parse-names":false,"suffix":""},{"dropping-particle":"","family":"Gorno-Tempini","given":"M.L.","non-dropping-particle":"","parse-names":false,"suffix":""},{"dropping-particle":"","family":"Hillis","given":"A.E.","non-dropping-particle":"","parse-names":false,"suffix":""},{"dropping-particle":"","family":"Weintraub","given":"S.","non-dropping-particle":"","parse-names":false,"suffix":""},{"dropping-particle":"","family":"Kertesz","given":"A.","non-dropping-particle":"","parse-names":false,"suffix":""},{"dropping-particle":"","family":"Mendez","given":"M.","non-dropping-particle":"","parse-names":false,"suffix":""},{"dropping-particle":"","family":"Cappa","given":"S.F.","non-dropping-particle":"","parse-names":false,"suffix":""},{"dropping-particle":"","family":"al.","given":"et","non-dropping-particle":"","parse-names":false,"suffix":""},{"dropping-particle":"","family":"Dubois","given":"B.","non-dropping-particle":"","parse-names":false,"suffix":""},{"dropping-particle":"","family":"Feldman","given":"H.H.","non-dropping-particle":"","parse-names":false,"suffix":""},{"dropping-particle":"","family":"Jacova","given":"C.","non-dropping-particle":"","parse-names":false,"suffix":""},{"dropping-particle":"","family":"Dekosky","given":"S.T.","non-dropping-particle":"","parse-names":false,"suffix":""},{"dropping-particle":"","family":"Barberger-Gateau","given":"P.","non-dropping-particle":"","parse-names":false,"suffix":""},{"dropping-particle":"","family":"Cummings","given":"J.","non-dropping-particle":"","parse-names":false,"suffix":""},{"dropping-particle":"","family":"al.","given":"et","non-dropping-particle":"","parse-names":false,"suffix":""},{"dropping-particle":"","family":"Alladi","given":"S.","non-dropping-particle":"","parse-names":false,"suffix":""},{"dropping-particle":"","family":"Xuereb","given":"J.","non-dropping-particle":"","parse-names":false,"suffix":""},{"dropping-particle":"","family":"Bak","given":"T.","non-dropping-particle":"","parse-names":false,"suffix":""},{"dropping-particle":"","family":"Nestor","given":"P.","non-dropping-particle":"","parse-names":false,"suffix":""},{"dropping-particle":"","family":"Knibb","given":"J.","non-dropping-particle":"","parse-names":false,"suffix":""},{"dropping-particle":"","family":"Patterson","given":"K.","non-dropping-particle":"","parse-names":false,"suffix":""},{"dropping-particle":"","family":"al.","given":"et","non-dropping-particle":"","parse-names":false,"suffix":""},{"dropping-particle":"","family":"Rabinovici","given":"G.D.","non-dropping-particle":"","parse-names":false,"suffix":""},{"dropping-particle":"","family":"Jagust","given":"W.J.","non-dropping-particle":"","parse-names":false,"suffix":""},{"dropping-particle":"","family":"Furst","given":"A.J.","non-dropping-particle":"","parse-names":false,"suffix":""},{"dropping-particle":"","family":"Ogar","given":"J.M.","non-dropping-particle":"","parse-names":false,"suffix":""},{"dropping-particle":"","family":"Racine","given":"C.A.","non-dropping-particle":"","parse-names":false,"suffix":""},{"dropping-particle":"","family":"Mormino","given":"E.C.","non-dropping-particle":"","parse-names":false,"suffix":""},{"dropping-particle":"","family":"al.","given":"et","non-dropping-particle":"","parse-names":false,"suffix":""},{"dropping-particle":"","family":"Bertram","given":"L.","non-dropping-particle":"","parse-names":false,"suffix":""},{"dropping-particle":"","family":"Tanzi","given":"R.E.","non-dropping-particle":"","parse-names":false,"suffix":""},{"dropping-particle":"","family":"Lleo","given":"A.","non-dropping-particle":"","parse-names":false,"suffix":""},{"dropping-particle":"","family":"Berezovska","given":"O.","non-dropping-particle":"","parse-names":false,"suffix":""},{"dropping-particle":"","family":"Growdon","given":"J.H.","non-dropping-particle":"","parse-names":false,"suffix":""},{"dropping-particle":"","family":"Hyman","given":"B.T.","non-dropping-particle":"","parse-names":false,"suffix":""},{"dropping-particle":"","family":"Dolan","given":"D.","non-dropping-particle":"","parse-names":false,"suffix":""},{"dropping-particle":"","family":"Troncoso","given":"J.","non-dropping-particle":"","parse-names":false,"suffix":""},{"dropping-particle":"","family":"Resnick","given":"S.M.","non-dropping-particle":"","parse-names":false,"suffix":""},{"dropping-particle":"","family":"Crain","given":"B.J.","non-dropping-particle":"","parse-names":false,"suffix":""},{"dropping-particle":"","family":"Zonderman","given":"A.B.","non-dropping-particle":"","parse-names":false,"suffix":""},{"dropping-particle":"","family":"O’Brien","given":"R.J.","non-dropping-particle":"","parse-names":false,"suffix":""},{"dropping-particle":"","family":"Mayeux","given":"R.","non-dropping-particle":"","parse-names":false,"suffix":""},{"dropping-particle":"","family":"Saunders","given":"A.M.","non-dropping-particle":"","parse-names":false,"suffix":""},{"dropping-particle":"","family":"Shea","given":"S.","non-dropping-particle":"","parse-names":false,"suffix":""},{"dropping-particle":"","family":"Mirra","given":"S.","non-dropping-particle":"","parse-names":false,"suffix":""},{"dropping-particle":"","family":"Evans","given":"D.","non-dropping-particle":"","parse-names":false,"suffix":""},{"dropping-particle":"","family":"Roses","given":"A.D.","non-dropping-particle":"","parse-names":false,"suffix":""},{"dropping-particle":"","family":"al.","given":"et","non-dropping-particle":"","parse-names":false,"suffix":""},{"dropping-particle":"","family":"Hampel","given":"H.","non-dropping-particle":"","parse-names":false,"suffix":""},{"dropping-particle":"","family":"Burger","given":"K.","non-dropping-particle":"","parse-names":false,"suffix":""},{"dropping-particle":"","family":"Teipel","given":"S.J.","non-dropping-particle":"","parse-names":false,"suffix":""},{"dropping-particle":"","family":"Bokde","given":"A.L.","non-dropping-particle":"","parse-names":false,"suffix":""},{"dropping-particle":"","family":"Zetterberg","given":"H.","non-dropping-particle":"","parse-names":false,"suffix":""},{"dropping-particle":"","family":"Blennow","given":"K.","non-dropping-particle":"","parse-names":false,"suffix":""},{"dropping-particle":"","family":"Jack","given":"C.R.","non-dropping-particle":"","parse-names":false,"suffix":""},{"dropping-particle":"","family":"Lowe","given":"V.J.","non-dropping-particle":"","parse-names":false,"suffix":""},{"dropping-particle":"","family":"Senjem","given":"M.L.","non-dropping-particle":"","parse-names":false,"suffix":""},{"dropping-particle":"","family":"Weigand","given":"S.D.","non-dropping-particle":"","parse-names":false,"suffix":""},{"dropping-particle":"","family":"Kemp","given":"B.J.","non-dropping-particle":"","parse-names":false,"suffix":""},{"dropping-particle":"","family":"Shiung","given":"M.M.","non-dropping-particle":"","parse-names":false,"suffix":""},{"dropping-particle":"","family":"al.","given":"et","non-dropping-particle":"","parse-names":false,"suffix":""},{"dropping-particle":"","family":"Chetelat","given":"G.","non-dropping-particle":"","parse-names":false,"suffix":""},{"dropping-particle":"","family":"Villemagne","given":"V.L.","non-dropping-particle":"","parse-names":false,"suffix":""},{"dropping-particle":"","family":"Bourgeat","given":"P.","non-dropping-particle":"","parse-names":false,"suffix":""},{"dropping-particle":"","family":"Pike","given":"K.E.","non-dropping-particle":"","parse-names":false,"suffix":""},{"dropping-particle":"","family":"Jones","given":"G.","non-dropping-particle":"","parse-names":false,"suffix":""},{"dropping-particle":"","family":"Ames","given":"D.","non-dropping-particle":"","parse-names":false,"suffix":""},{"dropping-particle":"","family":"al.","given":"et","non-dropping-particle":"","parse-names":false,"suffix":""},{"dropping-particle":"","family":"Hyman","given":"B.T.","non-dropping-particle":"","parse-names":false,"suffix":""},{"dropping-particle":"","family":"Trojanowski","given":"J.Q.","non-dropping-particle":"","parse-names":false,"suffix":""}],"container-title":"Alzheimer's &amp; dementia : the journal of the Alzheimer's Association","id":"ITEM-1","issue":"3","issued":{"date-parts":[["2011","5"]]},"page":"263-9","publisher":"Elsevier","title":"The diagnosis of dementia due to Alzheimer's disease: recommendations from the National Institute on Aging-Alzheimer's Association workgroups on diagnostic guidelines for Alzheimer's disease.","type":"article-journal","volume":"7"},"uris":["http://www.mendeley.com/documents/?uuid=e8044c7f-7af8-3ff0-9ad6-b7b12d8a13a8"]}],"mendeley":{"formattedCitation":"(McKhann et al., 2011)","plainTextFormattedCitation":"(McKhann et al., 2011)","previouslyFormattedCitation":"(McKhann et al., 2011)"},"properties":{"noteIndex":0},"schema":"https://github.com/citation-style-language/schema/raw/master/csl-citation.json"}</w:instrText>
      </w:r>
      <w:r>
        <w:fldChar w:fldCharType="separate"/>
      </w:r>
      <w:r w:rsidR="00E96C97" w:rsidRPr="00E96C97">
        <w:rPr>
          <w:noProof/>
        </w:rPr>
        <w:t>(McKhann et al., 2011)</w:t>
      </w:r>
      <w:r>
        <w:fldChar w:fldCharType="end"/>
      </w:r>
      <w:r>
        <w:t xml:space="preserve">) or a probable diagnosis of another dementia syndrome. </w:t>
      </w:r>
    </w:p>
    <w:p w14:paraId="4D3FF487" w14:textId="77777777" w:rsidR="00E46D41" w:rsidRPr="00342E8F" w:rsidRDefault="00E46D41" w:rsidP="00722A6D">
      <w:pPr>
        <w:pStyle w:val="ListParagraph"/>
        <w:numPr>
          <w:ilvl w:val="0"/>
          <w:numId w:val="12"/>
        </w:numPr>
      </w:pPr>
      <w:r w:rsidRPr="00342E8F">
        <w:t>They do not speak English (as the study include</w:t>
      </w:r>
      <w:r w:rsidR="00722A6D">
        <w:t>s</w:t>
      </w:r>
      <w:r w:rsidRPr="00342E8F">
        <w:t xml:space="preserve"> </w:t>
      </w:r>
      <w:r w:rsidR="00722A6D">
        <w:t xml:space="preserve">English-language validated </w:t>
      </w:r>
      <w:r w:rsidRPr="00342E8F">
        <w:t>questionnaires)</w:t>
      </w:r>
    </w:p>
    <w:p w14:paraId="2994BE0E" w14:textId="77777777" w:rsidR="00E46D41" w:rsidRPr="00342E8F" w:rsidRDefault="00E46D41" w:rsidP="00722A6D">
      <w:pPr>
        <w:pStyle w:val="ListParagraph"/>
        <w:numPr>
          <w:ilvl w:val="0"/>
          <w:numId w:val="12"/>
        </w:numPr>
      </w:pPr>
      <w:r w:rsidRPr="00342E8F">
        <w:t>They have a learning disability</w:t>
      </w:r>
    </w:p>
    <w:p w14:paraId="4A4BDEDA" w14:textId="77777777" w:rsidR="00E46D41" w:rsidRPr="00342E8F" w:rsidRDefault="00E46D41" w:rsidP="00722A6D">
      <w:pPr>
        <w:pStyle w:val="ListParagraph"/>
        <w:numPr>
          <w:ilvl w:val="0"/>
          <w:numId w:val="12"/>
        </w:numPr>
      </w:pPr>
      <w:r w:rsidRPr="00342E8F">
        <w:t>They are under the age of 18</w:t>
      </w:r>
    </w:p>
    <w:p w14:paraId="5BB11AC6" w14:textId="77777777" w:rsidR="00E46D41" w:rsidRPr="00342E8F" w:rsidRDefault="00E46D41" w:rsidP="00722A6D">
      <w:pPr>
        <w:pStyle w:val="ListParagraph"/>
        <w:numPr>
          <w:ilvl w:val="0"/>
          <w:numId w:val="12"/>
        </w:numPr>
      </w:pPr>
      <w:r w:rsidRPr="00342E8F">
        <w:t>They have a severe psychiatric disorder (including active suicide risk</w:t>
      </w:r>
      <w:r>
        <w:t xml:space="preserve">, severe personality disorder, or </w:t>
      </w:r>
      <w:r w:rsidRPr="00342E8F">
        <w:t>psychosis)</w:t>
      </w:r>
    </w:p>
    <w:p w14:paraId="345D0602" w14:textId="77777777" w:rsidR="00897D49" w:rsidRPr="00026987" w:rsidRDefault="00E46D41" w:rsidP="00D1656A">
      <w:pPr>
        <w:pStyle w:val="ListParagraph"/>
        <w:numPr>
          <w:ilvl w:val="0"/>
          <w:numId w:val="12"/>
        </w:numPr>
      </w:pPr>
      <w:r w:rsidRPr="00342E8F">
        <w:t>There is evidence or strong clinical suspicion that they have factitious disorder</w:t>
      </w:r>
    </w:p>
    <w:p w14:paraId="373CAB92" w14:textId="77777777" w:rsidR="00E37388" w:rsidRDefault="00E37388" w:rsidP="00E37388">
      <w:pPr>
        <w:pStyle w:val="Heading1"/>
      </w:pPr>
      <w:r>
        <w:t>Procedure</w:t>
      </w:r>
    </w:p>
    <w:p w14:paraId="733444B4" w14:textId="2D36EA18" w:rsidR="00E37388" w:rsidRDefault="00E37388" w:rsidP="00E37388">
      <w:r>
        <w:t xml:space="preserve">The research study pathway is illustrated in </w:t>
      </w:r>
      <w:r w:rsidRPr="00E37388">
        <w:rPr>
          <w:b/>
        </w:rPr>
        <w:t>Appendix 1</w:t>
      </w:r>
      <w:r>
        <w:t xml:space="preserve">. </w:t>
      </w:r>
    </w:p>
    <w:p w14:paraId="6FBC39AA" w14:textId="0F881903" w:rsidR="00E46D41" w:rsidRPr="00E46D41" w:rsidRDefault="00D72CAF" w:rsidP="00193F0E">
      <w:pPr>
        <w:pStyle w:val="Heading2"/>
      </w:pPr>
      <w:r>
        <w:t>Recruitment</w:t>
      </w:r>
      <w:r w:rsidR="00026987">
        <w:t xml:space="preserve"> and consent</w:t>
      </w:r>
    </w:p>
    <w:p w14:paraId="22FD1EC7" w14:textId="77777777" w:rsidR="00994B37" w:rsidRDefault="00994B37" w:rsidP="00D1656A">
      <w:r>
        <w:t>Participants</w:t>
      </w:r>
      <w:r w:rsidR="00A72D84">
        <w:t xml:space="preserve"> will be recruited from</w:t>
      </w:r>
      <w:r>
        <w:t xml:space="preserve">  three sources:</w:t>
      </w:r>
      <w:r w:rsidR="00A72D84">
        <w:t xml:space="preserve"> </w:t>
      </w:r>
      <w:r>
        <w:t xml:space="preserve">neurology outpatient clinics at the Western General Hospital, Neuropsychiatry clinics at the Western General Hospital, and from </w:t>
      </w:r>
      <w:r w:rsidR="00A72D84">
        <w:t>the City of Edinburgh Memory Assessme</w:t>
      </w:r>
      <w:r>
        <w:t>nt and Treatment Service (MATS).</w:t>
      </w:r>
    </w:p>
    <w:p w14:paraId="6392810C" w14:textId="77777777" w:rsidR="00994B37" w:rsidRDefault="00A03C42" w:rsidP="00A03C42">
      <w:pPr>
        <w:pStyle w:val="Heading3"/>
      </w:pPr>
      <w:r>
        <w:t>-  R</w:t>
      </w:r>
      <w:r w:rsidR="00994B37">
        <w:t>ecruitment from neurology</w:t>
      </w:r>
    </w:p>
    <w:p w14:paraId="1AD03573" w14:textId="111B0F7F" w:rsidR="00D941CC" w:rsidRDefault="004C0DE2" w:rsidP="00A03C42">
      <w:r w:rsidRPr="004C0DE2">
        <w:rPr>
          <w:color w:val="000000" w:themeColor="text1"/>
        </w:rPr>
        <w:t xml:space="preserve">Patients referred to neurology outpatient clinics at the Western General </w:t>
      </w:r>
      <w:r w:rsidR="00937BA7">
        <w:rPr>
          <w:color w:val="000000" w:themeColor="text1"/>
        </w:rPr>
        <w:t xml:space="preserve">with predominantly cognitive symptoms will be recruited following </w:t>
      </w:r>
      <w:r w:rsidR="00937BA7">
        <w:t xml:space="preserve">clinical assessment. </w:t>
      </w:r>
      <w:r w:rsidR="00D941CC" w:rsidRPr="00D941CC">
        <w:t>The consultant neurologist (direct care team) who has assessed the patient will consider whether the patient is suitable to take part in the study. If the patient meets inclusion criteria the consultant neurologist will provide the potential participant with the Participant Information Sheet (PIS), and explain the study to the potential participant at</w:t>
      </w:r>
      <w:r w:rsidR="00D941CC">
        <w:t xml:space="preserve"> the end of the appointment. The potential participant will be offered the opportunity to be contacted by a researcher to find out more about the study, but it will be made clear that there is not requirement to do so and if they would prefer not to be contacted this will not affect their clinical care. If the potential participant would like more time to think about whether they wish to find out more about the study from a researcher, they will be invited to take the PIS away and make </w:t>
      </w:r>
      <w:r w:rsidR="00164964">
        <w:t xml:space="preserve">contact with the researcher directly, using provided contact details, at a later date. </w:t>
      </w:r>
    </w:p>
    <w:p w14:paraId="066D9183" w14:textId="40EDD49D" w:rsidR="00994B37" w:rsidRPr="00937BA7" w:rsidRDefault="00A03C42" w:rsidP="00A03C42">
      <w:pPr>
        <w:rPr>
          <w:color w:val="000000" w:themeColor="text1"/>
        </w:rPr>
      </w:pPr>
      <w:bookmarkStart w:id="0" w:name="_GoBack"/>
      <w:bookmarkEnd w:id="0"/>
      <w:r w:rsidRPr="00A03C42">
        <w:t xml:space="preserve">Dr McWhirter will contact those who have consented to be contacted by telephone after at least 24 hours to </w:t>
      </w:r>
      <w:r w:rsidR="00164964">
        <w:t>explain</w:t>
      </w:r>
      <w:r w:rsidR="00164964" w:rsidRPr="00A03C42">
        <w:t xml:space="preserve"> </w:t>
      </w:r>
      <w:r w:rsidRPr="00A03C42">
        <w:t xml:space="preserve">the study </w:t>
      </w:r>
      <w:r w:rsidR="00164964">
        <w:t xml:space="preserve">in detail </w:t>
      </w:r>
      <w:r w:rsidRPr="00A03C42">
        <w:t>and give the potential participant the opportunity to ask questions.</w:t>
      </w:r>
    </w:p>
    <w:p w14:paraId="34741480" w14:textId="77777777" w:rsidR="00994B37" w:rsidRDefault="00A03C42" w:rsidP="00A03C42">
      <w:pPr>
        <w:pStyle w:val="Heading3"/>
      </w:pPr>
      <w:r>
        <w:t>-  R</w:t>
      </w:r>
      <w:r w:rsidR="00994B37">
        <w:t>ecruitment from neuropsychiatry</w:t>
      </w:r>
    </w:p>
    <w:p w14:paraId="3DB533F1" w14:textId="77777777" w:rsidR="00164964" w:rsidRDefault="00994B37" w:rsidP="00D1656A">
      <w:r>
        <w:t xml:space="preserve">Potential participants attending neuropsychiatry clinics at the Western General Hospital </w:t>
      </w:r>
      <w:r w:rsidR="00937BA7">
        <w:t xml:space="preserve">with predominantly cognitive symptoms will be recruited following clinical assessment. </w:t>
      </w:r>
    </w:p>
    <w:p w14:paraId="0445E6AD" w14:textId="77777777" w:rsidR="00164964" w:rsidRDefault="00164964" w:rsidP="00D1656A"/>
    <w:p w14:paraId="64433808" w14:textId="3DC5FFD8" w:rsidR="00994B37" w:rsidRDefault="00164964" w:rsidP="00D1656A">
      <w:r w:rsidRPr="00164964">
        <w:t xml:space="preserve">The consultant neurologist (direct care team) who has assessed the patient will consider whether the patient is suitable to take part in the study. If the patient meets inclusion criteria the consultant </w:t>
      </w:r>
      <w:r w:rsidRPr="00164964">
        <w:lastRenderedPageBreak/>
        <w:t xml:space="preserve">neurologist will provide the potential participant with the Participant Information Sheet (PIS), and explain the study to the potential participant at the end of the appointment. The potential participant will be offered the opportunity to be contacted by a researcher to find out more about the study, but it will be made clear that there is not requirement to do so and if they would prefer not to be contacted this will not affect their clinical care. If the potential participant would like more time to think about whether they wish to find out more about the study from a researcher, they will be invited to take the PIS away and make contact with the researcher directly, using provided contact details, at a later date. </w:t>
      </w:r>
      <w:r w:rsidR="00A03C42">
        <w:t xml:space="preserve">Dr McWhirter will contact those who have consented to be contacted by telephone </w:t>
      </w:r>
      <w:r w:rsidR="00C31BC3">
        <w:t xml:space="preserve">on a single occasion </w:t>
      </w:r>
      <w:r w:rsidR="00A03C42">
        <w:t xml:space="preserve">after at least 24 hours to </w:t>
      </w:r>
      <w:r>
        <w:t xml:space="preserve">explain </w:t>
      </w:r>
      <w:r w:rsidR="00A03C42">
        <w:t xml:space="preserve">the study </w:t>
      </w:r>
      <w:r>
        <w:t xml:space="preserve">in detail </w:t>
      </w:r>
      <w:r w:rsidR="00A03C42">
        <w:t xml:space="preserve">and give the potential participant the opportunity to ask questions. </w:t>
      </w:r>
    </w:p>
    <w:p w14:paraId="01C97A54" w14:textId="3B6DCDCE" w:rsidR="00994B37" w:rsidRDefault="00A03C42" w:rsidP="00A03C42">
      <w:pPr>
        <w:pStyle w:val="Heading3"/>
      </w:pPr>
      <w:r>
        <w:t>-  R</w:t>
      </w:r>
      <w:r w:rsidR="00994B37">
        <w:t>ecruitment fr</w:t>
      </w:r>
      <w:r>
        <w:t>om the o</w:t>
      </w:r>
      <w:r w:rsidR="007029E2">
        <w:t>lder-adults</w:t>
      </w:r>
      <w:r w:rsidR="00994B37">
        <w:t xml:space="preserve"> psychiatry memory clinic</w:t>
      </w:r>
      <w:r>
        <w:t xml:space="preserve"> (MATS)</w:t>
      </w:r>
    </w:p>
    <w:p w14:paraId="32208B97" w14:textId="77777777" w:rsidR="008574A2" w:rsidRDefault="008574A2" w:rsidP="00D1656A">
      <w:r>
        <w:t>Participants will be recruited from the memory clinic (MATS) in two ways:</w:t>
      </w:r>
    </w:p>
    <w:p w14:paraId="0C455C95" w14:textId="5A0F4881" w:rsidR="00F50BD2" w:rsidRDefault="00F50BD2" w:rsidP="00537894">
      <w:pPr>
        <w:ind w:left="720" w:hanging="720"/>
      </w:pPr>
      <w:r>
        <w:t xml:space="preserve">a) </w:t>
      </w:r>
      <w:r>
        <w:tab/>
        <w:t xml:space="preserve">Potential participants </w:t>
      </w:r>
      <w:r w:rsidRPr="00F50BD2">
        <w:t xml:space="preserve">meeting inclusion criteria will be told about the study by the clinician who has performed their clinical assessment: a consultant psychiatrist or consultant neurologist from the direct care team. </w:t>
      </w:r>
      <w:r w:rsidR="00164964" w:rsidRPr="00164964">
        <w:t>The consultant neurologist (direct care team) who has assessed the patient will consider whether the patient is suitable to take part in the study. If the patient meets inclusion criteria the consultant neurologist will provide the potential participant with the Participant Information Sheet (PIS), and explain the study to the potential participant at the end of the appointment. The potential participant will be offered the opportunity to be contacted by a researcher to find out more about the study, but it will be made clear that there is not requirement to do so and if they would prefer not to be contacted this will not affect their clinical care. If the potential participant would like more time to think about whether they wish to find out more about the study from a researcher, they will be invited to take the PIS away and make contact with the researcher directly, using provided contact details, at a later date.</w:t>
      </w:r>
      <w:r w:rsidR="00164964">
        <w:t xml:space="preserve"> </w:t>
      </w:r>
      <w:r w:rsidRPr="00F50BD2">
        <w:t xml:space="preserve">Dr McWhirter will contact those who have </w:t>
      </w:r>
      <w:r w:rsidR="00164964">
        <w:t xml:space="preserve">verbally </w:t>
      </w:r>
      <w:r w:rsidRPr="00F50BD2">
        <w:t xml:space="preserve">consented to be contacted by telephone </w:t>
      </w:r>
      <w:r w:rsidR="00164964">
        <w:t xml:space="preserve">on a single occasion </w:t>
      </w:r>
      <w:r w:rsidRPr="00F50BD2">
        <w:t>after at least 24 hours to discuss the study and give the potential participant the opportunity to ask questions.</w:t>
      </w:r>
    </w:p>
    <w:p w14:paraId="0F594243" w14:textId="2202036F" w:rsidR="00E37388" w:rsidRDefault="00F50BD2" w:rsidP="00537894">
      <w:pPr>
        <w:ind w:left="720" w:hanging="720"/>
      </w:pPr>
      <w:r>
        <w:t>b)</w:t>
      </w:r>
      <w:r>
        <w:tab/>
        <w:t>At</w:t>
      </w:r>
      <w:r w:rsidR="00897D49">
        <w:t xml:space="preserve"> the time of </w:t>
      </w:r>
      <w:r w:rsidR="00F2433D">
        <w:t>initial</w:t>
      </w:r>
      <w:r w:rsidR="00897D49">
        <w:t xml:space="preserve"> assessment </w:t>
      </w:r>
      <w:r w:rsidR="00722A6D">
        <w:t xml:space="preserve">at MATS, </w:t>
      </w:r>
      <w:r w:rsidR="00897D49">
        <w:t>all patients are asked whether they would be willing to be contacted by a researcher for a range of studies being run in the Centre for Dementia Prevention. This interest is documented in an e-Register (</w:t>
      </w:r>
      <w:r w:rsidR="006C035D">
        <w:t xml:space="preserve">the </w:t>
      </w:r>
      <w:r w:rsidR="00897D49">
        <w:t xml:space="preserve">Scottish Brain Health Register). From this register, </w:t>
      </w:r>
      <w:r w:rsidR="006C035D">
        <w:t xml:space="preserve">eligible </w:t>
      </w:r>
      <w:r w:rsidR="00897D49">
        <w:t xml:space="preserve">participants </w:t>
      </w:r>
      <w:r>
        <w:t xml:space="preserve">will be contacted by Dr McWhirter by telephone / post / email as per the preference they have indicated at the time of joining the e-Register. Interested potential participants will be send a </w:t>
      </w:r>
      <w:r w:rsidR="00316F09">
        <w:t>participant information sheet</w:t>
      </w:r>
      <w:r>
        <w:t xml:space="preserve"> </w:t>
      </w:r>
      <w:r w:rsidR="00E505B5">
        <w:t xml:space="preserve">with covering letter </w:t>
      </w:r>
      <w:r>
        <w:t xml:space="preserve">and </w:t>
      </w:r>
      <w:r w:rsidR="00E505B5">
        <w:t xml:space="preserve">then </w:t>
      </w:r>
      <w:r>
        <w:t>contacted by Dr McWhirter</w:t>
      </w:r>
      <w:r w:rsidR="00C31BC3">
        <w:t>, once,</w:t>
      </w:r>
      <w:r>
        <w:t xml:space="preserve"> after a period of at least 5 days with the opportunity</w:t>
      </w:r>
      <w:r w:rsidR="00A03C42">
        <w:t xml:space="preserve"> to ask questions</w:t>
      </w:r>
      <w:r w:rsidR="00897D49">
        <w:t>.</w:t>
      </w:r>
      <w:r w:rsidR="006C035D">
        <w:t xml:space="preserve"> </w:t>
      </w:r>
      <w:r>
        <w:t xml:space="preserve">It is hoped that this will allow additional participants to be identified from MATS </w:t>
      </w:r>
      <w:r w:rsidR="00E505B5">
        <w:t xml:space="preserve">who have signed up to the e-Register but </w:t>
      </w:r>
      <w:r>
        <w:t>where the consultant who has assessed the patient has forgotten or not had the opportunity to provide information about the study at the time of the clinical assessment.</w:t>
      </w:r>
    </w:p>
    <w:p w14:paraId="01EC3450" w14:textId="4552DF88" w:rsidR="00C969C3" w:rsidRDefault="00C969C3" w:rsidP="00C969C3">
      <w:pPr>
        <w:pStyle w:val="Heading2"/>
      </w:pPr>
      <w:r>
        <w:t>Usual clinical assessment</w:t>
      </w:r>
    </w:p>
    <w:p w14:paraId="6918BCBA" w14:textId="4CFB3557" w:rsidR="00A03C42" w:rsidRPr="00931551" w:rsidRDefault="00897D49" w:rsidP="00D1656A">
      <w:pPr>
        <w:rPr>
          <w:color w:val="000000" w:themeColor="text1"/>
        </w:rPr>
      </w:pPr>
      <w:r>
        <w:t>Those who agree to participate will</w:t>
      </w:r>
      <w:r w:rsidR="00D64E78">
        <w:t xml:space="preserve"> </w:t>
      </w:r>
      <w:r w:rsidR="00E811D3">
        <w:t>already have</w:t>
      </w:r>
      <w:r w:rsidR="00937BA7">
        <w:t xml:space="preserve"> undergone usual clinical assessment, including</w:t>
      </w:r>
      <w:r w:rsidR="0005009D">
        <w:t xml:space="preserve"> a</w:t>
      </w:r>
      <w:r w:rsidR="00A03C42">
        <w:t xml:space="preserve"> </w:t>
      </w:r>
      <w:r w:rsidR="00D64E78">
        <w:t xml:space="preserve">clinical history, mental state examination, </w:t>
      </w:r>
      <w:r w:rsidR="00A03C42">
        <w:t xml:space="preserve">baseline cognitive profiling with the </w:t>
      </w:r>
      <w:proofErr w:type="spellStart"/>
      <w:r w:rsidR="00A03C42">
        <w:t>Addenbrooke’s</w:t>
      </w:r>
      <w:proofErr w:type="spellEnd"/>
      <w:r w:rsidR="00A03C42">
        <w:t xml:space="preserve"> Cognitive Examination (iii), </w:t>
      </w:r>
      <w:r w:rsidR="00937BA7">
        <w:t xml:space="preserve">the Lawton-Brody Activities of Daily Living scale </w:t>
      </w:r>
      <w:r w:rsidR="00A03C42">
        <w:t xml:space="preserve">and </w:t>
      </w:r>
      <w:r w:rsidR="00E811D3">
        <w:t xml:space="preserve">a </w:t>
      </w:r>
      <w:r w:rsidR="00937BA7">
        <w:t>caregiver burden assessment scale</w:t>
      </w:r>
      <w:r w:rsidR="00E811D3">
        <w:t>. These measures are part of</w:t>
      </w:r>
      <w:r w:rsidR="00C969C3">
        <w:t xml:space="preserve"> the standard assessment at MATS</w:t>
      </w:r>
      <w:r w:rsidR="00E811D3">
        <w:t>, and for the purpose of standardising clinical assessment for this study, will be included in the clinical assessment carried out on neurology and neuropsychiatry patients</w:t>
      </w:r>
      <w:r w:rsidR="00A03C42">
        <w:t xml:space="preserve">. </w:t>
      </w:r>
      <w:r w:rsidR="00C969C3">
        <w:t xml:space="preserve">These are standard clinical tools widely used </w:t>
      </w:r>
      <w:r w:rsidR="00C969C3">
        <w:lastRenderedPageBreak/>
        <w:t xml:space="preserve">in patients presenting with memory problems. </w:t>
      </w:r>
      <w:r w:rsidR="0005009D" w:rsidRPr="001018B4">
        <w:rPr>
          <w:color w:val="000000" w:themeColor="text1"/>
        </w:rPr>
        <w:t xml:space="preserve">Some, but not all, </w:t>
      </w:r>
      <w:r w:rsidR="00E811D3">
        <w:rPr>
          <w:color w:val="000000" w:themeColor="text1"/>
        </w:rPr>
        <w:t xml:space="preserve">subjects </w:t>
      </w:r>
      <w:r w:rsidR="0005009D" w:rsidRPr="001018B4">
        <w:rPr>
          <w:color w:val="000000" w:themeColor="text1"/>
        </w:rPr>
        <w:t xml:space="preserve">will have had </w:t>
      </w:r>
      <w:r w:rsidR="001018B4">
        <w:rPr>
          <w:color w:val="000000" w:themeColor="text1"/>
        </w:rPr>
        <w:t xml:space="preserve">brain imaging studies. </w:t>
      </w:r>
      <w:r w:rsidR="0005009D" w:rsidRPr="001018B4">
        <w:rPr>
          <w:color w:val="000000" w:themeColor="text1"/>
        </w:rPr>
        <w:t xml:space="preserve"> </w:t>
      </w:r>
      <w:r w:rsidR="00931551">
        <w:rPr>
          <w:color w:val="000000" w:themeColor="text1"/>
        </w:rPr>
        <w:t>For those potential participants in whom MRI brain is requested</w:t>
      </w:r>
      <w:r w:rsidR="00931551" w:rsidRPr="003C1235">
        <w:rPr>
          <w:color w:val="000000" w:themeColor="text1"/>
        </w:rPr>
        <w:t xml:space="preserve">, </w:t>
      </w:r>
      <w:proofErr w:type="spellStart"/>
      <w:r w:rsidR="00931551" w:rsidRPr="003C1235">
        <w:rPr>
          <w:color w:val="000000" w:themeColor="text1"/>
        </w:rPr>
        <w:t>combinostics</w:t>
      </w:r>
      <w:proofErr w:type="spellEnd"/>
      <w:r w:rsidR="00931551" w:rsidRPr="003C1235">
        <w:rPr>
          <w:color w:val="000000" w:themeColor="text1"/>
        </w:rPr>
        <w:t xml:space="preserve"> </w:t>
      </w:r>
      <w:proofErr w:type="spellStart"/>
      <w:r w:rsidR="00931551" w:rsidRPr="003C1235">
        <w:rPr>
          <w:color w:val="000000" w:themeColor="text1"/>
        </w:rPr>
        <w:t>cNeuro</w:t>
      </w:r>
      <w:proofErr w:type="spellEnd"/>
      <w:r w:rsidR="00931551">
        <w:rPr>
          <w:color w:val="000000" w:themeColor="text1"/>
        </w:rPr>
        <w:t xml:space="preserve"> quantitative </w:t>
      </w:r>
      <w:r w:rsidR="00B11E24">
        <w:rPr>
          <w:color w:val="000000" w:themeColor="text1"/>
        </w:rPr>
        <w:t>analysis</w:t>
      </w:r>
      <w:r w:rsidR="00931551">
        <w:rPr>
          <w:color w:val="000000" w:themeColor="text1"/>
        </w:rPr>
        <w:t xml:space="preserve"> of images will be requested, providing quantitative scores of regional and global atrophy</w:t>
      </w:r>
      <w:r w:rsidR="00B11E24">
        <w:rPr>
          <w:color w:val="000000" w:themeColor="text1"/>
        </w:rPr>
        <w:t xml:space="preserve"> (this is routinely available clinically)</w:t>
      </w:r>
      <w:r w:rsidR="00931551">
        <w:rPr>
          <w:color w:val="000000" w:themeColor="text1"/>
        </w:rPr>
        <w:t>.</w:t>
      </w:r>
    </w:p>
    <w:p w14:paraId="42AFE6C0" w14:textId="77777777" w:rsidR="000924F8" w:rsidRDefault="00D72CAF" w:rsidP="0005009D">
      <w:pPr>
        <w:pStyle w:val="Heading1"/>
      </w:pPr>
      <w:r>
        <w:t>Research Assessment</w:t>
      </w:r>
      <w:r w:rsidR="009C354A">
        <w:t xml:space="preserve"> </w:t>
      </w:r>
    </w:p>
    <w:p w14:paraId="63AA856B" w14:textId="4FE6C95C" w:rsidR="00C969C3" w:rsidRPr="00C969C3" w:rsidRDefault="00C969C3" w:rsidP="00C969C3">
      <w:pPr>
        <w:pStyle w:val="Heading2"/>
      </w:pPr>
      <w:r>
        <w:t xml:space="preserve">Location </w:t>
      </w:r>
    </w:p>
    <w:p w14:paraId="638E0921" w14:textId="0E221921" w:rsidR="00C969C3" w:rsidRDefault="00C969C3" w:rsidP="00C969C3">
      <w:r>
        <w:t xml:space="preserve">Those who agree to participate will be invited to attend </w:t>
      </w:r>
      <w:r w:rsidRPr="001018B4">
        <w:rPr>
          <w:color w:val="000000" w:themeColor="text1"/>
        </w:rPr>
        <w:t>either the Centre for Dementia Prevention</w:t>
      </w:r>
      <w:r w:rsidR="00FD3B30">
        <w:rPr>
          <w:color w:val="000000" w:themeColor="text1"/>
        </w:rPr>
        <w:t xml:space="preserve"> (a Clinical Research Facility), or the Outpatient Department at the </w:t>
      </w:r>
      <w:r w:rsidRPr="001018B4">
        <w:rPr>
          <w:color w:val="000000" w:themeColor="text1"/>
        </w:rPr>
        <w:t xml:space="preserve">Department for Clinical Neurosciences, or to be visited by a researcher (LM) at home, at </w:t>
      </w:r>
      <w:r>
        <w:t xml:space="preserve">a date and time convenient to them for the research assessment, within 8 weeks of their standard clinical assessment. The research assessment will take </w:t>
      </w:r>
      <w:r w:rsidR="00FD3B30">
        <w:t>no more than 2 hours</w:t>
      </w:r>
      <w:r>
        <w:t xml:space="preserve">. Participants will be </w:t>
      </w:r>
      <w:r w:rsidRPr="001018B4">
        <w:rPr>
          <w:color w:val="000000" w:themeColor="text1"/>
        </w:rPr>
        <w:t xml:space="preserve">reimbursed </w:t>
      </w:r>
      <w:r>
        <w:t xml:space="preserve">for reasonable travel expenses. </w:t>
      </w:r>
    </w:p>
    <w:p w14:paraId="1B84D3FC" w14:textId="16E906A2" w:rsidR="00C969C3" w:rsidRPr="00C969C3" w:rsidRDefault="00C969C3" w:rsidP="00C969C3">
      <w:pPr>
        <w:pStyle w:val="Heading2"/>
      </w:pPr>
      <w:r w:rsidRPr="00C969C3">
        <w:t>Informed consent</w:t>
      </w:r>
    </w:p>
    <w:p w14:paraId="51C53E04" w14:textId="4147C6E1" w:rsidR="00C969C3" w:rsidRDefault="00C969C3" w:rsidP="00C969C3">
      <w:r>
        <w:t xml:space="preserve">Informed consent will be taken from all participants prior to the research assessment. In the first instance, verbal consent will be taken over the telephone a) after potential participants have received and read the </w:t>
      </w:r>
      <w:r w:rsidR="00316F09">
        <w:t>participant information sheet</w:t>
      </w:r>
      <w:r>
        <w:t xml:space="preserve"> b) after potential participants have had the study explained to them by Dr McWhirter, have had the opportunity to ask questions, and have been satisfied with the answers to all questions, and c) after potential participants have verbally agreed to participate and for a research appointment date and time to be arranged. Written informed consent will again be taken in person on the day that the participant attends for the research assessment. </w:t>
      </w:r>
      <w:r w:rsidR="00657460">
        <w:t>No information will be collected without written consent, and p</w:t>
      </w:r>
      <w:r>
        <w:t>articipants will be reminded that they are free to withdraw consent at any time.</w:t>
      </w:r>
    </w:p>
    <w:p w14:paraId="2F3C38F2" w14:textId="15028D76" w:rsidR="00EC3F5C" w:rsidRPr="00657460" w:rsidRDefault="00EC3F5C" w:rsidP="00657460">
      <w:pPr>
        <w:pStyle w:val="Heading2"/>
      </w:pPr>
      <w:r>
        <w:br w:type="page"/>
      </w:r>
      <w:r w:rsidR="00C969C3">
        <w:lastRenderedPageBreak/>
        <w:t>Content of research assessment</w:t>
      </w:r>
    </w:p>
    <w:p w14:paraId="7134359B" w14:textId="77777777" w:rsidR="004E5189" w:rsidRPr="004E5189" w:rsidRDefault="004E5189" w:rsidP="000924F8">
      <w:pPr>
        <w:rPr>
          <w:color w:val="000000" w:themeColor="text1"/>
        </w:rPr>
      </w:pPr>
      <w:r w:rsidRPr="004E5189">
        <w:rPr>
          <w:color w:val="000000" w:themeColor="text1"/>
          <w:u w:val="single"/>
        </w:rPr>
        <w:t>underlined</w:t>
      </w:r>
      <w:r w:rsidRPr="004E5189">
        <w:rPr>
          <w:color w:val="000000" w:themeColor="text1"/>
        </w:rPr>
        <w:t xml:space="preserve"> = </w:t>
      </w:r>
      <w:r w:rsidR="0005009D">
        <w:rPr>
          <w:color w:val="000000" w:themeColor="text1"/>
        </w:rPr>
        <w:t>associated with functional cognitive disorder</w:t>
      </w:r>
    </w:p>
    <w:p w14:paraId="7AF95DB0" w14:textId="65AAAE56" w:rsidR="000924F8" w:rsidRPr="000924F8" w:rsidRDefault="000924F8" w:rsidP="000924F8">
      <w:pPr>
        <w:rPr>
          <w:b/>
        </w:rPr>
      </w:pPr>
      <w:r w:rsidRPr="000924F8">
        <w:rPr>
          <w:b/>
        </w:rPr>
        <w:t xml:space="preserve">A </w:t>
      </w:r>
      <w:r>
        <w:rPr>
          <w:b/>
        </w:rPr>
        <w:t>Interactional/conversational features</w:t>
      </w:r>
      <w:r w:rsidRPr="000924F8">
        <w:rPr>
          <w:b/>
        </w:rPr>
        <w:t xml:space="preserve"> </w:t>
      </w:r>
      <w:r w:rsidR="00231A11">
        <w:rPr>
          <w:b/>
        </w:rPr>
        <w:t xml:space="preserve"> (structured interview)</w:t>
      </w:r>
    </w:p>
    <w:p w14:paraId="4B8C15CF" w14:textId="77777777" w:rsidR="00B912DD" w:rsidRPr="000924F8" w:rsidRDefault="000924F8" w:rsidP="00B912DD">
      <w:pPr>
        <w:pStyle w:val="ListParagraph"/>
        <w:numPr>
          <w:ilvl w:val="0"/>
          <w:numId w:val="24"/>
        </w:numPr>
      </w:pPr>
      <w:r w:rsidRPr="000924F8">
        <w:t xml:space="preserve">Attendance for assessment (Attends with someone; </w:t>
      </w:r>
      <w:r w:rsidRPr="004E5189">
        <w:rPr>
          <w:color w:val="000000" w:themeColor="text1"/>
          <w:u w:val="single"/>
        </w:rPr>
        <w:t>attends alone</w:t>
      </w:r>
      <w:r w:rsidRPr="000924F8">
        <w:t xml:space="preserve">) </w:t>
      </w:r>
    </w:p>
    <w:p w14:paraId="582D7D31" w14:textId="77777777" w:rsidR="000924F8" w:rsidRPr="000924F8" w:rsidRDefault="000924F8" w:rsidP="000924F8">
      <w:pPr>
        <w:pStyle w:val="ListParagraph"/>
        <w:numPr>
          <w:ilvl w:val="0"/>
          <w:numId w:val="24"/>
        </w:numPr>
      </w:pPr>
      <w:r w:rsidRPr="000924F8">
        <w:t xml:space="preserve">Length of first turn (head turns; few words; </w:t>
      </w:r>
      <w:r w:rsidRPr="004E5189">
        <w:rPr>
          <w:color w:val="000000" w:themeColor="text1"/>
          <w:u w:val="single"/>
        </w:rPr>
        <w:t>answer lasting more than a few seconds</w:t>
      </w:r>
      <w:r w:rsidRPr="000924F8">
        <w:t>)</w:t>
      </w:r>
    </w:p>
    <w:p w14:paraId="64289638" w14:textId="77777777" w:rsidR="000924F8" w:rsidRPr="000924F8" w:rsidRDefault="000924F8" w:rsidP="000924F8">
      <w:pPr>
        <w:pStyle w:val="ListParagraph"/>
        <w:numPr>
          <w:ilvl w:val="0"/>
          <w:numId w:val="24"/>
        </w:numPr>
      </w:pPr>
      <w:r w:rsidRPr="000924F8">
        <w:t xml:space="preserve">‘Tell me about a time your memory failed you.’ (head turns or asks AA; non-specific vague example; </w:t>
      </w:r>
      <w:r w:rsidRPr="004E5189">
        <w:rPr>
          <w:color w:val="000000" w:themeColor="text1"/>
          <w:u w:val="single"/>
        </w:rPr>
        <w:t>detailed example</w:t>
      </w:r>
      <w:r w:rsidRPr="004E5189">
        <w:rPr>
          <w:color w:val="000000" w:themeColor="text1"/>
        </w:rPr>
        <w:t xml:space="preserve">; </w:t>
      </w:r>
      <w:r w:rsidRPr="004E5189">
        <w:rPr>
          <w:color w:val="000000" w:themeColor="text1"/>
          <w:u w:val="single"/>
        </w:rPr>
        <w:t>can estimate timescale</w:t>
      </w:r>
      <w:r w:rsidRPr="000924F8">
        <w:t>)</w:t>
      </w:r>
    </w:p>
    <w:p w14:paraId="0417BEE2" w14:textId="77777777" w:rsidR="002B59D1" w:rsidRPr="000924F8" w:rsidRDefault="000924F8" w:rsidP="002B59D1">
      <w:pPr>
        <w:pStyle w:val="ListParagraph"/>
        <w:numPr>
          <w:ilvl w:val="0"/>
          <w:numId w:val="24"/>
        </w:numPr>
      </w:pPr>
      <w:r w:rsidRPr="000924F8">
        <w:t xml:space="preserve">‘Another example’ (head turns or no more examples, ‘don’t know’, </w:t>
      </w:r>
      <w:r w:rsidRPr="004E5189">
        <w:rPr>
          <w:color w:val="000000" w:themeColor="text1"/>
          <w:u w:val="single"/>
        </w:rPr>
        <w:t>&gt;1 detailed example</w:t>
      </w:r>
      <w:r w:rsidRPr="000924F8">
        <w:t>)</w:t>
      </w:r>
    </w:p>
    <w:p w14:paraId="1E02A418" w14:textId="77777777" w:rsidR="000924F8" w:rsidRPr="000924F8" w:rsidRDefault="000924F8" w:rsidP="000924F8">
      <w:pPr>
        <w:pStyle w:val="ListParagraph"/>
        <w:numPr>
          <w:ilvl w:val="0"/>
          <w:numId w:val="24"/>
        </w:numPr>
      </w:pPr>
      <w:r w:rsidRPr="000924F8">
        <w:t xml:space="preserve">Compound question (answers 0/2 parts; answers 1/2 parts; </w:t>
      </w:r>
      <w:r w:rsidRPr="004E5189">
        <w:rPr>
          <w:color w:val="000000" w:themeColor="text1"/>
          <w:u w:val="single"/>
        </w:rPr>
        <w:t>answers both parts</w:t>
      </w:r>
      <w:r w:rsidRPr="000924F8">
        <w:t xml:space="preserve">) </w:t>
      </w:r>
    </w:p>
    <w:p w14:paraId="665DE4D7" w14:textId="77777777" w:rsidR="000924F8" w:rsidRDefault="000924F8" w:rsidP="000924F8">
      <w:pPr>
        <w:pStyle w:val="ListParagraph"/>
        <w:numPr>
          <w:ilvl w:val="0"/>
          <w:numId w:val="24"/>
        </w:numPr>
      </w:pPr>
      <w:r w:rsidRPr="000924F8">
        <w:t xml:space="preserve">Repetition (repeats somethings said earlier without marking; </w:t>
      </w:r>
      <w:r w:rsidRPr="004E5189">
        <w:rPr>
          <w:color w:val="000000" w:themeColor="text1"/>
          <w:u w:val="single"/>
        </w:rPr>
        <w:t>repeats with marking</w:t>
      </w:r>
      <w:r w:rsidRPr="000924F8">
        <w:t>)</w:t>
      </w:r>
    </w:p>
    <w:p w14:paraId="1401E023" w14:textId="253FA99B" w:rsidR="007E5152" w:rsidRDefault="00B912DD" w:rsidP="007E5152">
      <w:pPr>
        <w:pStyle w:val="ListParagraph"/>
        <w:numPr>
          <w:ilvl w:val="0"/>
          <w:numId w:val="24"/>
        </w:numPr>
      </w:pPr>
      <w:r>
        <w:t xml:space="preserve">Report of premorbid memory (normal or poor; </w:t>
      </w:r>
      <w:r w:rsidRPr="004E5189">
        <w:rPr>
          <w:color w:val="000000" w:themeColor="text1"/>
          <w:u w:val="single"/>
        </w:rPr>
        <w:t>‘brilliant memory’</w:t>
      </w:r>
      <w:r w:rsidR="007E5152">
        <w:t>)</w:t>
      </w:r>
    </w:p>
    <w:p w14:paraId="730DCA20" w14:textId="7680ECDB" w:rsidR="007E5152" w:rsidRPr="000C20BC" w:rsidRDefault="007E5152" w:rsidP="007E5152">
      <w:pPr>
        <w:pStyle w:val="ListParagraph"/>
        <w:numPr>
          <w:ilvl w:val="0"/>
          <w:numId w:val="24"/>
        </w:numPr>
      </w:pPr>
      <w:r w:rsidRPr="000C20BC">
        <w:t xml:space="preserve">Direct reported speech (no reported speech; </w:t>
      </w:r>
      <w:r w:rsidRPr="000C20BC">
        <w:rPr>
          <w:u w:val="single"/>
        </w:rPr>
        <w:t>reported speech</w:t>
      </w:r>
      <w:r w:rsidRPr="000C20BC">
        <w:t>)</w:t>
      </w:r>
    </w:p>
    <w:p w14:paraId="786A235A" w14:textId="77777777" w:rsidR="000924F8" w:rsidRPr="000924F8" w:rsidRDefault="000924F8" w:rsidP="000924F8">
      <w:pPr>
        <w:rPr>
          <w:b/>
        </w:rPr>
      </w:pPr>
      <w:r>
        <w:rPr>
          <w:b/>
        </w:rPr>
        <w:t>B Cognitive</w:t>
      </w:r>
    </w:p>
    <w:p w14:paraId="1ADB1927" w14:textId="1099B618" w:rsidR="007569CF" w:rsidRDefault="007569CF" w:rsidP="000924F8">
      <w:pPr>
        <w:pStyle w:val="ListParagraph"/>
        <w:numPr>
          <w:ilvl w:val="0"/>
          <w:numId w:val="23"/>
        </w:numPr>
      </w:pPr>
      <w:r>
        <w:t>Digit span and reverse digit span</w:t>
      </w:r>
    </w:p>
    <w:p w14:paraId="62609E8B" w14:textId="77777777" w:rsidR="000924F8" w:rsidRDefault="000924F8" w:rsidP="000924F8">
      <w:pPr>
        <w:pStyle w:val="ListParagraph"/>
        <w:numPr>
          <w:ilvl w:val="0"/>
          <w:numId w:val="23"/>
        </w:numPr>
      </w:pPr>
      <w:r>
        <w:t>MOCA</w:t>
      </w:r>
      <w:r w:rsidR="007569CF">
        <w:t xml:space="preserve"> (10-15 minutes) </w:t>
      </w:r>
    </w:p>
    <w:p w14:paraId="2FAF2F3C" w14:textId="77777777" w:rsidR="000924F8" w:rsidRPr="000924F8" w:rsidRDefault="000924F8" w:rsidP="007569CF">
      <w:pPr>
        <w:pStyle w:val="ListParagraph"/>
        <w:numPr>
          <w:ilvl w:val="1"/>
          <w:numId w:val="23"/>
        </w:numPr>
      </w:pPr>
      <w:r w:rsidRPr="000924F8">
        <w:t xml:space="preserve">Immediate vs delayed recall ratio (delayed </w:t>
      </w:r>
      <w:r>
        <w:t>&lt;</w:t>
      </w:r>
      <w:r w:rsidRPr="000924F8">
        <w:t xml:space="preserve"> immediate; </w:t>
      </w:r>
      <w:r w:rsidRPr="004E5189">
        <w:rPr>
          <w:color w:val="000000" w:themeColor="text1"/>
          <w:u w:val="single"/>
        </w:rPr>
        <w:t>immediate &lt; delayed</w:t>
      </w:r>
      <w:r w:rsidRPr="000924F8">
        <w:t>)</w:t>
      </w:r>
    </w:p>
    <w:p w14:paraId="6EB3EA7C" w14:textId="5F61CD48" w:rsidR="000924F8" w:rsidRPr="000924F8" w:rsidRDefault="000C20BC" w:rsidP="007569CF">
      <w:pPr>
        <w:pStyle w:val="ListParagraph"/>
        <w:numPr>
          <w:ilvl w:val="1"/>
          <w:numId w:val="23"/>
        </w:numPr>
      </w:pPr>
      <w:r>
        <w:t xml:space="preserve">Responses timed using a stopwatch – end of instruction to end of response </w:t>
      </w:r>
      <w:r w:rsidR="000924F8">
        <w:t>(</w:t>
      </w:r>
      <w:r>
        <w:t xml:space="preserve">consistently </w:t>
      </w:r>
      <w:r w:rsidR="000924F8">
        <w:t>slow;</w:t>
      </w:r>
      <w:r w:rsidR="000924F8">
        <w:rPr>
          <w:color w:val="FF0000"/>
        </w:rPr>
        <w:t xml:space="preserve"> </w:t>
      </w:r>
      <w:r w:rsidR="000924F8" w:rsidRPr="004E5189">
        <w:rPr>
          <w:color w:val="000000" w:themeColor="text1"/>
          <w:u w:val="single"/>
        </w:rPr>
        <w:t>inconsistent response times</w:t>
      </w:r>
      <w:r w:rsidR="000924F8" w:rsidRPr="000924F8">
        <w:t xml:space="preserve">) </w:t>
      </w:r>
    </w:p>
    <w:p w14:paraId="07378126" w14:textId="77777777" w:rsidR="000924F8" w:rsidRPr="000924F8" w:rsidRDefault="000924F8" w:rsidP="000924F8">
      <w:pPr>
        <w:rPr>
          <w:b/>
        </w:rPr>
      </w:pPr>
      <w:r w:rsidRPr="000924F8">
        <w:rPr>
          <w:b/>
        </w:rPr>
        <w:t>C Examination / motor /praxis</w:t>
      </w:r>
    </w:p>
    <w:p w14:paraId="77624A12" w14:textId="77777777" w:rsidR="000924F8" w:rsidRPr="000924F8" w:rsidRDefault="000924F8" w:rsidP="000924F8">
      <w:pPr>
        <w:pStyle w:val="ListParagraph"/>
        <w:numPr>
          <w:ilvl w:val="0"/>
          <w:numId w:val="23"/>
        </w:numPr>
      </w:pPr>
      <w:r w:rsidRPr="000924F8">
        <w:t>Gait and coordination (primarily to observe ability to follow instructions)</w:t>
      </w:r>
    </w:p>
    <w:p w14:paraId="10C08862" w14:textId="77777777" w:rsidR="000924F8" w:rsidRPr="000924F8" w:rsidRDefault="000924F8" w:rsidP="000924F8">
      <w:pPr>
        <w:pStyle w:val="ListParagraph"/>
        <w:numPr>
          <w:ilvl w:val="0"/>
          <w:numId w:val="23"/>
        </w:numPr>
      </w:pPr>
      <w:r w:rsidRPr="000924F8">
        <w:t>Luria 3-step</w:t>
      </w:r>
      <w:r w:rsidR="007569CF">
        <w:t xml:space="preserve"> test</w:t>
      </w:r>
    </w:p>
    <w:p w14:paraId="453CC42F" w14:textId="77777777" w:rsidR="000924F8" w:rsidRPr="000924F8" w:rsidRDefault="000924F8" w:rsidP="000924F8">
      <w:pPr>
        <w:pStyle w:val="ListParagraph"/>
        <w:numPr>
          <w:ilvl w:val="0"/>
          <w:numId w:val="23"/>
        </w:numPr>
      </w:pPr>
      <w:r w:rsidRPr="000924F8">
        <w:t>Interlocking fingers</w:t>
      </w:r>
      <w:r w:rsidR="007569CF">
        <w:t xml:space="preserve"> test</w:t>
      </w:r>
    </w:p>
    <w:p w14:paraId="473F1BD6" w14:textId="77777777" w:rsidR="000924F8" w:rsidRPr="00B12664" w:rsidRDefault="000924F8" w:rsidP="001F3354">
      <w:pPr>
        <w:rPr>
          <w:b/>
        </w:rPr>
      </w:pPr>
      <w:r>
        <w:rPr>
          <w:b/>
        </w:rPr>
        <w:t>D Effort / Performance Validity</w:t>
      </w:r>
    </w:p>
    <w:p w14:paraId="5B1BB5A2" w14:textId="2BCE180E" w:rsidR="00767CFD" w:rsidRDefault="00767CFD" w:rsidP="00DB3115">
      <w:pPr>
        <w:pStyle w:val="ListParagraph"/>
        <w:numPr>
          <w:ilvl w:val="0"/>
          <w:numId w:val="20"/>
        </w:numPr>
      </w:pPr>
      <w:r>
        <w:t xml:space="preserve">Green’s </w:t>
      </w:r>
      <w:r w:rsidR="00F73D69">
        <w:t>Medical Symptom Validity Test</w:t>
      </w:r>
      <w:r w:rsidR="00A0463F">
        <w:t xml:space="preserve"> (£620 for 100 uses, funded from CCBS discretionary fund)</w:t>
      </w:r>
    </w:p>
    <w:p w14:paraId="38AEDC70" w14:textId="3AABB1A8" w:rsidR="00A0463F" w:rsidRDefault="00A0463F" w:rsidP="00DB3115">
      <w:pPr>
        <w:pStyle w:val="ListParagraph"/>
        <w:numPr>
          <w:ilvl w:val="0"/>
          <w:numId w:val="20"/>
        </w:numPr>
      </w:pPr>
      <w:r>
        <w:t xml:space="preserve">Coin-in-hand test (requires participant to remember which hand a coin is in over 10 trials). </w:t>
      </w:r>
    </w:p>
    <w:p w14:paraId="07264C91" w14:textId="3C378324" w:rsidR="00A0463F" w:rsidRDefault="00A0463F" w:rsidP="00DB3115">
      <w:pPr>
        <w:pStyle w:val="ListParagraph"/>
        <w:numPr>
          <w:ilvl w:val="0"/>
          <w:numId w:val="20"/>
        </w:numPr>
      </w:pPr>
      <w:r>
        <w:t>3 brief ‘</w:t>
      </w:r>
      <w:proofErr w:type="spellStart"/>
      <w:r>
        <w:t>Ganser</w:t>
      </w:r>
      <w:proofErr w:type="spellEnd"/>
      <w:r>
        <w:t>’ questions</w:t>
      </w:r>
    </w:p>
    <w:p w14:paraId="51140056" w14:textId="77777777" w:rsidR="00F73D69" w:rsidRPr="00F73D69" w:rsidRDefault="000924F8" w:rsidP="001F3354">
      <w:pPr>
        <w:rPr>
          <w:b/>
        </w:rPr>
      </w:pPr>
      <w:r>
        <w:rPr>
          <w:b/>
        </w:rPr>
        <w:t>E</w:t>
      </w:r>
      <w:r w:rsidR="00F73D69" w:rsidRPr="00F73D69">
        <w:rPr>
          <w:b/>
        </w:rPr>
        <w:t xml:space="preserve"> Cognitive representations and metacognition</w:t>
      </w:r>
    </w:p>
    <w:p w14:paraId="075DC015" w14:textId="626E72BE" w:rsidR="00767CFD" w:rsidRPr="004A530D" w:rsidRDefault="00767CFD" w:rsidP="00DB3115">
      <w:pPr>
        <w:pStyle w:val="ListParagraph"/>
        <w:numPr>
          <w:ilvl w:val="0"/>
          <w:numId w:val="21"/>
        </w:numPr>
      </w:pPr>
      <w:r w:rsidRPr="004A530D">
        <w:t>Subjective Memory Complaint 5-point Likert</w:t>
      </w:r>
      <w:r w:rsidR="00B912DD" w:rsidRPr="004A530D">
        <w:t xml:space="preserve"> scale</w:t>
      </w:r>
      <w:r w:rsidR="004A530D" w:rsidRPr="004A530D">
        <w:t>: ‘In general, how would you rate your memory?’</w:t>
      </w:r>
    </w:p>
    <w:p w14:paraId="329E9B21" w14:textId="3DE438E1" w:rsidR="007569CF" w:rsidRPr="004766F3" w:rsidRDefault="004766F3" w:rsidP="00410B92">
      <w:pPr>
        <w:pStyle w:val="ListParagraph"/>
        <w:numPr>
          <w:ilvl w:val="0"/>
          <w:numId w:val="21"/>
        </w:numPr>
      </w:pPr>
      <w:r w:rsidRPr="004766F3">
        <w:t>The Multifactorial Memory Questionnaire</w:t>
      </w:r>
      <w:r w:rsidR="00912686">
        <w:t xml:space="preserve"> </w:t>
      </w:r>
      <w:r w:rsidR="00912686">
        <w:fldChar w:fldCharType="begin" w:fldLock="1"/>
      </w:r>
      <w:r w:rsidR="00912686">
        <w:instrText>ADDIN CSL_CITATION {"citationItems":[{"id":"ITEM-1","itemData":{"ISSN":"1079-5014","PMID":"11773220","abstract":"Subjective memory ratings provide information that is distinct from objective memory performance, and there is a need for reliable and valid metamemory measures. The Multifactorial Memory Questionnaire (MMQ), developed to assess separate dimensions of memory ratings that are applicable to clinical assessment and intervention, includes scales of Contentment (i.e., affect regarding one's memory), Ability (i.e., self-appraisal of one's memory capabilities), and Strategy (i.e., reported frequency of memory strategy use). Among a group of 115 older adults, analyses revealed excellent content validity, factorial validity, test-retest and intratest reliability, convergent and discriminant construct validity, and independence from demographic variables. The psychometric strengths of the MMQ, together with descriptive statistics provided for healthy older adults, make this questionnaire useful in both clinical and research settings.","author":[{"dropping-particle":"","family":"Troyer","given":"Angela K","non-dropping-particle":"","parse-names":false,"suffix":""},{"dropping-particle":"","family":"Rich","given":"Jill B","non-dropping-particle":"","parse-names":false,"suffix":""}],"container-title":"The journals of gerontology. Series B, Psychological sciences and social sciences","id":"ITEM-1","issue":"1","issued":{"date-parts":[["2002","1"]]},"page":"P19-27","title":"Psychometric properties of a new metamemory questionnaire for older adults.","type":"article-journal","volume":"57"},"uris":["http://www.mendeley.com/documents/?uuid=0a92356d-b1e8-3d44-903a-d913d8a06ad4"]}],"mendeley":{"formattedCitation":"(Troyer &amp; Rich, 2002)","plainTextFormattedCitation":"(Troyer &amp; Rich, 2002)"},"properties":{"noteIndex":0},"schema":"https://github.com/citation-style-language/schema/raw/master/csl-citation.json"}</w:instrText>
      </w:r>
      <w:r w:rsidR="00912686">
        <w:fldChar w:fldCharType="separate"/>
      </w:r>
      <w:r w:rsidR="00912686" w:rsidRPr="00912686">
        <w:rPr>
          <w:noProof/>
        </w:rPr>
        <w:t>(Troyer &amp; Rich, 2002)</w:t>
      </w:r>
      <w:r w:rsidR="00912686">
        <w:fldChar w:fldCharType="end"/>
      </w:r>
      <w:r w:rsidR="00912686">
        <w:t>.</w:t>
      </w:r>
    </w:p>
    <w:p w14:paraId="09B20EFE" w14:textId="1E1CFA26" w:rsidR="00F73D69" w:rsidRPr="00722A6D" w:rsidRDefault="00F73D69" w:rsidP="00410B92">
      <w:pPr>
        <w:pStyle w:val="ListParagraph"/>
        <w:numPr>
          <w:ilvl w:val="0"/>
          <w:numId w:val="21"/>
        </w:numPr>
      </w:pPr>
      <w:r w:rsidRPr="00722A6D">
        <w:t>Beliefs about cause of problems</w:t>
      </w:r>
      <w:r w:rsidR="00B53521" w:rsidRPr="00722A6D">
        <w:t xml:space="preserve"> </w:t>
      </w:r>
      <w:r w:rsidR="00912686">
        <w:t xml:space="preserve">and prognosis. </w:t>
      </w:r>
    </w:p>
    <w:p w14:paraId="0EF5DD20" w14:textId="77777777" w:rsidR="00F73D69" w:rsidRDefault="00767CFD" w:rsidP="00DB3115">
      <w:pPr>
        <w:pStyle w:val="ListParagraph"/>
        <w:numPr>
          <w:ilvl w:val="0"/>
          <w:numId w:val="21"/>
        </w:numPr>
      </w:pPr>
      <w:r>
        <w:t>S</w:t>
      </w:r>
      <w:r w:rsidR="00F73D69">
        <w:t>pouse, partner, sibling or parent with dementia. Y/N</w:t>
      </w:r>
      <w:r w:rsidR="00722A6D">
        <w:t xml:space="preserve"> (and describe relationship)</w:t>
      </w:r>
    </w:p>
    <w:p w14:paraId="0930C69B" w14:textId="77777777" w:rsidR="001F3354" w:rsidRDefault="00F73D69" w:rsidP="00DB3115">
      <w:pPr>
        <w:pStyle w:val="ListParagraph"/>
        <w:numPr>
          <w:ilvl w:val="0"/>
          <w:numId w:val="21"/>
        </w:numPr>
      </w:pPr>
      <w:r>
        <w:t>Ever daily contact with or caring for a person with dementia. Y/N</w:t>
      </w:r>
    </w:p>
    <w:p w14:paraId="2F3FE1B4" w14:textId="77777777" w:rsidR="00B53521" w:rsidRPr="00B53521" w:rsidRDefault="000924F8" w:rsidP="001F3354">
      <w:pPr>
        <w:rPr>
          <w:b/>
        </w:rPr>
      </w:pPr>
      <w:r>
        <w:rPr>
          <w:b/>
        </w:rPr>
        <w:t>F</w:t>
      </w:r>
      <w:r w:rsidR="00B53521" w:rsidRPr="00B53521">
        <w:rPr>
          <w:b/>
        </w:rPr>
        <w:t xml:space="preserve"> </w:t>
      </w:r>
      <w:r w:rsidR="00767CFD">
        <w:rPr>
          <w:b/>
        </w:rPr>
        <w:t>Psychiatric and h</w:t>
      </w:r>
      <w:r w:rsidR="00B53521" w:rsidRPr="00B53521">
        <w:rPr>
          <w:b/>
        </w:rPr>
        <w:t>ealth status</w:t>
      </w:r>
    </w:p>
    <w:p w14:paraId="40C2957A" w14:textId="32C5C0EB" w:rsidR="00DB3115" w:rsidRDefault="00D82B2C" w:rsidP="00DB3115">
      <w:pPr>
        <w:pStyle w:val="ListParagraph"/>
        <w:numPr>
          <w:ilvl w:val="0"/>
          <w:numId w:val="22"/>
        </w:numPr>
      </w:pPr>
      <w:r>
        <w:t>Mini International Neuropsychiatric Interview (English version 7.0.2 for DSM 5)</w:t>
      </w:r>
    </w:p>
    <w:p w14:paraId="03ED300E" w14:textId="67CB5092" w:rsidR="00DB3115" w:rsidRDefault="00DB3115" w:rsidP="00DB3115">
      <w:pPr>
        <w:pStyle w:val="ListParagraph"/>
        <w:numPr>
          <w:ilvl w:val="0"/>
          <w:numId w:val="22"/>
        </w:numPr>
      </w:pPr>
      <w:r>
        <w:t>Physical symptoms (PHQ-15</w:t>
      </w:r>
      <w:r w:rsidR="00A0463F">
        <w:t>, including extra questions as used in the Scottish Neurological Symptoms Study</w:t>
      </w:r>
      <w:r>
        <w:t>)</w:t>
      </w:r>
    </w:p>
    <w:p w14:paraId="75E9613E" w14:textId="6BABD6C6" w:rsidR="000C20BC" w:rsidRDefault="00DB3115" w:rsidP="00722A6D">
      <w:pPr>
        <w:pStyle w:val="ListParagraph"/>
        <w:numPr>
          <w:ilvl w:val="0"/>
          <w:numId w:val="22"/>
        </w:numPr>
      </w:pPr>
      <w:r>
        <w:t>Sleep quality (</w:t>
      </w:r>
      <w:r w:rsidR="00A0463F">
        <w:t xml:space="preserve">Pittsburgh Sleep </w:t>
      </w:r>
      <w:proofErr w:type="spellStart"/>
      <w:r w:rsidR="00A0463F">
        <w:t>Quesionnaire</w:t>
      </w:r>
      <w:proofErr w:type="spellEnd"/>
      <w:r>
        <w:t xml:space="preserve">) </w:t>
      </w:r>
    </w:p>
    <w:p w14:paraId="3A5B4E1C" w14:textId="5BD05C77" w:rsidR="00A0463F" w:rsidRDefault="00A0463F" w:rsidP="00722A6D">
      <w:pPr>
        <w:pStyle w:val="ListParagraph"/>
        <w:numPr>
          <w:ilvl w:val="0"/>
          <w:numId w:val="22"/>
        </w:numPr>
      </w:pPr>
      <w:r>
        <w:t>Hospital Anxiety and Depression Scale</w:t>
      </w:r>
    </w:p>
    <w:p w14:paraId="5DE96B36" w14:textId="13B01C53" w:rsidR="00F50BD2" w:rsidRDefault="0005009D" w:rsidP="00EC3F5C">
      <w:r>
        <w:lastRenderedPageBreak/>
        <w:t xml:space="preserve">In addition </w:t>
      </w:r>
      <w:r w:rsidR="000C20BC">
        <w:t>the research will record</w:t>
      </w:r>
      <w:r>
        <w:t xml:space="preserve"> a binary outcome (FCD / not FCD) </w:t>
      </w:r>
      <w:r w:rsidR="000C20BC">
        <w:t xml:space="preserve">consisting </w:t>
      </w:r>
      <w:r>
        <w:t xml:space="preserve">the researcher’s opinion </w:t>
      </w:r>
      <w:r w:rsidR="000C20BC">
        <w:t>at the end</w:t>
      </w:r>
      <w:r>
        <w:t xml:space="preserve"> of the assessment. </w:t>
      </w:r>
    </w:p>
    <w:p w14:paraId="4382B5B4" w14:textId="04950043" w:rsidR="00622D26" w:rsidRDefault="00622D26" w:rsidP="00EC3F5C">
      <w:r>
        <w:t xml:space="preserve">The licence fee for the Green’s Medical Symptom Validity Test will be funded from CCBS </w:t>
      </w:r>
      <w:r w:rsidR="00E505B5">
        <w:t>(</w:t>
      </w:r>
      <w:r>
        <w:t>University of Edinburgh</w:t>
      </w:r>
      <w:r w:rsidR="00E505B5">
        <w:t>) discretionary funds</w:t>
      </w:r>
      <w:r>
        <w:t xml:space="preserve">. All other measures are freely available without licence. </w:t>
      </w:r>
    </w:p>
    <w:p w14:paraId="2F3A1E82" w14:textId="6FF3CB2B" w:rsidR="00F50BD2" w:rsidRPr="00F50BD2" w:rsidRDefault="00C969C3" w:rsidP="00F50BD2">
      <w:pPr>
        <w:keepNext/>
        <w:keepLines/>
        <w:spacing w:before="40" w:after="0"/>
        <w:outlineLvl w:val="1"/>
        <w:rPr>
          <w:rFonts w:asciiTheme="majorHAnsi" w:eastAsiaTheme="majorEastAsia" w:hAnsiTheme="majorHAnsi" w:cstheme="majorBidi"/>
          <w:color w:val="374C80" w:themeColor="accent1" w:themeShade="BF"/>
          <w:sz w:val="28"/>
          <w:szCs w:val="28"/>
        </w:rPr>
      </w:pPr>
      <w:r>
        <w:rPr>
          <w:rFonts w:asciiTheme="majorHAnsi" w:eastAsiaTheme="majorEastAsia" w:hAnsiTheme="majorHAnsi" w:cstheme="majorBidi"/>
          <w:color w:val="374C80" w:themeColor="accent1" w:themeShade="BF"/>
          <w:sz w:val="28"/>
          <w:szCs w:val="28"/>
        </w:rPr>
        <w:t>Panel assessment to establish r</w:t>
      </w:r>
      <w:r w:rsidR="00F50BD2" w:rsidRPr="00F50BD2">
        <w:rPr>
          <w:rFonts w:asciiTheme="majorHAnsi" w:eastAsiaTheme="majorEastAsia" w:hAnsiTheme="majorHAnsi" w:cstheme="majorBidi"/>
          <w:color w:val="374C80" w:themeColor="accent1" w:themeShade="BF"/>
          <w:sz w:val="28"/>
          <w:szCs w:val="28"/>
        </w:rPr>
        <w:t xml:space="preserve">eference diagnosis </w:t>
      </w:r>
    </w:p>
    <w:p w14:paraId="63B11DD7" w14:textId="2AB742BB" w:rsidR="00F50BD2" w:rsidRPr="00E37388" w:rsidRDefault="00F50BD2" w:rsidP="00F50BD2">
      <w:r w:rsidRPr="00E37388">
        <w:t>A consensus diagnosis, for the purposes of the research project (which may or may not align with any diagnosis or description established following standard clinical evaluation), will be reached for each participant after discussion by a panel consisting a Consultant Neurologist, Consultant Neuropsyc</w:t>
      </w:r>
      <w:r w:rsidR="007029E2">
        <w:t xml:space="preserve">hiatrist and Consultant </w:t>
      </w:r>
      <w:r w:rsidRPr="00E37388">
        <w:t>Psychiatrist</w:t>
      </w:r>
      <w:r w:rsidR="007029E2">
        <w:t xml:space="preserve"> of Ageing</w:t>
      </w:r>
      <w:r w:rsidRPr="00E37388">
        <w:t xml:space="preserve">. In order to reach the main reference diagnosis Panel Diagnosis A, the panel will be provided with the clinical history, including past medical history, clinical notes  and clinical letter from the standard memory clinic assessment, electronic medical records, and results of neuroimaging and other investigations. </w:t>
      </w:r>
    </w:p>
    <w:p w14:paraId="2052D4DE" w14:textId="7EB89EDA" w:rsidR="00F50BD2" w:rsidRPr="00E37388" w:rsidRDefault="00F50BD2" w:rsidP="00F50BD2">
      <w:pPr>
        <w:rPr>
          <w:color w:val="000000" w:themeColor="text1"/>
        </w:rPr>
      </w:pPr>
      <w:r w:rsidRPr="00E37388">
        <w:t xml:space="preserve">After panel diagnosis A has been finalised and documented, additional information will be provided to the panel in stages, and the panel asked to review their diagnosis at each stage. </w:t>
      </w:r>
      <w:r w:rsidR="00E37388" w:rsidRPr="00E37388">
        <w:rPr>
          <w:color w:val="000000" w:themeColor="text1"/>
        </w:rPr>
        <w:t>These additional panel</w:t>
      </w:r>
      <w:r w:rsidRPr="00E37388">
        <w:rPr>
          <w:color w:val="000000" w:themeColor="text1"/>
        </w:rPr>
        <w:t xml:space="preserve"> diagnoses </w:t>
      </w:r>
      <w:r w:rsidR="00E37388" w:rsidRPr="00E37388">
        <w:rPr>
          <w:color w:val="000000" w:themeColor="text1"/>
        </w:rPr>
        <w:t xml:space="preserve">(B, and C1-5) </w:t>
      </w:r>
      <w:r w:rsidRPr="00E37388">
        <w:rPr>
          <w:color w:val="000000" w:themeColor="text1"/>
        </w:rPr>
        <w:t xml:space="preserve">will compared with Panel diagnosis A in analyses of longitudinal outcome. In addition, information about the likelihood of each additional piece of information influencing the panel diagnosis </w:t>
      </w:r>
      <w:r w:rsidR="002C2AF4" w:rsidRPr="00E37388">
        <w:rPr>
          <w:color w:val="000000" w:themeColor="text1"/>
        </w:rPr>
        <w:t>will be used following analysis to</w:t>
      </w:r>
      <w:r w:rsidRPr="00E37388">
        <w:rPr>
          <w:color w:val="000000" w:themeColor="text1"/>
        </w:rPr>
        <w:t xml:space="preserve"> aid decisions about which elements to ultimately include in the diagnostic scoring tool.  </w:t>
      </w:r>
    </w:p>
    <w:p w14:paraId="5EC2ED01" w14:textId="7809E625" w:rsidR="00F50BD2" w:rsidRDefault="00E37388" w:rsidP="00E37388">
      <w:r w:rsidRPr="00E37388">
        <w:rPr>
          <w:color w:val="000000" w:themeColor="text1"/>
        </w:rPr>
        <w:t xml:space="preserve">The panel consensus procedure is describe in detail in </w:t>
      </w:r>
      <w:r w:rsidRPr="00E37388">
        <w:rPr>
          <w:b/>
          <w:color w:val="000000" w:themeColor="text1"/>
        </w:rPr>
        <w:t>appendices 2 and 3</w:t>
      </w:r>
      <w:r w:rsidRPr="00E37388">
        <w:rPr>
          <w:color w:val="000000" w:themeColor="text1"/>
        </w:rPr>
        <w:t xml:space="preserve">. </w:t>
      </w:r>
    </w:p>
    <w:p w14:paraId="02771B15" w14:textId="77777777" w:rsidR="00D72CAF" w:rsidRDefault="00D72CAF" w:rsidP="00D72CAF">
      <w:pPr>
        <w:pStyle w:val="Heading2"/>
      </w:pPr>
      <w:r>
        <w:t>Follow-up Assessment / Data collection</w:t>
      </w:r>
    </w:p>
    <w:p w14:paraId="2E5698D2" w14:textId="1F2B2E1A" w:rsidR="00026987" w:rsidRDefault="00D1656A" w:rsidP="00D1656A">
      <w:r>
        <w:t xml:space="preserve">A proportion of participants will be followed-up in the memory clinic as part of usual clinical care, and </w:t>
      </w:r>
      <w:r w:rsidR="009C354A">
        <w:t>some</w:t>
      </w:r>
      <w:r>
        <w:t xml:space="preserve"> will also undergo further cognitive or biomarker assessments as part of their participation in </w:t>
      </w:r>
      <w:r w:rsidR="009C354A">
        <w:t xml:space="preserve">other </w:t>
      </w:r>
      <w:r>
        <w:t xml:space="preserve">Centre for Dementia Prevention </w:t>
      </w:r>
      <w:r w:rsidR="009C354A">
        <w:t xml:space="preserve">research </w:t>
      </w:r>
      <w:r>
        <w:t>projects. 1</w:t>
      </w:r>
      <w:r w:rsidR="00F7570F">
        <w:t>-2</w:t>
      </w:r>
      <w:r>
        <w:t xml:space="preserve"> year</w:t>
      </w:r>
      <w:r w:rsidR="00F7570F">
        <w:t>s</w:t>
      </w:r>
      <w:r>
        <w:t xml:space="preserve"> after the initial standard clinical assessment, available medical notes will be examined</w:t>
      </w:r>
      <w:r w:rsidR="004224D5">
        <w:t xml:space="preserve"> by a researcher blinded to research panel diagnosis and not involved in the first phase of data collection,</w:t>
      </w:r>
      <w:r>
        <w:t xml:space="preserve"> </w:t>
      </w:r>
      <w:r w:rsidR="004224D5">
        <w:t>to establish</w:t>
      </w:r>
      <w:r>
        <w:t xml:space="preserve"> a</w:t>
      </w:r>
      <w:r w:rsidR="004224D5">
        <w:t xml:space="preserve">ny change to the clinical </w:t>
      </w:r>
      <w:r>
        <w:t xml:space="preserve">diagnosis during the follow-up period, including progression of cognitive impairment </w:t>
      </w:r>
      <w:r w:rsidR="004224D5">
        <w:t>/</w:t>
      </w:r>
      <w:r>
        <w:t xml:space="preserve"> conversion to dementia</w:t>
      </w:r>
      <w:r w:rsidR="004224D5">
        <w:t xml:space="preserve"> / death. </w:t>
      </w:r>
      <w:r w:rsidR="00440AA3">
        <w:t xml:space="preserve">Where data is unclear or unavailable via the electronic medical record, the researcher will </w:t>
      </w:r>
      <w:r w:rsidR="00440AA3" w:rsidRPr="003C1235">
        <w:t>telephone the participant’s GP practice to enquire about any change in diagnosis as regards cognitive state.</w:t>
      </w:r>
      <w:r w:rsidR="00440AA3">
        <w:t xml:space="preserve"> </w:t>
      </w:r>
    </w:p>
    <w:p w14:paraId="43F5B6B7" w14:textId="68BCAF7D" w:rsidR="00492B30" w:rsidRPr="00A0463F" w:rsidRDefault="00492B30" w:rsidP="00844BC6">
      <w:pPr>
        <w:pStyle w:val="Heading2"/>
      </w:pPr>
      <w:r w:rsidRPr="00A0463F">
        <w:t>DATA MANAGEMENT</w:t>
      </w:r>
    </w:p>
    <w:p w14:paraId="446F6E83" w14:textId="77777777" w:rsidR="00492B30" w:rsidRPr="00A0463F" w:rsidRDefault="00492B30" w:rsidP="00844BC6">
      <w:pPr>
        <w:pStyle w:val="Heading3"/>
      </w:pPr>
      <w:r w:rsidRPr="00A0463F">
        <w:t>Personal Data</w:t>
      </w:r>
    </w:p>
    <w:p w14:paraId="01EF5DE0" w14:textId="77777777" w:rsidR="00492B30" w:rsidRPr="00A0463F" w:rsidRDefault="00492B30" w:rsidP="00844BC6">
      <w:r w:rsidRPr="00A0463F">
        <w:t>The following personal data will be collected as part of the research:</w:t>
      </w:r>
    </w:p>
    <w:p w14:paraId="53D12ED8" w14:textId="7D3A62D2" w:rsidR="00A0463F" w:rsidRPr="00844BC6" w:rsidRDefault="00A0463F" w:rsidP="00844BC6">
      <w:pPr>
        <w:rPr>
          <w:sz w:val="20"/>
          <w:szCs w:val="20"/>
        </w:rPr>
      </w:pPr>
      <w:r w:rsidRPr="00844BC6">
        <w:rPr>
          <w:sz w:val="20"/>
          <w:szCs w:val="20"/>
        </w:rPr>
        <w:t xml:space="preserve">Name, CHI number, date of birth, address, telephone number, email address, and medical history as reported to researcher during the study and as recorded in health records. </w:t>
      </w:r>
      <w:r w:rsidR="00492B30" w:rsidRPr="00844BC6">
        <w:rPr>
          <w:sz w:val="20"/>
          <w:szCs w:val="20"/>
        </w:rPr>
        <w:t xml:space="preserve">Personal data will be stored by the research team </w:t>
      </w:r>
      <w:r w:rsidRPr="00844BC6">
        <w:rPr>
          <w:sz w:val="20"/>
          <w:szCs w:val="20"/>
        </w:rPr>
        <w:t xml:space="preserve">on password-protected NHS Lothian Servers and password-protected University of Edinburgh servers accessible to Dr Laura McWhirter. </w:t>
      </w:r>
      <w:proofErr w:type="spellStart"/>
      <w:r w:rsidRPr="00844BC6">
        <w:rPr>
          <w:sz w:val="20"/>
          <w:szCs w:val="20"/>
        </w:rPr>
        <w:t>Pseudonymised</w:t>
      </w:r>
      <w:proofErr w:type="spellEnd"/>
      <w:r w:rsidRPr="00844BC6">
        <w:rPr>
          <w:sz w:val="20"/>
          <w:szCs w:val="20"/>
        </w:rPr>
        <w:t xml:space="preserve"> (by study number) paper files will be stored in locked filing cabinets at the Kennedy Tower, University of Edinburgh, the key stored within the Kennedy Tower and accessible to Dr Laura McWhirter. Participant contact details (name, date of birth, address, telephone number, and email address, but excluding CHI number) will be stored in a separate locked filing cabinet also within the Kennedy Tower at the University of Edinburgh, accessible to Dr Laura McWhirter. </w:t>
      </w:r>
    </w:p>
    <w:p w14:paraId="3954B4D5" w14:textId="6BD6D6A5" w:rsidR="00492B30" w:rsidRPr="00A0463F" w:rsidRDefault="00492B30" w:rsidP="00844BC6">
      <w:pPr>
        <w:rPr>
          <w:sz w:val="20"/>
          <w:szCs w:val="20"/>
        </w:rPr>
      </w:pPr>
      <w:r w:rsidRPr="00A0463F">
        <w:rPr>
          <w:sz w:val="20"/>
          <w:szCs w:val="20"/>
        </w:rPr>
        <w:t xml:space="preserve">Personal data will be stored for </w:t>
      </w:r>
      <w:r w:rsidR="00A0463F" w:rsidRPr="00A0463F">
        <w:rPr>
          <w:sz w:val="20"/>
          <w:szCs w:val="20"/>
        </w:rPr>
        <w:t>five years after participation</w:t>
      </w:r>
      <w:r w:rsidRPr="00A0463F">
        <w:rPr>
          <w:sz w:val="20"/>
          <w:szCs w:val="20"/>
        </w:rPr>
        <w:t>.</w:t>
      </w:r>
    </w:p>
    <w:p w14:paraId="01AA10A5" w14:textId="77777777" w:rsidR="00492B30" w:rsidRPr="00A0463F" w:rsidRDefault="00492B30" w:rsidP="00844BC6">
      <w:pPr>
        <w:pStyle w:val="Heading3"/>
      </w:pPr>
      <w:r w:rsidRPr="00A0463F">
        <w:lastRenderedPageBreak/>
        <w:t>Transfer of Data</w:t>
      </w:r>
    </w:p>
    <w:p w14:paraId="536D95B5" w14:textId="43EE0514" w:rsidR="00492B30" w:rsidRPr="00A0463F" w:rsidRDefault="00492B30" w:rsidP="00844BC6">
      <w:pPr>
        <w:rPr>
          <w:sz w:val="20"/>
          <w:szCs w:val="20"/>
        </w:rPr>
      </w:pPr>
      <w:r w:rsidRPr="00A0463F">
        <w:rPr>
          <w:sz w:val="20"/>
          <w:szCs w:val="20"/>
        </w:rPr>
        <w:t xml:space="preserve">Data collected or generated by the study (including personal data) will not be transferred to any external individuals or organisations outside of the Sponsoring organisation(s). </w:t>
      </w:r>
      <w:r w:rsidR="00A0463F" w:rsidRPr="00A0463F">
        <w:rPr>
          <w:sz w:val="20"/>
          <w:szCs w:val="20"/>
        </w:rPr>
        <w:t xml:space="preserve">Data will not be transferred </w:t>
      </w:r>
      <w:proofErr w:type="spellStart"/>
      <w:r w:rsidR="00A0463F" w:rsidRPr="00A0463F">
        <w:rPr>
          <w:sz w:val="20"/>
          <w:szCs w:val="20"/>
        </w:rPr>
        <w:t>outwith</w:t>
      </w:r>
      <w:proofErr w:type="spellEnd"/>
      <w:r w:rsidR="00A0463F" w:rsidRPr="00A0463F">
        <w:rPr>
          <w:sz w:val="20"/>
          <w:szCs w:val="20"/>
        </w:rPr>
        <w:t xml:space="preserve"> the University of Edinburgh or NHS Lothian. </w:t>
      </w:r>
    </w:p>
    <w:p w14:paraId="797F1856" w14:textId="77777777" w:rsidR="00492B30" w:rsidRPr="00A0463F" w:rsidRDefault="00492B30" w:rsidP="00844BC6">
      <w:pPr>
        <w:pStyle w:val="Heading3"/>
      </w:pPr>
      <w:r w:rsidRPr="00A0463F">
        <w:t>Data Controller</w:t>
      </w:r>
    </w:p>
    <w:p w14:paraId="6DA4EB8E" w14:textId="780C8C02" w:rsidR="00492B30" w:rsidRPr="00A0463F" w:rsidRDefault="00492B30" w:rsidP="00844BC6">
      <w:pPr>
        <w:rPr>
          <w:sz w:val="20"/>
          <w:szCs w:val="20"/>
        </w:rPr>
      </w:pPr>
      <w:r w:rsidRPr="00A0463F">
        <w:rPr>
          <w:sz w:val="20"/>
          <w:szCs w:val="20"/>
        </w:rPr>
        <w:t>The University of Edinburgh and NHS Lothian are joint data controllers.</w:t>
      </w:r>
    </w:p>
    <w:p w14:paraId="36786F58" w14:textId="77777777" w:rsidR="00492B30" w:rsidRPr="00A0463F" w:rsidRDefault="00492B30" w:rsidP="00844BC6">
      <w:pPr>
        <w:pStyle w:val="Heading3"/>
      </w:pPr>
      <w:bookmarkStart w:id="1" w:name="_Toc530661088"/>
      <w:r w:rsidRPr="00A0463F">
        <w:t>Data Breaches</w:t>
      </w:r>
      <w:bookmarkEnd w:id="1"/>
    </w:p>
    <w:p w14:paraId="7CF3158E" w14:textId="1D45B499" w:rsidR="00492B30" w:rsidRPr="00844BC6" w:rsidRDefault="00492B30" w:rsidP="00844BC6">
      <w:pPr>
        <w:rPr>
          <w:sz w:val="20"/>
          <w:lang w:val="en-US"/>
        </w:rPr>
      </w:pPr>
      <w:r w:rsidRPr="00A0463F">
        <w:rPr>
          <w:sz w:val="20"/>
          <w:lang w:val="en-US"/>
        </w:rPr>
        <w:t>Any data breaches will be reported to the University of Edinburgh and NHS Lothian Data Protection Officers who will onward report to the relevant authority according to the appropriate timelines if required.</w:t>
      </w:r>
    </w:p>
    <w:p w14:paraId="4B317FDD" w14:textId="77777777" w:rsidR="00D72CAF" w:rsidRDefault="00D72CAF" w:rsidP="00D72CAF">
      <w:pPr>
        <w:pStyle w:val="Heading2"/>
      </w:pPr>
      <w:r>
        <w:t>Statistical Methods</w:t>
      </w:r>
    </w:p>
    <w:p w14:paraId="45032E61" w14:textId="77777777" w:rsidR="000802DE" w:rsidRDefault="000802DE" w:rsidP="000802DE">
      <w:r>
        <w:t>Fa</w:t>
      </w:r>
      <w:r w:rsidR="007641C7">
        <w:t>ctor analysis will be performed in order to identify the</w:t>
      </w:r>
      <w:r>
        <w:t xml:space="preserve"> </w:t>
      </w:r>
      <w:r w:rsidR="007641C7">
        <w:t>elements</w:t>
      </w:r>
      <w:r>
        <w:t xml:space="preserve"> of the research assessment </w:t>
      </w:r>
      <w:r w:rsidR="007641C7">
        <w:t>which best predict</w:t>
      </w:r>
      <w:r>
        <w:t xml:space="preserve"> reference diagnosis (Panel diagnosis A), taking account of demographic characteristics and other influences on pre-test probability of having neurodegenerative disease vs functional cognitive disorder.</w:t>
      </w:r>
    </w:p>
    <w:p w14:paraId="26172B10" w14:textId="1A4FE847" w:rsidR="000802DE" w:rsidRDefault="007641C7" w:rsidP="000802DE">
      <w:r>
        <w:t>Secondary analysi</w:t>
      </w:r>
      <w:r w:rsidR="000802DE">
        <w:t xml:space="preserve">s will be performed </w:t>
      </w:r>
      <w:r>
        <w:t>to assess</w:t>
      </w:r>
      <w:r w:rsidR="000802DE">
        <w:t xml:space="preserve"> whether information from the research assessment influences the panel opinion: whether Panel diagnosis B </w:t>
      </w:r>
      <w:r>
        <w:t>differs from Panel diagnosis A, and which elements of the research assessment are most likely to result in a change in the panel opinion.</w:t>
      </w:r>
    </w:p>
    <w:p w14:paraId="61DBC6E6" w14:textId="77777777" w:rsidR="000802DE" w:rsidRPr="000802DE" w:rsidRDefault="000802DE" w:rsidP="000802DE">
      <w:r>
        <w:t>The elements of assessment with greatest utility will be combined to form a diagnostic scor</w:t>
      </w:r>
      <w:r w:rsidR="007641C7">
        <w:t>ing tool.</w:t>
      </w:r>
    </w:p>
    <w:p w14:paraId="476A4756" w14:textId="77777777" w:rsidR="003C7C29" w:rsidRDefault="00A71F88" w:rsidP="00DE753E">
      <w:r>
        <w:t>R will be used for statistical analyses</w:t>
      </w:r>
      <w:r w:rsidR="00DE753E">
        <w:t>.</w:t>
      </w:r>
    </w:p>
    <w:p w14:paraId="533F89A7" w14:textId="77777777" w:rsidR="000802DE" w:rsidRPr="000802DE" w:rsidRDefault="00A71F88" w:rsidP="000802DE">
      <w:pPr>
        <w:pStyle w:val="Heading2"/>
      </w:pPr>
      <w:r>
        <w:t>Sample size</w:t>
      </w:r>
      <w:r w:rsidR="000802DE">
        <w:t xml:space="preserve"> calculation</w:t>
      </w:r>
    </w:p>
    <w:p w14:paraId="4790BC96" w14:textId="679D6D7E" w:rsidR="007641C7" w:rsidRDefault="007641C7" w:rsidP="00A71F88">
      <w:r>
        <w:t xml:space="preserve">In the absence of an available diagnostic test for FCD, sample size calculation is based on estimated test accuracy and estimated (on the basis of literature review and clinical experience) prevalence of FCD in the study population. As table 1 shows, assuming </w:t>
      </w:r>
      <w:r w:rsidR="00A71F88">
        <w:t>a prevalence of 30% functional cognitive disorder in the study population</w:t>
      </w:r>
      <w:r>
        <w:t xml:space="preserve"> (suggested by review of the memory clinic literature)</w:t>
      </w:r>
      <w:r w:rsidR="00A71F88">
        <w:t xml:space="preserve">, </w:t>
      </w:r>
      <w:r>
        <w:t xml:space="preserve">and 90% sensitivity and 90% specificity, </w:t>
      </w:r>
      <w:r w:rsidR="00A71F88">
        <w:t xml:space="preserve">a </w:t>
      </w:r>
      <w:r w:rsidR="00D1656A">
        <w:t xml:space="preserve">minimum </w:t>
      </w:r>
      <w:r w:rsidR="00A71F88">
        <w:t xml:space="preserve">sample size of 115 will be required. </w:t>
      </w:r>
    </w:p>
    <w:p w14:paraId="0B9DE7A4" w14:textId="77777777" w:rsidR="00492B30" w:rsidRDefault="00492B30" w:rsidP="00492B30">
      <w:pPr>
        <w:pStyle w:val="Caption"/>
        <w:keepNext/>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xml:space="preserve"> - Sample size calculation</w:t>
      </w:r>
    </w:p>
    <w:tbl>
      <w:tblPr>
        <w:tblStyle w:val="TableGrid"/>
        <w:tblW w:w="0" w:type="auto"/>
        <w:tblLook w:val="04A0" w:firstRow="1" w:lastRow="0" w:firstColumn="1" w:lastColumn="0" w:noHBand="0" w:noVBand="1"/>
      </w:tblPr>
      <w:tblGrid>
        <w:gridCol w:w="1218"/>
        <w:gridCol w:w="1020"/>
        <w:gridCol w:w="999"/>
        <w:gridCol w:w="1019"/>
        <w:gridCol w:w="999"/>
        <w:gridCol w:w="969"/>
        <w:gridCol w:w="999"/>
        <w:gridCol w:w="969"/>
        <w:gridCol w:w="824"/>
      </w:tblGrid>
      <w:tr w:rsidR="00492B30" w14:paraId="2F096372" w14:textId="77777777" w:rsidTr="00410B92">
        <w:tc>
          <w:tcPr>
            <w:tcW w:w="1218" w:type="dxa"/>
          </w:tcPr>
          <w:p w14:paraId="43CC277D" w14:textId="77777777" w:rsidR="00492B30" w:rsidRPr="0055261F" w:rsidRDefault="00492B30" w:rsidP="00410B92">
            <w:pPr>
              <w:rPr>
                <w:sz w:val="16"/>
                <w:szCs w:val="16"/>
              </w:rPr>
            </w:pPr>
          </w:p>
        </w:tc>
        <w:tc>
          <w:tcPr>
            <w:tcW w:w="1020" w:type="dxa"/>
          </w:tcPr>
          <w:p w14:paraId="0A13C6FF" w14:textId="77777777" w:rsidR="00492B30" w:rsidRPr="0055261F" w:rsidRDefault="00492B30" w:rsidP="00410B92">
            <w:pPr>
              <w:rPr>
                <w:sz w:val="16"/>
                <w:szCs w:val="16"/>
              </w:rPr>
            </w:pPr>
            <w:r w:rsidRPr="0055261F">
              <w:rPr>
                <w:sz w:val="16"/>
                <w:szCs w:val="16"/>
              </w:rPr>
              <w:t>95% sensitive, 95% specific</w:t>
            </w:r>
          </w:p>
        </w:tc>
        <w:tc>
          <w:tcPr>
            <w:tcW w:w="999" w:type="dxa"/>
          </w:tcPr>
          <w:p w14:paraId="33C5DD49" w14:textId="77777777" w:rsidR="00492B30" w:rsidRPr="0055261F" w:rsidRDefault="00492B30" w:rsidP="00410B92">
            <w:pPr>
              <w:rPr>
                <w:sz w:val="16"/>
                <w:szCs w:val="16"/>
              </w:rPr>
            </w:pPr>
            <w:r>
              <w:rPr>
                <w:sz w:val="16"/>
                <w:szCs w:val="16"/>
              </w:rPr>
              <w:t xml:space="preserve">95% </w:t>
            </w:r>
            <w:r w:rsidRPr="0055261F">
              <w:rPr>
                <w:sz w:val="16"/>
                <w:szCs w:val="16"/>
              </w:rPr>
              <w:t>sensitive,</w:t>
            </w:r>
          </w:p>
          <w:p w14:paraId="48C6F949" w14:textId="77777777" w:rsidR="00492B30" w:rsidRPr="0055261F" w:rsidRDefault="00492B30" w:rsidP="00410B92">
            <w:pPr>
              <w:rPr>
                <w:sz w:val="16"/>
                <w:szCs w:val="16"/>
              </w:rPr>
            </w:pPr>
            <w:r w:rsidRPr="0055261F">
              <w:rPr>
                <w:sz w:val="16"/>
                <w:szCs w:val="16"/>
              </w:rPr>
              <w:t>90% specific</w:t>
            </w:r>
          </w:p>
        </w:tc>
        <w:tc>
          <w:tcPr>
            <w:tcW w:w="1019" w:type="dxa"/>
          </w:tcPr>
          <w:p w14:paraId="14562F1A" w14:textId="77777777" w:rsidR="00492B30" w:rsidRPr="0055261F" w:rsidRDefault="00492B30" w:rsidP="00410B92">
            <w:pPr>
              <w:rPr>
                <w:sz w:val="16"/>
                <w:szCs w:val="16"/>
              </w:rPr>
            </w:pPr>
            <w:r w:rsidRPr="0055261F">
              <w:rPr>
                <w:sz w:val="16"/>
                <w:szCs w:val="16"/>
              </w:rPr>
              <w:t>90% sensitive,</w:t>
            </w:r>
          </w:p>
          <w:p w14:paraId="4959BA28" w14:textId="77777777" w:rsidR="00492B30" w:rsidRPr="0055261F" w:rsidRDefault="00492B30" w:rsidP="00410B92">
            <w:pPr>
              <w:rPr>
                <w:sz w:val="16"/>
                <w:szCs w:val="16"/>
              </w:rPr>
            </w:pPr>
            <w:r w:rsidRPr="0055261F">
              <w:rPr>
                <w:sz w:val="16"/>
                <w:szCs w:val="16"/>
              </w:rPr>
              <w:t>95% specific</w:t>
            </w:r>
          </w:p>
        </w:tc>
        <w:tc>
          <w:tcPr>
            <w:tcW w:w="999" w:type="dxa"/>
          </w:tcPr>
          <w:p w14:paraId="124775D6" w14:textId="77777777" w:rsidR="00492B30" w:rsidRPr="0055261F" w:rsidRDefault="00492B30" w:rsidP="00410B92">
            <w:pPr>
              <w:rPr>
                <w:sz w:val="16"/>
                <w:szCs w:val="16"/>
              </w:rPr>
            </w:pPr>
            <w:r w:rsidRPr="0055261F">
              <w:rPr>
                <w:sz w:val="16"/>
                <w:szCs w:val="16"/>
              </w:rPr>
              <w:t>90% sensitive,</w:t>
            </w:r>
          </w:p>
          <w:p w14:paraId="5A805C65" w14:textId="77777777" w:rsidR="00492B30" w:rsidRPr="0055261F" w:rsidRDefault="00492B30" w:rsidP="00410B92">
            <w:pPr>
              <w:rPr>
                <w:sz w:val="16"/>
                <w:szCs w:val="16"/>
              </w:rPr>
            </w:pPr>
            <w:r w:rsidRPr="0055261F">
              <w:rPr>
                <w:sz w:val="16"/>
                <w:szCs w:val="16"/>
              </w:rPr>
              <w:t>90% specific</w:t>
            </w:r>
          </w:p>
        </w:tc>
        <w:tc>
          <w:tcPr>
            <w:tcW w:w="969" w:type="dxa"/>
          </w:tcPr>
          <w:p w14:paraId="09657DBD" w14:textId="77777777" w:rsidR="00492B30" w:rsidRPr="0055261F" w:rsidRDefault="00492B30" w:rsidP="00410B92">
            <w:pPr>
              <w:rPr>
                <w:sz w:val="16"/>
                <w:szCs w:val="16"/>
              </w:rPr>
            </w:pPr>
            <w:r w:rsidRPr="0055261F">
              <w:rPr>
                <w:sz w:val="16"/>
                <w:szCs w:val="16"/>
              </w:rPr>
              <w:t>80% sensitive</w:t>
            </w:r>
          </w:p>
          <w:p w14:paraId="1595767B" w14:textId="77777777" w:rsidR="00492B30" w:rsidRPr="0055261F" w:rsidRDefault="00492B30" w:rsidP="00410B92">
            <w:pPr>
              <w:rPr>
                <w:sz w:val="16"/>
                <w:szCs w:val="16"/>
              </w:rPr>
            </w:pPr>
            <w:r w:rsidRPr="0055261F">
              <w:rPr>
                <w:sz w:val="16"/>
                <w:szCs w:val="16"/>
              </w:rPr>
              <w:t>95% specific</w:t>
            </w:r>
          </w:p>
        </w:tc>
        <w:tc>
          <w:tcPr>
            <w:tcW w:w="999" w:type="dxa"/>
          </w:tcPr>
          <w:p w14:paraId="21EF16B7" w14:textId="77777777" w:rsidR="00492B30" w:rsidRPr="0055261F" w:rsidRDefault="00492B30" w:rsidP="00410B92">
            <w:pPr>
              <w:rPr>
                <w:sz w:val="16"/>
                <w:szCs w:val="16"/>
              </w:rPr>
            </w:pPr>
            <w:r w:rsidRPr="0055261F">
              <w:rPr>
                <w:sz w:val="16"/>
                <w:szCs w:val="16"/>
              </w:rPr>
              <w:t>80% sensitive,</w:t>
            </w:r>
          </w:p>
          <w:p w14:paraId="6C472FA3" w14:textId="77777777" w:rsidR="00492B30" w:rsidRPr="0055261F" w:rsidRDefault="00492B30" w:rsidP="00410B92">
            <w:pPr>
              <w:rPr>
                <w:sz w:val="16"/>
                <w:szCs w:val="16"/>
              </w:rPr>
            </w:pPr>
            <w:r w:rsidRPr="0055261F">
              <w:rPr>
                <w:sz w:val="16"/>
                <w:szCs w:val="16"/>
              </w:rPr>
              <w:t>90% specific</w:t>
            </w:r>
          </w:p>
        </w:tc>
        <w:tc>
          <w:tcPr>
            <w:tcW w:w="969" w:type="dxa"/>
          </w:tcPr>
          <w:p w14:paraId="01FB7329" w14:textId="77777777" w:rsidR="00492B30" w:rsidRPr="0055261F" w:rsidRDefault="00492B30" w:rsidP="00410B92">
            <w:pPr>
              <w:rPr>
                <w:sz w:val="16"/>
                <w:szCs w:val="16"/>
              </w:rPr>
            </w:pPr>
            <w:r w:rsidRPr="0055261F">
              <w:rPr>
                <w:sz w:val="16"/>
                <w:szCs w:val="16"/>
              </w:rPr>
              <w:t>70% sensitive</w:t>
            </w:r>
          </w:p>
          <w:p w14:paraId="267D9196" w14:textId="77777777" w:rsidR="00492B30" w:rsidRPr="0055261F" w:rsidRDefault="00492B30" w:rsidP="00410B92">
            <w:pPr>
              <w:rPr>
                <w:sz w:val="16"/>
                <w:szCs w:val="16"/>
              </w:rPr>
            </w:pPr>
            <w:r w:rsidRPr="0055261F">
              <w:rPr>
                <w:sz w:val="16"/>
                <w:szCs w:val="16"/>
              </w:rPr>
              <w:t>95% specific</w:t>
            </w:r>
          </w:p>
        </w:tc>
        <w:tc>
          <w:tcPr>
            <w:tcW w:w="824" w:type="dxa"/>
          </w:tcPr>
          <w:p w14:paraId="3A46E8FC" w14:textId="77777777" w:rsidR="00492B30" w:rsidRDefault="00492B30" w:rsidP="00410B92">
            <w:pPr>
              <w:rPr>
                <w:sz w:val="16"/>
                <w:szCs w:val="16"/>
              </w:rPr>
            </w:pPr>
            <w:r w:rsidRPr="0055261F">
              <w:rPr>
                <w:sz w:val="16"/>
                <w:szCs w:val="16"/>
              </w:rPr>
              <w:t>70%</w:t>
            </w:r>
            <w:r>
              <w:rPr>
                <w:sz w:val="16"/>
                <w:szCs w:val="16"/>
              </w:rPr>
              <w:t xml:space="preserve"> sensitive,</w:t>
            </w:r>
          </w:p>
          <w:p w14:paraId="4D64CC96" w14:textId="77777777" w:rsidR="00492B30" w:rsidRPr="0055261F" w:rsidRDefault="00492B30" w:rsidP="00410B92">
            <w:pPr>
              <w:rPr>
                <w:sz w:val="16"/>
                <w:szCs w:val="16"/>
              </w:rPr>
            </w:pPr>
            <w:r>
              <w:rPr>
                <w:sz w:val="16"/>
                <w:szCs w:val="16"/>
              </w:rPr>
              <w:t>90% specific</w:t>
            </w:r>
            <w:r w:rsidRPr="0055261F">
              <w:rPr>
                <w:sz w:val="16"/>
                <w:szCs w:val="16"/>
              </w:rPr>
              <w:t xml:space="preserve"> </w:t>
            </w:r>
          </w:p>
        </w:tc>
      </w:tr>
      <w:tr w:rsidR="00492B30" w14:paraId="048182A1" w14:textId="77777777" w:rsidTr="00410B92">
        <w:tc>
          <w:tcPr>
            <w:tcW w:w="1218" w:type="dxa"/>
          </w:tcPr>
          <w:p w14:paraId="1638D4CC" w14:textId="77777777" w:rsidR="00492B30" w:rsidRDefault="00492B30" w:rsidP="00410B92">
            <w:r>
              <w:t>Prevalence 15%</w:t>
            </w:r>
          </w:p>
        </w:tc>
        <w:tc>
          <w:tcPr>
            <w:tcW w:w="1020" w:type="dxa"/>
          </w:tcPr>
          <w:p w14:paraId="1D485B6C" w14:textId="77777777" w:rsidR="00492B30" w:rsidRDefault="00492B30" w:rsidP="00410B92">
            <w:r>
              <w:t>487</w:t>
            </w:r>
          </w:p>
        </w:tc>
        <w:tc>
          <w:tcPr>
            <w:tcW w:w="999" w:type="dxa"/>
          </w:tcPr>
          <w:p w14:paraId="7BE7F262" w14:textId="77777777" w:rsidR="00492B30" w:rsidRDefault="00492B30" w:rsidP="00410B92">
            <w:r>
              <w:t>122</w:t>
            </w:r>
          </w:p>
        </w:tc>
        <w:tc>
          <w:tcPr>
            <w:tcW w:w="1019" w:type="dxa"/>
          </w:tcPr>
          <w:p w14:paraId="0C4A83A1" w14:textId="77777777" w:rsidR="00492B30" w:rsidRDefault="00492B30" w:rsidP="00410B92">
            <w:r>
              <w:t>922</w:t>
            </w:r>
          </w:p>
        </w:tc>
        <w:tc>
          <w:tcPr>
            <w:tcW w:w="999" w:type="dxa"/>
          </w:tcPr>
          <w:p w14:paraId="21A86BDE" w14:textId="77777777" w:rsidR="00492B30" w:rsidRDefault="00492B30" w:rsidP="00410B92">
            <w:r>
              <w:t>230</w:t>
            </w:r>
          </w:p>
        </w:tc>
        <w:tc>
          <w:tcPr>
            <w:tcW w:w="969" w:type="dxa"/>
          </w:tcPr>
          <w:p w14:paraId="553ED5D9" w14:textId="77777777" w:rsidR="00492B30" w:rsidRDefault="00492B30" w:rsidP="00410B92">
            <w:r>
              <w:t>1639</w:t>
            </w:r>
          </w:p>
        </w:tc>
        <w:tc>
          <w:tcPr>
            <w:tcW w:w="999" w:type="dxa"/>
          </w:tcPr>
          <w:p w14:paraId="669EDA7E" w14:textId="77777777" w:rsidR="00492B30" w:rsidRDefault="00492B30" w:rsidP="00410B92">
            <w:r>
              <w:t>410</w:t>
            </w:r>
          </w:p>
        </w:tc>
        <w:tc>
          <w:tcPr>
            <w:tcW w:w="969" w:type="dxa"/>
          </w:tcPr>
          <w:p w14:paraId="77310CDB" w14:textId="77777777" w:rsidR="00492B30" w:rsidRDefault="00492B30" w:rsidP="00410B92">
            <w:r>
              <w:t>2151</w:t>
            </w:r>
          </w:p>
        </w:tc>
        <w:tc>
          <w:tcPr>
            <w:tcW w:w="824" w:type="dxa"/>
          </w:tcPr>
          <w:p w14:paraId="2FC71BC8" w14:textId="77777777" w:rsidR="00492B30" w:rsidRDefault="00492B30" w:rsidP="00410B92">
            <w:r>
              <w:t>538</w:t>
            </w:r>
          </w:p>
        </w:tc>
      </w:tr>
      <w:tr w:rsidR="00492B30" w14:paraId="1134ED37" w14:textId="77777777" w:rsidTr="00410B92">
        <w:tc>
          <w:tcPr>
            <w:tcW w:w="1218" w:type="dxa"/>
          </w:tcPr>
          <w:p w14:paraId="777D0C16" w14:textId="77777777" w:rsidR="00492B30" w:rsidRDefault="00492B30" w:rsidP="00410B92">
            <w:r>
              <w:t>Prevalence 20%</w:t>
            </w:r>
          </w:p>
        </w:tc>
        <w:tc>
          <w:tcPr>
            <w:tcW w:w="1020" w:type="dxa"/>
          </w:tcPr>
          <w:p w14:paraId="1345B1A3" w14:textId="77777777" w:rsidR="00492B30" w:rsidRDefault="00492B30" w:rsidP="00410B92">
            <w:r>
              <w:t>365</w:t>
            </w:r>
          </w:p>
        </w:tc>
        <w:tc>
          <w:tcPr>
            <w:tcW w:w="999" w:type="dxa"/>
          </w:tcPr>
          <w:p w14:paraId="73BC879D" w14:textId="77777777" w:rsidR="00492B30" w:rsidRDefault="00492B30" w:rsidP="00410B92">
            <w:r>
              <w:t>91</w:t>
            </w:r>
          </w:p>
        </w:tc>
        <w:tc>
          <w:tcPr>
            <w:tcW w:w="1019" w:type="dxa"/>
          </w:tcPr>
          <w:p w14:paraId="22AB843A" w14:textId="77777777" w:rsidR="00492B30" w:rsidRDefault="00492B30" w:rsidP="00410B92">
            <w:r>
              <w:t>691.5</w:t>
            </w:r>
          </w:p>
        </w:tc>
        <w:tc>
          <w:tcPr>
            <w:tcW w:w="999" w:type="dxa"/>
          </w:tcPr>
          <w:p w14:paraId="28FC7805" w14:textId="77777777" w:rsidR="00492B30" w:rsidRDefault="00492B30" w:rsidP="00410B92">
            <w:r>
              <w:t xml:space="preserve">173 </w:t>
            </w:r>
          </w:p>
        </w:tc>
        <w:tc>
          <w:tcPr>
            <w:tcW w:w="969" w:type="dxa"/>
          </w:tcPr>
          <w:p w14:paraId="78950E36" w14:textId="77777777" w:rsidR="00492B30" w:rsidRDefault="00492B30" w:rsidP="00410B92">
            <w:r>
              <w:t>1229</w:t>
            </w:r>
          </w:p>
        </w:tc>
        <w:tc>
          <w:tcPr>
            <w:tcW w:w="999" w:type="dxa"/>
          </w:tcPr>
          <w:p w14:paraId="094F28E1" w14:textId="77777777" w:rsidR="00492B30" w:rsidRDefault="00492B30" w:rsidP="00410B92">
            <w:r>
              <w:t>307</w:t>
            </w:r>
          </w:p>
        </w:tc>
        <w:tc>
          <w:tcPr>
            <w:tcW w:w="969" w:type="dxa"/>
          </w:tcPr>
          <w:p w14:paraId="3CDFEB92" w14:textId="77777777" w:rsidR="00492B30" w:rsidRDefault="00492B30" w:rsidP="00410B92">
            <w:r>
              <w:t>1613</w:t>
            </w:r>
          </w:p>
        </w:tc>
        <w:tc>
          <w:tcPr>
            <w:tcW w:w="824" w:type="dxa"/>
          </w:tcPr>
          <w:p w14:paraId="755D23D7" w14:textId="77777777" w:rsidR="00492B30" w:rsidRDefault="00492B30" w:rsidP="00410B92">
            <w:r>
              <w:t>403</w:t>
            </w:r>
          </w:p>
        </w:tc>
      </w:tr>
      <w:tr w:rsidR="00492B30" w14:paraId="13088FE7" w14:textId="77777777" w:rsidTr="00410B92">
        <w:tc>
          <w:tcPr>
            <w:tcW w:w="1218" w:type="dxa"/>
          </w:tcPr>
          <w:p w14:paraId="367CFF11" w14:textId="77777777" w:rsidR="00492B30" w:rsidRDefault="00492B30" w:rsidP="00410B92">
            <w:r>
              <w:t>Prevalence 30%</w:t>
            </w:r>
          </w:p>
        </w:tc>
        <w:tc>
          <w:tcPr>
            <w:tcW w:w="1020" w:type="dxa"/>
          </w:tcPr>
          <w:p w14:paraId="74520FD5" w14:textId="77777777" w:rsidR="00492B30" w:rsidRPr="008E3D74" w:rsidRDefault="00492B30" w:rsidP="00410B92">
            <w:r w:rsidRPr="008E3D74">
              <w:t>243</w:t>
            </w:r>
          </w:p>
        </w:tc>
        <w:tc>
          <w:tcPr>
            <w:tcW w:w="999" w:type="dxa"/>
          </w:tcPr>
          <w:p w14:paraId="0B36445C" w14:textId="77777777" w:rsidR="00492B30" w:rsidRDefault="00492B30" w:rsidP="00410B92">
            <w:r>
              <w:t>61</w:t>
            </w:r>
          </w:p>
        </w:tc>
        <w:tc>
          <w:tcPr>
            <w:tcW w:w="1019" w:type="dxa"/>
          </w:tcPr>
          <w:p w14:paraId="3BE93924" w14:textId="77777777" w:rsidR="00492B30" w:rsidRDefault="00492B30" w:rsidP="00410B92">
            <w:r>
              <w:t>461</w:t>
            </w:r>
          </w:p>
        </w:tc>
        <w:tc>
          <w:tcPr>
            <w:tcW w:w="999" w:type="dxa"/>
          </w:tcPr>
          <w:p w14:paraId="7D41EAFF" w14:textId="77777777" w:rsidR="00492B30" w:rsidRPr="007641C7" w:rsidRDefault="00492B30" w:rsidP="00410B92">
            <w:pPr>
              <w:rPr>
                <w:b/>
                <w:u w:val="single"/>
              </w:rPr>
            </w:pPr>
            <w:r w:rsidRPr="007641C7">
              <w:rPr>
                <w:b/>
                <w:u w:val="single"/>
              </w:rPr>
              <w:t>115</w:t>
            </w:r>
          </w:p>
        </w:tc>
        <w:tc>
          <w:tcPr>
            <w:tcW w:w="969" w:type="dxa"/>
          </w:tcPr>
          <w:p w14:paraId="64E13F6E" w14:textId="77777777" w:rsidR="00492B30" w:rsidRDefault="00492B30" w:rsidP="00410B92">
            <w:r>
              <w:t>820</w:t>
            </w:r>
          </w:p>
        </w:tc>
        <w:tc>
          <w:tcPr>
            <w:tcW w:w="999" w:type="dxa"/>
          </w:tcPr>
          <w:p w14:paraId="304B5679" w14:textId="77777777" w:rsidR="00492B30" w:rsidRDefault="00492B30" w:rsidP="00410B92">
            <w:r>
              <w:t>205</w:t>
            </w:r>
          </w:p>
        </w:tc>
        <w:tc>
          <w:tcPr>
            <w:tcW w:w="969" w:type="dxa"/>
          </w:tcPr>
          <w:p w14:paraId="55412EEE" w14:textId="77777777" w:rsidR="00492B30" w:rsidRDefault="00492B30" w:rsidP="00410B92">
            <w:r>
              <w:t>1076</w:t>
            </w:r>
          </w:p>
        </w:tc>
        <w:tc>
          <w:tcPr>
            <w:tcW w:w="824" w:type="dxa"/>
          </w:tcPr>
          <w:p w14:paraId="40B24B89" w14:textId="77777777" w:rsidR="00492B30" w:rsidRDefault="00492B30" w:rsidP="00410B92">
            <w:r>
              <w:t>269</w:t>
            </w:r>
          </w:p>
        </w:tc>
      </w:tr>
      <w:tr w:rsidR="00492B30" w14:paraId="773B95BD" w14:textId="77777777" w:rsidTr="00410B92">
        <w:tc>
          <w:tcPr>
            <w:tcW w:w="9016" w:type="dxa"/>
            <w:gridSpan w:val="9"/>
          </w:tcPr>
          <w:p w14:paraId="4A854F2F" w14:textId="77777777" w:rsidR="00492B30" w:rsidRDefault="00492B30" w:rsidP="00410B92">
            <w:r>
              <w:t>Z = 1.96 (95% CI)</w:t>
            </w:r>
          </w:p>
        </w:tc>
      </w:tr>
    </w:tbl>
    <w:p w14:paraId="46857599" w14:textId="77777777" w:rsidR="00492B30" w:rsidRDefault="00492B30" w:rsidP="00F37512">
      <w:pPr>
        <w:pStyle w:val="Heading1"/>
        <w:keepLines w:val="0"/>
        <w:tabs>
          <w:tab w:val="left" w:pos="720"/>
        </w:tabs>
        <w:spacing w:before="600" w:after="120" w:line="240" w:lineRule="auto"/>
      </w:pPr>
      <w:bookmarkStart w:id="2" w:name="_Toc414960987"/>
      <w:r>
        <w:t>GOOD CLINICAL PRACTICE</w:t>
      </w:r>
      <w:bookmarkEnd w:id="2"/>
    </w:p>
    <w:p w14:paraId="08FD5071"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3" w:name="_Toc414960988"/>
      <w:r>
        <w:t>ETHICAL CONDUCT</w:t>
      </w:r>
      <w:bookmarkEnd w:id="3"/>
    </w:p>
    <w:p w14:paraId="7903BB11" w14:textId="77777777" w:rsidR="00492B30" w:rsidRDefault="00492B30" w:rsidP="00492B30">
      <w:pPr>
        <w:tabs>
          <w:tab w:val="left" w:pos="851"/>
        </w:tabs>
        <w:spacing w:before="120"/>
        <w:ind w:firstLine="1"/>
        <w:jc w:val="both"/>
        <w:rPr>
          <w:sz w:val="20"/>
          <w:lang w:val="en-US"/>
        </w:rPr>
      </w:pPr>
      <w:r w:rsidRPr="00B0128A">
        <w:rPr>
          <w:sz w:val="20"/>
          <w:lang w:val="en-US"/>
        </w:rPr>
        <w:t xml:space="preserve">The study will be conducted in accordance with the principles of the International Conference on </w:t>
      </w:r>
      <w:proofErr w:type="spellStart"/>
      <w:r w:rsidRPr="00B0128A">
        <w:rPr>
          <w:sz w:val="20"/>
          <w:lang w:val="en-US"/>
        </w:rPr>
        <w:t>Harmonisation</w:t>
      </w:r>
      <w:proofErr w:type="spellEnd"/>
      <w:r w:rsidRPr="00B0128A">
        <w:rPr>
          <w:sz w:val="20"/>
          <w:lang w:val="en-US"/>
        </w:rPr>
        <w:t xml:space="preserve"> Tripartite Guideline for Good Clinical Practice (ICH GCP).</w:t>
      </w:r>
    </w:p>
    <w:p w14:paraId="1F2C67F9" w14:textId="77777777" w:rsidR="00492B30" w:rsidRPr="00282807" w:rsidRDefault="00492B30" w:rsidP="00844BC6">
      <w:r w:rsidRPr="00282807">
        <w:rPr>
          <w:lang w:val="en-US"/>
        </w:rPr>
        <w:lastRenderedPageBreak/>
        <w:t>Before the study can commence, all required approvals will be obtained and any conditions of approvals will be met.</w:t>
      </w:r>
      <w:bookmarkStart w:id="4" w:name="_Toc414960990"/>
    </w:p>
    <w:p w14:paraId="059D8B69"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r>
        <w:t>INVESTIGATOR RESPONSIBILITIES</w:t>
      </w:r>
      <w:bookmarkEnd w:id="4"/>
    </w:p>
    <w:p w14:paraId="07F9E75B" w14:textId="77777777" w:rsidR="00492B30" w:rsidRDefault="00492B30" w:rsidP="00492B30">
      <w:pPr>
        <w:keepNext/>
        <w:keepLines/>
        <w:tabs>
          <w:tab w:val="left" w:pos="851"/>
        </w:tabs>
        <w:spacing w:before="120"/>
        <w:ind w:firstLine="1"/>
        <w:jc w:val="both"/>
        <w:rPr>
          <w:sz w:val="20"/>
          <w:lang w:val="en-US"/>
        </w:rPr>
      </w:pPr>
      <w:r w:rsidRPr="00B0128A">
        <w:rPr>
          <w:sz w:val="20"/>
          <w:lang w:val="en-US"/>
        </w:rPr>
        <w:t xml:space="preserve">The Investigator is responsible for the overall conduct of the study at the site and compliance with the protocol and any protocol amendments.  In accordance with the principles of ICH GCP, the following areas </w:t>
      </w:r>
      <w:r>
        <w:rPr>
          <w:sz w:val="20"/>
          <w:lang w:val="en-US"/>
        </w:rPr>
        <w:t xml:space="preserve">listed in this section </w:t>
      </w:r>
      <w:r w:rsidRPr="00B0128A">
        <w:rPr>
          <w:sz w:val="20"/>
          <w:lang w:val="en-US"/>
        </w:rPr>
        <w:t xml:space="preserve">are also the responsibility of the Investigator.  Responsibilities may be delegated to an appropriate member of study site staff.  </w:t>
      </w:r>
    </w:p>
    <w:p w14:paraId="192D47FB" w14:textId="77777777" w:rsidR="00492B30" w:rsidRPr="00C91746" w:rsidRDefault="00492B30" w:rsidP="00492B30">
      <w:pPr>
        <w:tabs>
          <w:tab w:val="left" w:pos="851"/>
        </w:tabs>
        <w:spacing w:before="120"/>
        <w:ind w:firstLine="1"/>
        <w:jc w:val="both"/>
        <w:rPr>
          <w:i/>
          <w:vanish/>
          <w:color w:val="7030A0"/>
          <w:sz w:val="20"/>
          <w:szCs w:val="20"/>
          <w:lang w:val="en-US"/>
        </w:rPr>
      </w:pPr>
      <w:r w:rsidRPr="00C91746">
        <w:rPr>
          <w:i/>
          <w:vanish/>
          <w:color w:val="7030A0"/>
          <w:sz w:val="20"/>
          <w:szCs w:val="20"/>
          <w:lang w:val="en-US"/>
        </w:rPr>
        <w:t>Delegated tasks must be documented on a Delegation Log and signed by all those named on the list prior to undertaking applicable study-related procedures.</w:t>
      </w:r>
    </w:p>
    <w:p w14:paraId="792F2B51" w14:textId="77777777" w:rsidR="00492B30" w:rsidRPr="009978B3" w:rsidRDefault="00492B30" w:rsidP="00492B30">
      <w:pPr>
        <w:pStyle w:val="Heading3"/>
        <w:keepNext w:val="0"/>
        <w:keepLines w:val="0"/>
        <w:numPr>
          <w:ilvl w:val="2"/>
          <w:numId w:val="0"/>
        </w:numPr>
        <w:tabs>
          <w:tab w:val="num" w:pos="720"/>
        </w:tabs>
        <w:spacing w:before="180" w:after="120" w:line="240" w:lineRule="auto"/>
        <w:ind w:left="720" w:hanging="720"/>
      </w:pPr>
      <w:bookmarkStart w:id="5" w:name="_Toc414960991"/>
      <w:r w:rsidRPr="009978B3">
        <w:t>Informed Consent</w:t>
      </w:r>
      <w:bookmarkEnd w:id="5"/>
    </w:p>
    <w:p w14:paraId="219DB90A" w14:textId="77777777" w:rsidR="00492B30" w:rsidRPr="00B0128A" w:rsidRDefault="00492B30" w:rsidP="00492B30">
      <w:pPr>
        <w:tabs>
          <w:tab w:val="left" w:pos="851"/>
        </w:tabs>
        <w:spacing w:before="120"/>
        <w:ind w:firstLine="1"/>
        <w:jc w:val="both"/>
        <w:rPr>
          <w:sz w:val="20"/>
          <w:lang w:val="en-US"/>
        </w:rPr>
      </w:pPr>
      <w:r w:rsidRPr="00B0128A">
        <w:rPr>
          <w:sz w:val="20"/>
          <w:lang w:val="en-US"/>
        </w:rPr>
        <w:t>The Investigator is responsible for ensuring informed consent is obtained before any protocol specific procedures are carried out. The decision of a participant to participate in clinical research is voluntary and should be based on a clear unde</w:t>
      </w:r>
      <w:r>
        <w:rPr>
          <w:sz w:val="20"/>
          <w:lang w:val="en-US"/>
        </w:rPr>
        <w:t>rstanding of what is involved.</w:t>
      </w:r>
    </w:p>
    <w:p w14:paraId="3AD07CCA" w14:textId="77777777" w:rsidR="00492B30" w:rsidRPr="00B0128A" w:rsidRDefault="00492B30" w:rsidP="00492B30">
      <w:pPr>
        <w:tabs>
          <w:tab w:val="left" w:pos="851"/>
        </w:tabs>
        <w:spacing w:before="120"/>
        <w:ind w:firstLine="1"/>
        <w:jc w:val="both"/>
        <w:rPr>
          <w:sz w:val="20"/>
          <w:lang w:val="en-US"/>
        </w:rPr>
      </w:pPr>
      <w:r w:rsidRPr="00B0128A">
        <w:rPr>
          <w:sz w:val="20"/>
          <w:lang w:val="en-US"/>
        </w:rPr>
        <w:t xml:space="preserve">Participants must receive adequate oral and written information – appropriate Participant Information and Informed Consent Forms will be provided. The oral explanation to the participant </w:t>
      </w:r>
      <w:r>
        <w:rPr>
          <w:sz w:val="20"/>
          <w:lang w:val="en-US"/>
        </w:rPr>
        <w:t>will</w:t>
      </w:r>
      <w:r w:rsidRPr="00B0128A">
        <w:rPr>
          <w:sz w:val="20"/>
          <w:lang w:val="en-US"/>
        </w:rPr>
        <w:t xml:space="preserve"> be performed b</w:t>
      </w:r>
      <w:r>
        <w:rPr>
          <w:sz w:val="20"/>
          <w:lang w:val="en-US"/>
        </w:rPr>
        <w:t>y the Investigator or qualified delegated</w:t>
      </w:r>
      <w:r w:rsidRPr="00B0128A">
        <w:rPr>
          <w:sz w:val="20"/>
          <w:lang w:val="en-US"/>
        </w:rPr>
        <w:t xml:space="preserve"> person, and </w:t>
      </w:r>
      <w:r>
        <w:rPr>
          <w:sz w:val="20"/>
          <w:lang w:val="en-US"/>
        </w:rPr>
        <w:t>must</w:t>
      </w:r>
      <w:r w:rsidRPr="00B0128A">
        <w:rPr>
          <w:sz w:val="20"/>
          <w:lang w:val="en-US"/>
        </w:rPr>
        <w:t xml:space="preserve"> cover all the elements specified in the Partici</w:t>
      </w:r>
      <w:r>
        <w:rPr>
          <w:sz w:val="20"/>
          <w:lang w:val="en-US"/>
        </w:rPr>
        <w:t xml:space="preserve">pant Information Sheet and </w:t>
      </w:r>
      <w:r w:rsidRPr="00B0128A">
        <w:rPr>
          <w:sz w:val="20"/>
          <w:lang w:val="en-US"/>
        </w:rPr>
        <w:t>Consent</w:t>
      </w:r>
      <w:r>
        <w:rPr>
          <w:sz w:val="20"/>
          <w:lang w:val="en-US"/>
        </w:rPr>
        <w:t xml:space="preserve"> Form.</w:t>
      </w:r>
    </w:p>
    <w:p w14:paraId="6B502826" w14:textId="77777777" w:rsidR="00492B30" w:rsidRPr="00B0128A" w:rsidRDefault="00492B30" w:rsidP="00492B30">
      <w:pPr>
        <w:tabs>
          <w:tab w:val="left" w:pos="851"/>
        </w:tabs>
        <w:spacing w:before="120"/>
        <w:ind w:firstLine="1"/>
        <w:jc w:val="both"/>
        <w:rPr>
          <w:sz w:val="20"/>
          <w:lang w:val="en-US"/>
        </w:rPr>
      </w:pPr>
      <w:r w:rsidRPr="00B0128A">
        <w:rPr>
          <w:sz w:val="20"/>
          <w:lang w:val="en-US"/>
        </w:rPr>
        <w:t xml:space="preserve">The participant must be given every opportunity to clarify any points they do not understand and, if necessary, ask for more information. The participant must be given sufficient time to consider the information provided.  It </w:t>
      </w:r>
      <w:r>
        <w:rPr>
          <w:sz w:val="20"/>
          <w:lang w:val="en-US"/>
        </w:rPr>
        <w:t>should</w:t>
      </w:r>
      <w:r w:rsidRPr="00B0128A">
        <w:rPr>
          <w:sz w:val="20"/>
          <w:lang w:val="en-US"/>
        </w:rPr>
        <w:t xml:space="preserve"> be </w:t>
      </w:r>
      <w:proofErr w:type="spellStart"/>
      <w:r w:rsidRPr="00B0128A">
        <w:rPr>
          <w:sz w:val="20"/>
          <w:lang w:val="en-US"/>
        </w:rPr>
        <w:t>emphasised</w:t>
      </w:r>
      <w:proofErr w:type="spellEnd"/>
      <w:r w:rsidRPr="00B0128A">
        <w:rPr>
          <w:sz w:val="20"/>
          <w:lang w:val="en-US"/>
        </w:rPr>
        <w:t xml:space="preserve"> that the participant may withdraw their consent to participate at any time without loss of benefits to which they otherwise would be entitled.</w:t>
      </w:r>
    </w:p>
    <w:p w14:paraId="7D2120AE" w14:textId="77777777" w:rsidR="00492B30" w:rsidRDefault="00492B30" w:rsidP="00492B30">
      <w:pPr>
        <w:tabs>
          <w:tab w:val="left" w:pos="851"/>
        </w:tabs>
        <w:spacing w:before="120"/>
        <w:ind w:firstLine="1"/>
        <w:jc w:val="both"/>
        <w:rPr>
          <w:sz w:val="20"/>
          <w:lang w:val="en-US"/>
        </w:rPr>
      </w:pPr>
      <w:r>
        <w:rPr>
          <w:sz w:val="20"/>
          <w:lang w:val="en-US"/>
        </w:rPr>
        <w:t>The participant will</w:t>
      </w:r>
      <w:r w:rsidRPr="00B0128A">
        <w:rPr>
          <w:sz w:val="20"/>
          <w:lang w:val="en-US"/>
        </w:rPr>
        <w:t xml:space="preserve"> be informed and agree to their medical records being inspected by regulatory authorities</w:t>
      </w:r>
      <w:r>
        <w:rPr>
          <w:sz w:val="20"/>
          <w:lang w:val="en-US"/>
        </w:rPr>
        <w:t xml:space="preserve"> and representatives of the sponsor(s).</w:t>
      </w:r>
    </w:p>
    <w:p w14:paraId="7AEF9C2F" w14:textId="77777777" w:rsidR="00492B30" w:rsidRPr="00FC31DF" w:rsidRDefault="00492B30" w:rsidP="00492B30">
      <w:pPr>
        <w:tabs>
          <w:tab w:val="left" w:pos="851"/>
        </w:tabs>
        <w:spacing w:before="120"/>
        <w:ind w:firstLine="1"/>
        <w:jc w:val="both"/>
        <w:rPr>
          <w:sz w:val="20"/>
          <w:lang w:val="en-US"/>
        </w:rPr>
      </w:pPr>
      <w:r>
        <w:rPr>
          <w:rFonts w:cs="Arial"/>
          <w:i/>
          <w:vanish/>
          <w:color w:val="7030A0"/>
          <w:sz w:val="20"/>
          <w:szCs w:val="20"/>
        </w:rPr>
        <w:t>Inspection by regulatory authorities can be deleted for non-CTIMP studies.</w:t>
      </w:r>
      <w:r w:rsidRPr="00B0128A">
        <w:rPr>
          <w:sz w:val="20"/>
          <w:lang w:val="en-US"/>
        </w:rPr>
        <w:t xml:space="preserve">The Investigator </w:t>
      </w:r>
      <w:r>
        <w:rPr>
          <w:sz w:val="20"/>
          <w:lang w:val="en-US"/>
        </w:rPr>
        <w:t>or delegated member of the trial team</w:t>
      </w:r>
      <w:r w:rsidRPr="00B0128A">
        <w:rPr>
          <w:sz w:val="20"/>
          <w:lang w:val="en-US"/>
        </w:rPr>
        <w:t xml:space="preserve"> and the participant </w:t>
      </w:r>
      <w:r>
        <w:rPr>
          <w:sz w:val="20"/>
          <w:lang w:val="en-US"/>
        </w:rPr>
        <w:t>will</w:t>
      </w:r>
      <w:r w:rsidRPr="00B0128A">
        <w:rPr>
          <w:sz w:val="20"/>
          <w:lang w:val="en-US"/>
        </w:rPr>
        <w:t xml:space="preserve"> sign and date the Informed Consent Form(s) to confirm that consent has been obtained. The participant </w:t>
      </w:r>
      <w:r>
        <w:rPr>
          <w:sz w:val="20"/>
          <w:lang w:val="en-US"/>
        </w:rPr>
        <w:t xml:space="preserve">will </w:t>
      </w:r>
      <w:r w:rsidRPr="00B0128A">
        <w:rPr>
          <w:sz w:val="20"/>
          <w:lang w:val="en-US"/>
        </w:rPr>
        <w:t>receive a copy of this document</w:t>
      </w:r>
      <w:r>
        <w:rPr>
          <w:sz w:val="20"/>
          <w:lang w:val="en-US"/>
        </w:rPr>
        <w:t xml:space="preserve"> and a copy filed in the Investigator Site File (ISF) and participant’s medical notes (if applicable).</w:t>
      </w:r>
    </w:p>
    <w:p w14:paraId="5547A358" w14:textId="77777777" w:rsidR="00492B30" w:rsidRPr="009978B3" w:rsidRDefault="00492B30" w:rsidP="00492B30">
      <w:pPr>
        <w:pStyle w:val="Heading3"/>
        <w:keepNext w:val="0"/>
        <w:keepLines w:val="0"/>
        <w:numPr>
          <w:ilvl w:val="2"/>
          <w:numId w:val="0"/>
        </w:numPr>
        <w:tabs>
          <w:tab w:val="num" w:pos="720"/>
        </w:tabs>
        <w:spacing w:before="180" w:after="120" w:line="240" w:lineRule="auto"/>
        <w:ind w:left="720" w:hanging="720"/>
      </w:pPr>
      <w:bookmarkStart w:id="6" w:name="_Toc414960992"/>
      <w:r w:rsidRPr="009978B3">
        <w:t>Study Site Staff</w:t>
      </w:r>
      <w:bookmarkEnd w:id="6"/>
    </w:p>
    <w:p w14:paraId="385252F1" w14:textId="77777777" w:rsidR="00492B30" w:rsidRPr="00B0128A" w:rsidRDefault="00492B30" w:rsidP="00492B30">
      <w:pPr>
        <w:tabs>
          <w:tab w:val="left" w:pos="851"/>
        </w:tabs>
        <w:spacing w:before="120"/>
        <w:ind w:firstLine="1"/>
        <w:jc w:val="both"/>
        <w:rPr>
          <w:sz w:val="20"/>
          <w:lang w:val="en-US"/>
        </w:rPr>
      </w:pPr>
      <w:r w:rsidRPr="00B0128A">
        <w:rPr>
          <w:sz w:val="20"/>
          <w:lang w:val="en-US"/>
        </w:rPr>
        <w:t xml:space="preserve">The Investigator must be familiar with the protocol and </w:t>
      </w:r>
      <w:r>
        <w:rPr>
          <w:sz w:val="20"/>
          <w:lang w:val="en-US"/>
        </w:rPr>
        <w:t>the study</w:t>
      </w:r>
      <w:r w:rsidRPr="00B0128A">
        <w:rPr>
          <w:sz w:val="20"/>
          <w:lang w:val="en-US"/>
        </w:rPr>
        <w:t xml:space="preserve"> requirements.  It is the Investigator’s responsibility to ensure that all staff assisting with the study are adequately informed about the protocol </w:t>
      </w:r>
      <w:r>
        <w:rPr>
          <w:sz w:val="20"/>
          <w:lang w:val="en-US"/>
        </w:rPr>
        <w:t>and their trial related duties.</w:t>
      </w:r>
    </w:p>
    <w:p w14:paraId="4944B793" w14:textId="77777777" w:rsidR="00492B30" w:rsidRPr="009978B3" w:rsidRDefault="00492B30" w:rsidP="00492B30">
      <w:pPr>
        <w:pStyle w:val="Heading3"/>
        <w:keepNext w:val="0"/>
        <w:keepLines w:val="0"/>
        <w:numPr>
          <w:ilvl w:val="2"/>
          <w:numId w:val="0"/>
        </w:numPr>
        <w:tabs>
          <w:tab w:val="num" w:pos="720"/>
        </w:tabs>
        <w:spacing w:before="180" w:after="120" w:line="240" w:lineRule="auto"/>
        <w:ind w:left="720" w:hanging="720"/>
      </w:pPr>
      <w:bookmarkStart w:id="7" w:name="_Toc414960993"/>
      <w:r w:rsidRPr="009978B3">
        <w:t>Data Recording</w:t>
      </w:r>
      <w:bookmarkEnd w:id="7"/>
    </w:p>
    <w:p w14:paraId="6C435BF0" w14:textId="77777777" w:rsidR="00492B30" w:rsidRDefault="00492B30" w:rsidP="00492B30">
      <w:pPr>
        <w:tabs>
          <w:tab w:val="left" w:pos="851"/>
        </w:tabs>
        <w:spacing w:before="120"/>
        <w:ind w:firstLine="1"/>
        <w:jc w:val="both"/>
        <w:rPr>
          <w:sz w:val="20"/>
          <w:lang w:val="en-US"/>
        </w:rPr>
      </w:pPr>
      <w:r w:rsidRPr="00B0128A">
        <w:rPr>
          <w:sz w:val="20"/>
          <w:lang w:val="en-US"/>
        </w:rPr>
        <w:t xml:space="preserve">The </w:t>
      </w:r>
      <w:r>
        <w:rPr>
          <w:sz w:val="20"/>
          <w:lang w:val="en-US"/>
        </w:rPr>
        <w:t xml:space="preserve">Principal </w:t>
      </w:r>
      <w:r w:rsidRPr="00B0128A">
        <w:rPr>
          <w:sz w:val="20"/>
          <w:lang w:val="en-US"/>
        </w:rPr>
        <w:t>Investigator is responsible for the quality of</w:t>
      </w:r>
      <w:r>
        <w:rPr>
          <w:sz w:val="20"/>
          <w:lang w:val="en-US"/>
        </w:rPr>
        <w:t xml:space="preserve"> the data recorded in the CRF at each Investigator Site.</w:t>
      </w:r>
      <w:r w:rsidRPr="00B4321D">
        <w:rPr>
          <w:sz w:val="20"/>
          <w:lang w:val="en-US"/>
        </w:rPr>
        <w:t xml:space="preserve"> </w:t>
      </w:r>
    </w:p>
    <w:p w14:paraId="6F2B08B6" w14:textId="77777777" w:rsidR="00492B30" w:rsidRPr="009978B3" w:rsidRDefault="00492B30" w:rsidP="00492B30">
      <w:pPr>
        <w:pStyle w:val="Heading3"/>
        <w:keepNext w:val="0"/>
        <w:keepLines w:val="0"/>
        <w:numPr>
          <w:ilvl w:val="2"/>
          <w:numId w:val="0"/>
        </w:numPr>
        <w:tabs>
          <w:tab w:val="num" w:pos="720"/>
        </w:tabs>
        <w:spacing w:before="180" w:after="120" w:line="240" w:lineRule="auto"/>
        <w:ind w:left="720" w:hanging="720"/>
      </w:pPr>
      <w:r w:rsidRPr="002F4826">
        <w:t xml:space="preserve"> </w:t>
      </w:r>
      <w:bookmarkStart w:id="8" w:name="_Toc414960994"/>
      <w:r w:rsidRPr="009978B3">
        <w:t>Investigator Documentation</w:t>
      </w:r>
      <w:bookmarkEnd w:id="8"/>
    </w:p>
    <w:p w14:paraId="60FA1824" w14:textId="77777777" w:rsidR="00492B30" w:rsidRPr="00B0128A" w:rsidRDefault="00492B30" w:rsidP="00492B30">
      <w:pPr>
        <w:numPr>
          <w:ilvl w:val="0"/>
          <w:numId w:val="30"/>
        </w:numPr>
        <w:tabs>
          <w:tab w:val="clear" w:pos="568"/>
          <w:tab w:val="num" w:pos="851"/>
        </w:tabs>
        <w:spacing w:before="120" w:after="0" w:line="240" w:lineRule="auto"/>
        <w:ind w:left="851"/>
        <w:jc w:val="both"/>
        <w:rPr>
          <w:sz w:val="20"/>
          <w:lang w:val="en-US"/>
        </w:rPr>
      </w:pPr>
      <w:r>
        <w:rPr>
          <w:sz w:val="20"/>
          <w:lang w:val="en-US"/>
        </w:rPr>
        <w:t>The Principal Investigator will ensure</w:t>
      </w:r>
      <w:r w:rsidRPr="00B0128A">
        <w:rPr>
          <w:sz w:val="20"/>
          <w:lang w:val="en-US"/>
        </w:rPr>
        <w:t xml:space="preserve"> that </w:t>
      </w:r>
      <w:r>
        <w:rPr>
          <w:sz w:val="20"/>
          <w:lang w:val="en-US"/>
        </w:rPr>
        <w:t>the required</w:t>
      </w:r>
      <w:r w:rsidRPr="00B0128A">
        <w:rPr>
          <w:sz w:val="20"/>
          <w:lang w:val="en-US"/>
        </w:rPr>
        <w:t xml:space="preserve"> documentation is available in local</w:t>
      </w:r>
      <w:r>
        <w:rPr>
          <w:sz w:val="20"/>
          <w:lang w:val="en-US"/>
        </w:rPr>
        <w:t xml:space="preserve"> Investigator Site files</w:t>
      </w:r>
      <w:r w:rsidRPr="00B0128A">
        <w:rPr>
          <w:sz w:val="20"/>
          <w:lang w:val="en-US"/>
        </w:rPr>
        <w:t xml:space="preserve"> </w:t>
      </w:r>
      <w:r>
        <w:rPr>
          <w:sz w:val="20"/>
          <w:lang w:val="en-US"/>
        </w:rPr>
        <w:t xml:space="preserve">ISFs. </w:t>
      </w:r>
    </w:p>
    <w:p w14:paraId="757CF7D0" w14:textId="77777777" w:rsidR="00492B30" w:rsidRDefault="00492B30" w:rsidP="00492B30">
      <w:pPr>
        <w:pStyle w:val="Heading3"/>
        <w:keepNext w:val="0"/>
        <w:keepLines w:val="0"/>
        <w:numPr>
          <w:ilvl w:val="2"/>
          <w:numId w:val="0"/>
        </w:numPr>
        <w:tabs>
          <w:tab w:val="num" w:pos="720"/>
        </w:tabs>
        <w:spacing w:before="180" w:after="120" w:line="240" w:lineRule="auto"/>
        <w:ind w:left="720" w:hanging="720"/>
      </w:pPr>
      <w:bookmarkStart w:id="9" w:name="_Toc414960995"/>
      <w:r w:rsidRPr="009978B3">
        <w:t>GCP Training</w:t>
      </w:r>
      <w:bookmarkEnd w:id="9"/>
    </w:p>
    <w:p w14:paraId="563BE57D" w14:textId="77777777" w:rsidR="00492B30" w:rsidRPr="00FC31DF" w:rsidRDefault="00492B30" w:rsidP="00492B30">
      <w:pPr>
        <w:spacing w:before="100" w:beforeAutospacing="1" w:after="100" w:afterAutospacing="1"/>
        <w:rPr>
          <w:rFonts w:cs="Arial"/>
          <w:sz w:val="20"/>
          <w:szCs w:val="20"/>
          <w:lang w:eastAsia="en-GB"/>
        </w:rPr>
      </w:pPr>
      <w:r w:rsidRPr="00FC31DF">
        <w:rPr>
          <w:rFonts w:cs="Arial"/>
          <w:sz w:val="20"/>
          <w:szCs w:val="20"/>
          <w:lang w:eastAsia="en-GB"/>
        </w:rPr>
        <w:t xml:space="preserve">For non-CTIMP (i.e. non-drug) studies all researchers are encouraged to undertake GCP training in order to understand the principles of GCP. However, this is not a mandatory requirement unless deemed so by the sponsor.  GCP training status for all investigators should be indicated in their respective CVs. </w:t>
      </w:r>
    </w:p>
    <w:p w14:paraId="52DFE139" w14:textId="77777777" w:rsidR="00492B30" w:rsidRPr="009978B3" w:rsidRDefault="00492B30" w:rsidP="00492B30">
      <w:pPr>
        <w:pStyle w:val="Heading3"/>
        <w:keepNext w:val="0"/>
        <w:keepLines w:val="0"/>
        <w:numPr>
          <w:ilvl w:val="2"/>
          <w:numId w:val="0"/>
        </w:numPr>
        <w:tabs>
          <w:tab w:val="num" w:pos="720"/>
        </w:tabs>
        <w:spacing w:before="180" w:after="120" w:line="240" w:lineRule="auto"/>
        <w:ind w:left="720" w:hanging="720"/>
      </w:pPr>
      <w:bookmarkStart w:id="10" w:name="_Toc414960996"/>
      <w:r w:rsidRPr="009978B3">
        <w:t>Confidentiality</w:t>
      </w:r>
      <w:bookmarkEnd w:id="10"/>
    </w:p>
    <w:p w14:paraId="71D0285D" w14:textId="77777777" w:rsidR="00492B30" w:rsidRPr="0040151B" w:rsidRDefault="00492B30" w:rsidP="00492B30">
      <w:pPr>
        <w:tabs>
          <w:tab w:val="left" w:pos="851"/>
        </w:tabs>
        <w:spacing w:before="120"/>
        <w:ind w:firstLine="1"/>
        <w:jc w:val="both"/>
        <w:rPr>
          <w:sz w:val="20"/>
          <w:lang w:val="en-US"/>
        </w:rPr>
      </w:pPr>
      <w:r w:rsidRPr="00B0128A">
        <w:rPr>
          <w:sz w:val="20"/>
          <w:lang w:val="en-US"/>
        </w:rPr>
        <w:t xml:space="preserve">All laboratory specimens, evaluation forms, reports, and other records </w:t>
      </w:r>
      <w:r>
        <w:rPr>
          <w:sz w:val="20"/>
          <w:lang w:val="en-US"/>
        </w:rPr>
        <w:t>must</w:t>
      </w:r>
      <w:r w:rsidRPr="00B0128A">
        <w:rPr>
          <w:sz w:val="20"/>
          <w:lang w:val="en-US"/>
        </w:rPr>
        <w:t xml:space="preserve"> be identified in a manner designed to maintain participant confidentiality. </w:t>
      </w:r>
      <w:r>
        <w:rPr>
          <w:sz w:val="20"/>
          <w:lang w:val="en-US"/>
        </w:rPr>
        <w:t xml:space="preserve"> </w:t>
      </w:r>
      <w:r w:rsidRPr="00B0128A">
        <w:rPr>
          <w:sz w:val="20"/>
          <w:lang w:val="en-US"/>
        </w:rPr>
        <w:t xml:space="preserve">All records </w:t>
      </w:r>
      <w:r>
        <w:rPr>
          <w:sz w:val="20"/>
          <w:lang w:val="en-US"/>
        </w:rPr>
        <w:t xml:space="preserve">must </w:t>
      </w:r>
      <w:r w:rsidRPr="00B0128A">
        <w:rPr>
          <w:sz w:val="20"/>
          <w:lang w:val="en-US"/>
        </w:rPr>
        <w:t xml:space="preserve">be kept in a secure storage area with limited access. </w:t>
      </w:r>
      <w:r>
        <w:rPr>
          <w:sz w:val="20"/>
          <w:lang w:val="en-US"/>
        </w:rPr>
        <w:t xml:space="preserve"> </w:t>
      </w:r>
      <w:r w:rsidRPr="00B0128A">
        <w:rPr>
          <w:sz w:val="20"/>
          <w:lang w:val="en-US"/>
        </w:rPr>
        <w:lastRenderedPageBreak/>
        <w:t xml:space="preserve">Clinical information will not be released without the written permission of the </w:t>
      </w:r>
      <w:r w:rsidRPr="0040151B">
        <w:rPr>
          <w:sz w:val="20"/>
          <w:lang w:val="en-US"/>
        </w:rPr>
        <w:t xml:space="preserve">participant.  </w:t>
      </w:r>
      <w:r w:rsidRPr="0040151B">
        <w:rPr>
          <w:sz w:val="20"/>
          <w:szCs w:val="20"/>
        </w:rPr>
        <w:t>The Investigator and study site staff involved with this study may not disclose or use for any purpose other than performance of the study, any data, record, or other unpublished information, which is confidential or identifiable, and has been disclosed to those individuals for the purpose of the study.</w:t>
      </w:r>
      <w:r w:rsidRPr="0040151B">
        <w:rPr>
          <w:sz w:val="20"/>
          <w:lang w:val="en-US"/>
        </w:rPr>
        <w:t>.  Prior written agreement from the sponsor or its designee must be obtained for the disclosure of any said confidential information to other parties.</w:t>
      </w:r>
    </w:p>
    <w:p w14:paraId="59A95DC3" w14:textId="77777777" w:rsidR="00492B30" w:rsidRPr="0040151B" w:rsidRDefault="00492B30" w:rsidP="00492B30">
      <w:pPr>
        <w:pStyle w:val="Heading3"/>
        <w:keepNext w:val="0"/>
        <w:keepLines w:val="0"/>
        <w:numPr>
          <w:ilvl w:val="2"/>
          <w:numId w:val="0"/>
        </w:numPr>
        <w:tabs>
          <w:tab w:val="num" w:pos="720"/>
        </w:tabs>
        <w:spacing w:before="180" w:after="120" w:line="240" w:lineRule="auto"/>
        <w:ind w:left="720" w:hanging="720"/>
      </w:pPr>
      <w:bookmarkStart w:id="11" w:name="_Toc414960997"/>
      <w:r w:rsidRPr="0040151B">
        <w:t>Data Protection</w:t>
      </w:r>
      <w:bookmarkEnd w:id="11"/>
    </w:p>
    <w:p w14:paraId="517EE3EC" w14:textId="77777777" w:rsidR="00492B30" w:rsidRPr="0040151B" w:rsidRDefault="00492B30" w:rsidP="00492B30">
      <w:pPr>
        <w:tabs>
          <w:tab w:val="left" w:pos="851"/>
        </w:tabs>
        <w:spacing w:before="120"/>
        <w:ind w:firstLine="1"/>
        <w:jc w:val="both"/>
        <w:rPr>
          <w:sz w:val="20"/>
          <w:lang w:val="en-US"/>
        </w:rPr>
      </w:pPr>
      <w:bookmarkStart w:id="12" w:name="_Toc414960998"/>
      <w:r w:rsidRPr="0040151B">
        <w:rPr>
          <w:sz w:val="20"/>
          <w:lang w:val="en-US"/>
        </w:rPr>
        <w:t xml:space="preserve">All Investigators and study site staff involved with this study must comply with the requirements of the appropriate data protection legislation (including the General Data Protection Regulation and Data Protection Act) with regard to the collection, storage, processing and disclosure of personal information. </w:t>
      </w:r>
    </w:p>
    <w:p w14:paraId="0BFAA5A9" w14:textId="77777777" w:rsidR="00492B30" w:rsidRPr="0040151B" w:rsidRDefault="00492B30" w:rsidP="00492B30">
      <w:pPr>
        <w:tabs>
          <w:tab w:val="left" w:pos="851"/>
        </w:tabs>
        <w:spacing w:before="120"/>
        <w:ind w:firstLine="1"/>
        <w:jc w:val="both"/>
        <w:rPr>
          <w:sz w:val="20"/>
          <w:lang w:val="en-US"/>
        </w:rPr>
      </w:pPr>
      <w:r w:rsidRPr="0040151B">
        <w:rPr>
          <w:sz w:val="20"/>
          <w:lang w:val="en-US"/>
        </w:rPr>
        <w:t>Computers used to collate the data will have limited access measures via user names and passwords.</w:t>
      </w:r>
    </w:p>
    <w:p w14:paraId="2C7BEC4E" w14:textId="2F9F7400" w:rsidR="00492B30" w:rsidRPr="00BB2892" w:rsidRDefault="00492B30" w:rsidP="00492B30">
      <w:pPr>
        <w:rPr>
          <w:rFonts w:ascii="Times New Roman" w:hAnsi="Times New Roman"/>
          <w:sz w:val="20"/>
          <w:szCs w:val="20"/>
          <w:lang w:eastAsia="en-GB"/>
        </w:rPr>
      </w:pPr>
      <w:r w:rsidRPr="0040151B">
        <w:rPr>
          <w:sz w:val="20"/>
          <w:szCs w:val="20"/>
        </w:rPr>
        <w:t>Published results will not contain any personal data and be of a form where individuals are not identified and re-identification is not likely to take place</w:t>
      </w:r>
    </w:p>
    <w:p w14:paraId="29253458" w14:textId="77777777" w:rsidR="00492B30" w:rsidRDefault="00492B30" w:rsidP="00492B30">
      <w:pPr>
        <w:pStyle w:val="Heading1"/>
      </w:pPr>
      <w:r>
        <w:t>STUDY CONDUCT RESPONSIBILITIES</w:t>
      </w:r>
      <w:bookmarkEnd w:id="12"/>
    </w:p>
    <w:p w14:paraId="1355DCCD"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13" w:name="_Toc414960999"/>
      <w:r>
        <w:t>PROTOCOL AMENDMENTS</w:t>
      </w:r>
      <w:bookmarkEnd w:id="13"/>
    </w:p>
    <w:p w14:paraId="60046D3A" w14:textId="77777777" w:rsidR="00492B30" w:rsidRDefault="00492B30" w:rsidP="00492B30">
      <w:pPr>
        <w:tabs>
          <w:tab w:val="left" w:pos="851"/>
        </w:tabs>
        <w:spacing w:before="120"/>
        <w:ind w:firstLine="1"/>
        <w:jc w:val="both"/>
        <w:rPr>
          <w:sz w:val="20"/>
          <w:lang w:val="en-US"/>
        </w:rPr>
      </w:pPr>
      <w:r w:rsidRPr="003A2CAF">
        <w:rPr>
          <w:sz w:val="20"/>
          <w:lang w:val="en-US"/>
        </w:rPr>
        <w:t>Any changes in research activity, except those necessary to remove an apparent, immediate hazard to the participant</w:t>
      </w:r>
      <w:r>
        <w:rPr>
          <w:sz w:val="20"/>
          <w:lang w:val="en-US"/>
        </w:rPr>
        <w:t xml:space="preserve"> in the case of an urgent safety measure</w:t>
      </w:r>
      <w:r w:rsidRPr="003A2CAF">
        <w:rPr>
          <w:sz w:val="20"/>
          <w:lang w:val="en-US"/>
        </w:rPr>
        <w:t xml:space="preserve">, must be reviewed and approved by the Chief Investigator. </w:t>
      </w:r>
      <w:r>
        <w:rPr>
          <w:sz w:val="20"/>
          <w:lang w:val="en-US"/>
        </w:rPr>
        <w:t xml:space="preserve"> </w:t>
      </w:r>
    </w:p>
    <w:p w14:paraId="24DF3239" w14:textId="77777777" w:rsidR="00492B30" w:rsidRPr="003A2CAF" w:rsidRDefault="00492B30" w:rsidP="00492B30">
      <w:pPr>
        <w:tabs>
          <w:tab w:val="left" w:pos="851"/>
        </w:tabs>
        <w:spacing w:before="120"/>
        <w:ind w:firstLine="1"/>
        <w:jc w:val="both"/>
        <w:rPr>
          <w:sz w:val="20"/>
          <w:lang w:val="en-US"/>
        </w:rPr>
      </w:pPr>
      <w:r>
        <w:rPr>
          <w:sz w:val="20"/>
          <w:lang w:val="en-US"/>
        </w:rPr>
        <w:t xml:space="preserve">Amendments will be submitted to a sponsor representative for review and </w:t>
      </w:r>
      <w:proofErr w:type="spellStart"/>
      <w:r>
        <w:rPr>
          <w:sz w:val="20"/>
          <w:lang w:val="en-US"/>
        </w:rPr>
        <w:t>authorisation</w:t>
      </w:r>
      <w:proofErr w:type="spellEnd"/>
      <w:r>
        <w:rPr>
          <w:sz w:val="20"/>
          <w:lang w:val="en-US"/>
        </w:rPr>
        <w:t xml:space="preserve"> before being </w:t>
      </w:r>
      <w:r w:rsidRPr="003A2CAF">
        <w:rPr>
          <w:sz w:val="20"/>
          <w:lang w:val="en-US"/>
        </w:rPr>
        <w:t>submitted in writing to the appropriate REC, and local R&amp;D for approval prior to participants being enrolled into an amended protocol.</w:t>
      </w:r>
    </w:p>
    <w:p w14:paraId="21967A9E"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14" w:name="_Toc414961000"/>
      <w:r>
        <w:t>MANAGEMENT OF PROTOCOL NON COMPLIANCE</w:t>
      </w:r>
      <w:bookmarkEnd w:id="14"/>
    </w:p>
    <w:p w14:paraId="24EAC4EF" w14:textId="77777777" w:rsidR="00492B30" w:rsidRDefault="00492B30" w:rsidP="00492B30">
      <w:pPr>
        <w:tabs>
          <w:tab w:val="left" w:pos="851"/>
        </w:tabs>
        <w:spacing w:before="120"/>
        <w:jc w:val="both"/>
        <w:rPr>
          <w:sz w:val="20"/>
          <w:lang w:val="en-US"/>
        </w:rPr>
      </w:pPr>
      <w:r>
        <w:rPr>
          <w:sz w:val="20"/>
          <w:lang w:val="en-US"/>
        </w:rPr>
        <w:t>Prospective protocol deviations, i.e. protocol waivers, will not be approved by the sponsors and therefore will not be implemented, except where necessary to eliminate an immediate hazard to study participants. If this necessitates a subsequent protocol amendment, this should be submitted to the REC, and local R&amp;D</w:t>
      </w:r>
      <w:r w:rsidRPr="003A2CAF">
        <w:rPr>
          <w:sz w:val="20"/>
          <w:lang w:val="en-US"/>
        </w:rPr>
        <w:t xml:space="preserve"> for review and approval if appropriate</w:t>
      </w:r>
      <w:r>
        <w:rPr>
          <w:sz w:val="20"/>
          <w:lang w:val="en-US"/>
        </w:rPr>
        <w:t>.</w:t>
      </w:r>
    </w:p>
    <w:p w14:paraId="5D91CDE1" w14:textId="77777777" w:rsidR="00492B30" w:rsidRDefault="00492B30" w:rsidP="00492B30">
      <w:pPr>
        <w:tabs>
          <w:tab w:val="left" w:pos="851"/>
        </w:tabs>
        <w:spacing w:before="120"/>
        <w:jc w:val="both"/>
        <w:rPr>
          <w:sz w:val="20"/>
          <w:lang w:val="en-US"/>
        </w:rPr>
      </w:pPr>
      <w:r>
        <w:rPr>
          <w:sz w:val="20"/>
          <w:lang w:val="en-US"/>
        </w:rPr>
        <w:t xml:space="preserve">Protocol deviations will be recorded in a protocol deviation log and logs will be submitted to the sponsors every 3 months. Each protocol violation will be reported to the sponsor within 3 days of becoming aware of the violation.  All protocol deviation logs and violation forms should be emailed to </w:t>
      </w:r>
      <w:hyperlink r:id="rId12" w:history="1">
        <w:r w:rsidRPr="009D48AB">
          <w:rPr>
            <w:rStyle w:val="Hyperlink"/>
            <w:sz w:val="20"/>
            <w:lang w:val="en-US"/>
          </w:rPr>
          <w:t>QA@accord.scot</w:t>
        </w:r>
      </w:hyperlink>
    </w:p>
    <w:p w14:paraId="73F93AD7" w14:textId="71239A13" w:rsidR="00492B30" w:rsidRDefault="00492B30" w:rsidP="00492B30">
      <w:pPr>
        <w:tabs>
          <w:tab w:val="left" w:pos="851"/>
        </w:tabs>
        <w:spacing w:before="120"/>
        <w:jc w:val="both"/>
        <w:rPr>
          <w:sz w:val="20"/>
          <w:lang w:val="en-US"/>
        </w:rPr>
      </w:pPr>
      <w:r>
        <w:rPr>
          <w:sz w:val="20"/>
          <w:lang w:val="en-US"/>
        </w:rPr>
        <w:t>Deviations and violations are non-compliance events discovered after the event has occurred.  Deviation logs will be maintained for each site in multi-</w:t>
      </w:r>
      <w:proofErr w:type="spellStart"/>
      <w:r>
        <w:rPr>
          <w:sz w:val="20"/>
          <w:lang w:val="en-US"/>
        </w:rPr>
        <w:t>centre</w:t>
      </w:r>
      <w:proofErr w:type="spellEnd"/>
      <w:r>
        <w:rPr>
          <w:sz w:val="20"/>
          <w:lang w:val="en-US"/>
        </w:rPr>
        <w:t xml:space="preserve"> studies.  An alternative frequency of deviation log submission to the sponsors may be agreed in writing with the sponsors.</w:t>
      </w:r>
    </w:p>
    <w:p w14:paraId="3B533780" w14:textId="77777777" w:rsidR="00492B30" w:rsidRPr="005E5C9F" w:rsidRDefault="00492B30" w:rsidP="00492B30">
      <w:pPr>
        <w:pStyle w:val="Heading2"/>
        <w:keepLines w:val="0"/>
        <w:numPr>
          <w:ilvl w:val="1"/>
          <w:numId w:val="0"/>
        </w:numPr>
        <w:tabs>
          <w:tab w:val="left" w:pos="720"/>
          <w:tab w:val="num" w:pos="6814"/>
        </w:tabs>
        <w:spacing w:before="240" w:after="60" w:line="240" w:lineRule="auto"/>
        <w:ind w:left="720" w:hanging="720"/>
      </w:pPr>
      <w:bookmarkStart w:id="15" w:name="_Toc227578945"/>
      <w:bookmarkStart w:id="16" w:name="_Toc414961001"/>
      <w:r w:rsidRPr="005E5C9F">
        <w:t>SERIOUS BREACH REQUIREMENTS</w:t>
      </w:r>
      <w:bookmarkEnd w:id="15"/>
      <w:bookmarkEnd w:id="16"/>
    </w:p>
    <w:p w14:paraId="02850AD6" w14:textId="77777777" w:rsidR="00492B30" w:rsidRPr="00BD1C90" w:rsidRDefault="00492B30" w:rsidP="00492B30">
      <w:pPr>
        <w:tabs>
          <w:tab w:val="left" w:pos="851"/>
        </w:tabs>
        <w:spacing w:before="120"/>
        <w:jc w:val="both"/>
        <w:rPr>
          <w:rFonts w:cs="Arial"/>
          <w:sz w:val="20"/>
          <w:szCs w:val="20"/>
        </w:rPr>
      </w:pPr>
      <w:r w:rsidRPr="00BD1C90">
        <w:rPr>
          <w:rFonts w:cs="Arial"/>
          <w:sz w:val="20"/>
          <w:szCs w:val="20"/>
        </w:rPr>
        <w:t xml:space="preserve">A </w:t>
      </w:r>
      <w:r>
        <w:rPr>
          <w:rFonts w:cs="Arial"/>
          <w:sz w:val="20"/>
          <w:szCs w:val="20"/>
        </w:rPr>
        <w:t>serious breach</w:t>
      </w:r>
      <w:r w:rsidRPr="00BD1C90">
        <w:rPr>
          <w:rFonts w:cs="Arial"/>
          <w:sz w:val="20"/>
          <w:szCs w:val="20"/>
        </w:rPr>
        <w:t xml:space="preserve"> is a breach which is likely to effect to a significant degree:</w:t>
      </w:r>
    </w:p>
    <w:p w14:paraId="44FD6558" w14:textId="77777777" w:rsidR="00492B30" w:rsidRPr="00BD1C90" w:rsidRDefault="00492B30" w:rsidP="00492B30">
      <w:pPr>
        <w:tabs>
          <w:tab w:val="left" w:pos="851"/>
        </w:tabs>
        <w:spacing w:before="120"/>
        <w:jc w:val="both"/>
        <w:rPr>
          <w:rFonts w:cs="Arial"/>
          <w:sz w:val="20"/>
          <w:szCs w:val="20"/>
        </w:rPr>
      </w:pPr>
      <w:r w:rsidRPr="00BD1C90">
        <w:rPr>
          <w:rFonts w:cs="Arial"/>
          <w:sz w:val="20"/>
          <w:szCs w:val="20"/>
        </w:rPr>
        <w:t xml:space="preserve">(a) the safety or physical or mental integrity of the </w:t>
      </w:r>
      <w:r>
        <w:rPr>
          <w:rFonts w:cs="Arial"/>
          <w:sz w:val="20"/>
          <w:szCs w:val="20"/>
        </w:rPr>
        <w:t>participant</w:t>
      </w:r>
      <w:r w:rsidRPr="00BD1C90">
        <w:rPr>
          <w:rFonts w:cs="Arial"/>
          <w:sz w:val="20"/>
          <w:szCs w:val="20"/>
        </w:rPr>
        <w:t>s of the trial; or</w:t>
      </w:r>
    </w:p>
    <w:p w14:paraId="4825C440" w14:textId="77777777" w:rsidR="00492B30" w:rsidRPr="00BD1C90" w:rsidRDefault="00492B30" w:rsidP="00492B30">
      <w:pPr>
        <w:tabs>
          <w:tab w:val="left" w:pos="851"/>
        </w:tabs>
        <w:spacing w:before="120"/>
        <w:jc w:val="both"/>
        <w:rPr>
          <w:rFonts w:cs="Arial"/>
          <w:sz w:val="20"/>
          <w:szCs w:val="20"/>
        </w:rPr>
      </w:pPr>
      <w:r>
        <w:rPr>
          <w:rFonts w:cs="Arial"/>
          <w:sz w:val="20"/>
          <w:szCs w:val="20"/>
        </w:rPr>
        <w:t>(</w:t>
      </w:r>
      <w:r w:rsidRPr="00BD1C90">
        <w:rPr>
          <w:rFonts w:cs="Arial"/>
          <w:sz w:val="20"/>
          <w:szCs w:val="20"/>
        </w:rPr>
        <w:t>b) the scientific value of the trial.</w:t>
      </w:r>
    </w:p>
    <w:p w14:paraId="6BE6AF94" w14:textId="77777777" w:rsidR="00492B30" w:rsidRPr="00BD1C90" w:rsidRDefault="00492B30" w:rsidP="00492B30">
      <w:pPr>
        <w:tabs>
          <w:tab w:val="left" w:pos="851"/>
        </w:tabs>
        <w:spacing w:before="120"/>
        <w:jc w:val="both"/>
        <w:rPr>
          <w:rFonts w:cs="Arial"/>
          <w:sz w:val="20"/>
          <w:szCs w:val="20"/>
        </w:rPr>
      </w:pPr>
      <w:r w:rsidRPr="00BD1C90">
        <w:rPr>
          <w:rFonts w:cs="Arial"/>
          <w:sz w:val="20"/>
          <w:szCs w:val="20"/>
        </w:rPr>
        <w:t>If a potential serious breach is identified by the Chief investigator, Principal</w:t>
      </w:r>
      <w:r>
        <w:rPr>
          <w:rFonts w:cs="Arial"/>
          <w:sz w:val="20"/>
          <w:szCs w:val="20"/>
        </w:rPr>
        <w:t xml:space="preserve"> I</w:t>
      </w:r>
      <w:r w:rsidRPr="00BD1C90">
        <w:rPr>
          <w:rFonts w:cs="Arial"/>
          <w:sz w:val="20"/>
          <w:szCs w:val="20"/>
        </w:rPr>
        <w:t>nvestigat</w:t>
      </w:r>
      <w:r>
        <w:rPr>
          <w:rFonts w:cs="Arial"/>
          <w:sz w:val="20"/>
          <w:szCs w:val="20"/>
        </w:rPr>
        <w:t>or or delegates, the co-sponsor</w:t>
      </w:r>
      <w:r w:rsidRPr="00BD1C90">
        <w:rPr>
          <w:rFonts w:cs="Arial"/>
          <w:sz w:val="20"/>
          <w:szCs w:val="20"/>
        </w:rPr>
        <w:t>s</w:t>
      </w:r>
      <w:r>
        <w:rPr>
          <w:rFonts w:cs="Arial"/>
          <w:sz w:val="20"/>
          <w:szCs w:val="20"/>
        </w:rPr>
        <w:t xml:space="preserve"> (</w:t>
      </w:r>
      <w:proofErr w:type="spellStart"/>
      <w:r>
        <w:rPr>
          <w:rFonts w:cs="Arial"/>
          <w:sz w:val="20"/>
          <w:szCs w:val="20"/>
        </w:rPr>
        <w:t>seriousbreach@accord.scot</w:t>
      </w:r>
      <w:proofErr w:type="spellEnd"/>
      <w:r>
        <w:rPr>
          <w:rFonts w:cs="Arial"/>
          <w:sz w:val="20"/>
          <w:szCs w:val="20"/>
        </w:rPr>
        <w:t>)</w:t>
      </w:r>
      <w:r w:rsidRPr="00BD1C90">
        <w:rPr>
          <w:rFonts w:cs="Arial"/>
          <w:sz w:val="20"/>
          <w:szCs w:val="20"/>
        </w:rPr>
        <w:t xml:space="preserve"> must be notified within 24</w:t>
      </w:r>
      <w:r>
        <w:rPr>
          <w:rFonts w:cs="Arial"/>
          <w:sz w:val="20"/>
          <w:szCs w:val="20"/>
        </w:rPr>
        <w:t> </w:t>
      </w:r>
      <w:r w:rsidRPr="00BD1C90">
        <w:rPr>
          <w:rFonts w:cs="Arial"/>
          <w:sz w:val="20"/>
          <w:szCs w:val="20"/>
        </w:rPr>
        <w:t xml:space="preserve">hours. </w:t>
      </w:r>
      <w:r>
        <w:rPr>
          <w:rFonts w:cs="Arial"/>
          <w:sz w:val="20"/>
          <w:szCs w:val="20"/>
        </w:rPr>
        <w:t xml:space="preserve"> </w:t>
      </w:r>
      <w:r w:rsidRPr="00BD1C90">
        <w:rPr>
          <w:rFonts w:cs="Arial"/>
          <w:sz w:val="20"/>
          <w:szCs w:val="20"/>
        </w:rPr>
        <w:t xml:space="preserve">It is the responsibility of the </w:t>
      </w:r>
      <w:r>
        <w:rPr>
          <w:rFonts w:cs="Arial"/>
          <w:sz w:val="20"/>
          <w:szCs w:val="20"/>
        </w:rPr>
        <w:t>c</w:t>
      </w:r>
      <w:r w:rsidRPr="00BD1C90">
        <w:rPr>
          <w:rFonts w:cs="Arial"/>
          <w:sz w:val="20"/>
          <w:szCs w:val="20"/>
        </w:rPr>
        <w:t>o-sponsors to assess the impact of the breach on the scientific value of the trial</w:t>
      </w:r>
      <w:r>
        <w:rPr>
          <w:rFonts w:cs="Arial"/>
          <w:sz w:val="20"/>
          <w:szCs w:val="20"/>
        </w:rPr>
        <w:t>, to</w:t>
      </w:r>
      <w:r w:rsidRPr="00BD1C90">
        <w:rPr>
          <w:rFonts w:cs="Arial"/>
          <w:sz w:val="20"/>
          <w:szCs w:val="20"/>
        </w:rPr>
        <w:t xml:space="preserve"> determine whether the incident constitutes a serious breach and </w:t>
      </w:r>
      <w:r>
        <w:rPr>
          <w:rFonts w:cs="Arial"/>
          <w:sz w:val="20"/>
          <w:szCs w:val="20"/>
        </w:rPr>
        <w:t>report to research ethics committees as necessary</w:t>
      </w:r>
      <w:r w:rsidRPr="00BD1C90">
        <w:rPr>
          <w:rFonts w:cs="Arial"/>
          <w:sz w:val="20"/>
          <w:szCs w:val="20"/>
        </w:rPr>
        <w:t xml:space="preserve">. </w:t>
      </w:r>
    </w:p>
    <w:p w14:paraId="0BEAA2ED"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17" w:name="_Toc414961002"/>
      <w:r>
        <w:lastRenderedPageBreak/>
        <w:t>STUDY RECORD RETENTION</w:t>
      </w:r>
      <w:bookmarkEnd w:id="17"/>
    </w:p>
    <w:p w14:paraId="43790FC6" w14:textId="77777777" w:rsidR="00492B30" w:rsidRDefault="00492B30" w:rsidP="00492B30">
      <w:pPr>
        <w:tabs>
          <w:tab w:val="left" w:pos="851"/>
        </w:tabs>
        <w:spacing w:before="120"/>
        <w:jc w:val="both"/>
        <w:rPr>
          <w:sz w:val="20"/>
        </w:rPr>
      </w:pPr>
      <w:r w:rsidRPr="00781548">
        <w:rPr>
          <w:sz w:val="20"/>
          <w:szCs w:val="20"/>
          <w:lang w:val="en-US"/>
        </w:rPr>
        <w:t>All study documentation will be kept for</w:t>
      </w:r>
      <w:r>
        <w:rPr>
          <w:sz w:val="20"/>
          <w:szCs w:val="20"/>
          <w:lang w:val="en-US"/>
        </w:rPr>
        <w:t xml:space="preserve"> a minimum of</w:t>
      </w:r>
      <w:r w:rsidRPr="00781548">
        <w:rPr>
          <w:sz w:val="20"/>
          <w:szCs w:val="20"/>
          <w:lang w:val="en-US"/>
        </w:rPr>
        <w:t xml:space="preserve"> </w:t>
      </w:r>
      <w:r>
        <w:rPr>
          <w:sz w:val="20"/>
          <w:szCs w:val="20"/>
          <w:lang w:val="en-US"/>
        </w:rPr>
        <w:t>3</w:t>
      </w:r>
      <w:r w:rsidRPr="00781548">
        <w:rPr>
          <w:sz w:val="20"/>
          <w:szCs w:val="20"/>
          <w:lang w:val="en-US"/>
        </w:rPr>
        <w:t xml:space="preserve"> years</w:t>
      </w:r>
      <w:r>
        <w:rPr>
          <w:sz w:val="20"/>
          <w:szCs w:val="20"/>
          <w:lang w:val="en-US"/>
        </w:rPr>
        <w:t xml:space="preserve"> from the protocol defined end of study point</w:t>
      </w:r>
      <w:r w:rsidRPr="00781548">
        <w:rPr>
          <w:sz w:val="20"/>
          <w:szCs w:val="20"/>
          <w:lang w:val="en-US"/>
        </w:rPr>
        <w:t>.</w:t>
      </w:r>
      <w:r>
        <w:rPr>
          <w:sz w:val="20"/>
          <w:szCs w:val="20"/>
          <w:lang w:val="en-US"/>
        </w:rPr>
        <w:t xml:space="preserve"> When the minimum retention period has elapsed, study documentation will not be destroyed without permission from the sponsor.</w:t>
      </w:r>
    </w:p>
    <w:p w14:paraId="165F092E"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18" w:name="_Toc414961003"/>
      <w:r>
        <w:t>END OF STUDY</w:t>
      </w:r>
      <w:bookmarkEnd w:id="18"/>
    </w:p>
    <w:p w14:paraId="56EFF2EA" w14:textId="77777777" w:rsidR="00492B30" w:rsidRPr="00781548" w:rsidRDefault="00492B30" w:rsidP="00492B30">
      <w:pPr>
        <w:tabs>
          <w:tab w:val="left" w:pos="851"/>
        </w:tabs>
        <w:spacing w:before="120"/>
        <w:jc w:val="both"/>
        <w:rPr>
          <w:sz w:val="20"/>
        </w:rPr>
      </w:pPr>
      <w:r w:rsidRPr="00781548">
        <w:rPr>
          <w:sz w:val="20"/>
        </w:rPr>
        <w:t>The end of study is defined as the last participant</w:t>
      </w:r>
      <w:r>
        <w:rPr>
          <w:sz w:val="20"/>
        </w:rPr>
        <w:t xml:space="preserve">’s last visit.  </w:t>
      </w:r>
    </w:p>
    <w:p w14:paraId="4E46E69B" w14:textId="77777777" w:rsidR="00492B30" w:rsidRPr="00781548" w:rsidRDefault="00492B30" w:rsidP="00492B30">
      <w:pPr>
        <w:tabs>
          <w:tab w:val="left" w:pos="851"/>
        </w:tabs>
        <w:spacing w:before="120"/>
        <w:ind w:firstLine="1"/>
        <w:jc w:val="both"/>
        <w:rPr>
          <w:sz w:val="20"/>
        </w:rPr>
      </w:pPr>
      <w:r w:rsidRPr="00781548">
        <w:rPr>
          <w:sz w:val="20"/>
        </w:rPr>
        <w:t xml:space="preserve">The Investigators </w:t>
      </w:r>
      <w:r>
        <w:rPr>
          <w:sz w:val="20"/>
        </w:rPr>
        <w:t>or the co-sponsor(s)</w:t>
      </w:r>
      <w:r w:rsidRPr="00781548">
        <w:rPr>
          <w:sz w:val="20"/>
        </w:rPr>
        <w:t xml:space="preserve"> have the right at any time to terminate the study for clinical or administrative reasons. </w:t>
      </w:r>
    </w:p>
    <w:p w14:paraId="11099BDB" w14:textId="77777777" w:rsidR="00492B30" w:rsidRPr="00781548" w:rsidRDefault="00492B30" w:rsidP="00492B30">
      <w:pPr>
        <w:tabs>
          <w:tab w:val="left" w:pos="851"/>
        </w:tabs>
        <w:spacing w:before="120"/>
        <w:ind w:firstLine="1"/>
        <w:jc w:val="both"/>
        <w:rPr>
          <w:sz w:val="20"/>
        </w:rPr>
      </w:pPr>
      <w:r w:rsidRPr="00781548">
        <w:rPr>
          <w:sz w:val="20"/>
        </w:rPr>
        <w:t>The end of the study will be reported to the REC</w:t>
      </w:r>
      <w:r>
        <w:rPr>
          <w:sz w:val="20"/>
        </w:rPr>
        <w:t>, and R+D Office(s) and co-sponsors</w:t>
      </w:r>
      <w:r w:rsidRPr="00781548">
        <w:rPr>
          <w:sz w:val="20"/>
        </w:rPr>
        <w:t xml:space="preserve"> within 90 days, or 15</w:t>
      </w:r>
      <w:r>
        <w:rPr>
          <w:sz w:val="20"/>
        </w:rPr>
        <w:t xml:space="preserve"> </w:t>
      </w:r>
      <w:r w:rsidRPr="00781548">
        <w:rPr>
          <w:sz w:val="20"/>
        </w:rPr>
        <w:t>days if the study is terminated prematurely. The Investigators will inform participants</w:t>
      </w:r>
      <w:r>
        <w:rPr>
          <w:sz w:val="20"/>
        </w:rPr>
        <w:t xml:space="preserve"> of the premature study closure</w:t>
      </w:r>
      <w:r w:rsidRPr="00781548">
        <w:rPr>
          <w:sz w:val="20"/>
        </w:rPr>
        <w:t xml:space="preserve"> and ensure that the appropriate follow up is arranged for all </w:t>
      </w:r>
      <w:r>
        <w:rPr>
          <w:sz w:val="20"/>
        </w:rPr>
        <w:t xml:space="preserve">participants </w:t>
      </w:r>
      <w:r w:rsidRPr="00781548">
        <w:rPr>
          <w:sz w:val="20"/>
        </w:rPr>
        <w:t>involved.</w:t>
      </w:r>
      <w:r>
        <w:rPr>
          <w:sz w:val="20"/>
        </w:rPr>
        <w:t xml:space="preserve"> End of study notification will be reported to the co-sponsors via email to </w:t>
      </w:r>
      <w:hyperlink r:id="rId13" w:history="1">
        <w:r w:rsidRPr="00C959DB">
          <w:rPr>
            <w:rStyle w:val="Hyperlink"/>
            <w:sz w:val="20"/>
          </w:rPr>
          <w:t>resgov@accord.scot</w:t>
        </w:r>
      </w:hyperlink>
    </w:p>
    <w:p w14:paraId="38ACE857" w14:textId="77777777" w:rsidR="00492B30" w:rsidRDefault="00492B30" w:rsidP="00492B30">
      <w:pPr>
        <w:tabs>
          <w:tab w:val="left" w:pos="851"/>
        </w:tabs>
        <w:spacing w:before="120"/>
        <w:ind w:firstLine="1"/>
        <w:jc w:val="both"/>
        <w:rPr>
          <w:sz w:val="20"/>
        </w:rPr>
      </w:pPr>
      <w:r w:rsidRPr="00781548">
        <w:rPr>
          <w:sz w:val="20"/>
        </w:rPr>
        <w:t>A summary report of the study will be provided to the REC within 1 year of the end of the study.</w:t>
      </w:r>
    </w:p>
    <w:p w14:paraId="0A52C550"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19" w:name="_Toc414961004"/>
      <w:r>
        <w:t>CONTINUATION OF TREATMENT FOLLOWING THE END OF STUDY</w:t>
      </w:r>
      <w:bookmarkEnd w:id="19"/>
    </w:p>
    <w:p w14:paraId="24684EBA" w14:textId="3A9F11DF" w:rsidR="00492B30" w:rsidRDefault="00173607" w:rsidP="00492B30">
      <w:pPr>
        <w:tabs>
          <w:tab w:val="left" w:pos="851"/>
        </w:tabs>
        <w:spacing w:before="120"/>
        <w:ind w:firstLine="1"/>
        <w:jc w:val="both"/>
        <w:rPr>
          <w:sz w:val="20"/>
          <w:szCs w:val="20"/>
          <w:lang w:val="en-US"/>
        </w:rPr>
      </w:pPr>
      <w:r>
        <w:rPr>
          <w:sz w:val="20"/>
          <w:szCs w:val="20"/>
          <w:lang w:val="en-US"/>
        </w:rPr>
        <w:t xml:space="preserve">No treatment will be provided as part of this study. </w:t>
      </w:r>
    </w:p>
    <w:p w14:paraId="4C71B0FB" w14:textId="77777777" w:rsidR="00492B30" w:rsidRPr="00826D02" w:rsidRDefault="00492B30" w:rsidP="00492B30">
      <w:pPr>
        <w:pStyle w:val="Heading2"/>
        <w:keepLines w:val="0"/>
        <w:numPr>
          <w:ilvl w:val="1"/>
          <w:numId w:val="0"/>
        </w:numPr>
        <w:tabs>
          <w:tab w:val="left" w:pos="720"/>
          <w:tab w:val="num" w:pos="6814"/>
        </w:tabs>
        <w:spacing w:before="240" w:after="60" w:line="240" w:lineRule="auto"/>
        <w:ind w:left="720" w:hanging="720"/>
      </w:pPr>
      <w:bookmarkStart w:id="20" w:name="_Toc227578949"/>
      <w:bookmarkStart w:id="21" w:name="_Toc414961005"/>
      <w:r w:rsidRPr="00826D02">
        <w:t>INSURANCE AND INDEMNITY</w:t>
      </w:r>
      <w:bookmarkEnd w:id="20"/>
      <w:bookmarkEnd w:id="21"/>
    </w:p>
    <w:p w14:paraId="409F76FC" w14:textId="77777777" w:rsidR="00492B30" w:rsidRPr="00517CBF" w:rsidRDefault="00492B30" w:rsidP="00492B30">
      <w:pPr>
        <w:tabs>
          <w:tab w:val="left" w:pos="851"/>
        </w:tabs>
        <w:spacing w:before="120"/>
        <w:jc w:val="both"/>
        <w:rPr>
          <w:rFonts w:cs="Arial"/>
          <w:sz w:val="20"/>
          <w:szCs w:val="20"/>
        </w:rPr>
      </w:pPr>
      <w:r w:rsidRPr="00517CBF">
        <w:rPr>
          <w:rFonts w:cs="Arial"/>
          <w:sz w:val="20"/>
          <w:szCs w:val="20"/>
        </w:rPr>
        <w:t xml:space="preserve">The </w:t>
      </w:r>
      <w:r>
        <w:rPr>
          <w:rFonts w:cs="Arial"/>
          <w:sz w:val="20"/>
          <w:szCs w:val="20"/>
        </w:rPr>
        <w:t>c</w:t>
      </w:r>
      <w:r w:rsidRPr="00517CBF">
        <w:rPr>
          <w:rFonts w:cs="Arial"/>
          <w:sz w:val="20"/>
          <w:szCs w:val="20"/>
        </w:rPr>
        <w:t>o-</w:t>
      </w:r>
      <w:r>
        <w:rPr>
          <w:rFonts w:cs="Arial"/>
          <w:sz w:val="20"/>
          <w:szCs w:val="20"/>
        </w:rPr>
        <w:t>s</w:t>
      </w:r>
      <w:r w:rsidRPr="00517CBF">
        <w:rPr>
          <w:rFonts w:cs="Arial"/>
          <w:sz w:val="20"/>
          <w:szCs w:val="20"/>
        </w:rPr>
        <w:t>ponsors are responsible for ensuring proper provision has been made for insurance or indemnity to cover their liability and the liability of the Chief Investigator and staff.</w:t>
      </w:r>
    </w:p>
    <w:p w14:paraId="40A4674E" w14:textId="77777777" w:rsidR="00492B30" w:rsidRPr="00517CBF" w:rsidRDefault="00492B30" w:rsidP="00492B30">
      <w:pPr>
        <w:tabs>
          <w:tab w:val="left" w:pos="851"/>
        </w:tabs>
        <w:spacing w:before="120"/>
        <w:jc w:val="both"/>
        <w:rPr>
          <w:rFonts w:cs="Arial"/>
          <w:sz w:val="20"/>
          <w:szCs w:val="20"/>
        </w:rPr>
      </w:pPr>
      <w:r>
        <w:rPr>
          <w:rFonts w:cs="Arial"/>
          <w:sz w:val="20"/>
          <w:szCs w:val="20"/>
        </w:rPr>
        <w:t>T</w:t>
      </w:r>
      <w:r w:rsidRPr="00517CBF">
        <w:rPr>
          <w:rFonts w:cs="Arial"/>
          <w:sz w:val="20"/>
          <w:szCs w:val="20"/>
        </w:rPr>
        <w:t xml:space="preserve">he following arrangements are in place to fulfil the </w:t>
      </w:r>
      <w:r>
        <w:rPr>
          <w:rFonts w:cs="Arial"/>
          <w:sz w:val="20"/>
          <w:szCs w:val="20"/>
        </w:rPr>
        <w:t>c</w:t>
      </w:r>
      <w:r w:rsidRPr="00517CBF">
        <w:rPr>
          <w:rFonts w:cs="Arial"/>
          <w:sz w:val="20"/>
          <w:szCs w:val="20"/>
        </w:rPr>
        <w:t>o-</w:t>
      </w:r>
      <w:r>
        <w:rPr>
          <w:rFonts w:cs="Arial"/>
          <w:sz w:val="20"/>
          <w:szCs w:val="20"/>
        </w:rPr>
        <w:t>sponsors' responsibilities:</w:t>
      </w:r>
    </w:p>
    <w:p w14:paraId="7E1BF94B" w14:textId="77777777" w:rsidR="00492B30" w:rsidRDefault="00492B30" w:rsidP="00492B30">
      <w:pPr>
        <w:numPr>
          <w:ilvl w:val="0"/>
          <w:numId w:val="31"/>
        </w:numPr>
        <w:tabs>
          <w:tab w:val="left" w:pos="851"/>
        </w:tabs>
        <w:spacing w:before="120" w:after="0" w:line="240" w:lineRule="auto"/>
        <w:ind w:left="851" w:hanging="851"/>
        <w:jc w:val="both"/>
        <w:rPr>
          <w:rFonts w:cs="Arial"/>
          <w:sz w:val="20"/>
          <w:szCs w:val="20"/>
        </w:rPr>
      </w:pPr>
      <w:r w:rsidRPr="00517CBF">
        <w:rPr>
          <w:rFonts w:cs="Arial"/>
          <w:sz w:val="20"/>
          <w:szCs w:val="20"/>
        </w:rPr>
        <w:t>The Protocol has been designed by the Chief Investigator and researchers employed by the University and collaborators</w:t>
      </w:r>
      <w:r>
        <w:rPr>
          <w:rFonts w:cs="Arial"/>
          <w:sz w:val="20"/>
          <w:szCs w:val="20"/>
        </w:rPr>
        <w:t xml:space="preserve">. </w:t>
      </w:r>
      <w:r w:rsidRPr="00517CBF">
        <w:rPr>
          <w:rFonts w:cs="Arial"/>
          <w:sz w:val="20"/>
          <w:szCs w:val="20"/>
        </w:rPr>
        <w:t xml:space="preserve"> The University has insurance in place (which includes no-fault compensation) for negligent harm caused by </w:t>
      </w:r>
      <w:r>
        <w:rPr>
          <w:rFonts w:cs="Arial"/>
          <w:sz w:val="20"/>
          <w:szCs w:val="20"/>
        </w:rPr>
        <w:t>poor</w:t>
      </w:r>
      <w:r w:rsidRPr="00517CBF">
        <w:rPr>
          <w:rFonts w:cs="Arial"/>
          <w:sz w:val="20"/>
          <w:szCs w:val="20"/>
        </w:rPr>
        <w:t xml:space="preserve"> </w:t>
      </w:r>
      <w:r>
        <w:rPr>
          <w:rFonts w:cs="Arial"/>
          <w:sz w:val="20"/>
          <w:szCs w:val="20"/>
        </w:rPr>
        <w:t>p</w:t>
      </w:r>
      <w:r w:rsidRPr="00517CBF">
        <w:rPr>
          <w:rFonts w:cs="Arial"/>
          <w:sz w:val="20"/>
          <w:szCs w:val="20"/>
        </w:rPr>
        <w:t>rotocol design by the Chief Investigator and researchers employed by the University.</w:t>
      </w:r>
    </w:p>
    <w:p w14:paraId="1237A9E9" w14:textId="77777777" w:rsidR="00492B30" w:rsidRDefault="00492B30" w:rsidP="00492B30">
      <w:pPr>
        <w:numPr>
          <w:ilvl w:val="0"/>
          <w:numId w:val="31"/>
        </w:numPr>
        <w:tabs>
          <w:tab w:val="left" w:pos="851"/>
        </w:tabs>
        <w:spacing w:before="120" w:after="0" w:line="240" w:lineRule="auto"/>
        <w:ind w:left="851" w:hanging="851"/>
        <w:jc w:val="both"/>
        <w:rPr>
          <w:rFonts w:cs="Arial"/>
          <w:sz w:val="20"/>
          <w:szCs w:val="20"/>
        </w:rPr>
      </w:pPr>
      <w:r w:rsidRPr="00517CBF">
        <w:rPr>
          <w:rFonts w:cs="Arial"/>
          <w:sz w:val="20"/>
          <w:szCs w:val="20"/>
        </w:rPr>
        <w:t xml:space="preserve">Sites </w:t>
      </w:r>
      <w:r>
        <w:rPr>
          <w:rFonts w:cs="Arial"/>
          <w:sz w:val="20"/>
          <w:szCs w:val="20"/>
        </w:rPr>
        <w:t>participating</w:t>
      </w:r>
      <w:r w:rsidRPr="00517CBF">
        <w:rPr>
          <w:rFonts w:cs="Arial"/>
          <w:sz w:val="20"/>
          <w:szCs w:val="20"/>
        </w:rPr>
        <w:t xml:space="preserve"> in the </w:t>
      </w:r>
      <w:r>
        <w:rPr>
          <w:rFonts w:cs="Arial"/>
          <w:sz w:val="20"/>
          <w:szCs w:val="20"/>
        </w:rPr>
        <w:t>s</w:t>
      </w:r>
      <w:r w:rsidRPr="00517CBF">
        <w:rPr>
          <w:rFonts w:cs="Arial"/>
          <w:sz w:val="20"/>
          <w:szCs w:val="20"/>
        </w:rPr>
        <w:t xml:space="preserve">tudy will be liable for clinical negligence and other negligent harm to individuals taking part in the </w:t>
      </w:r>
      <w:r>
        <w:rPr>
          <w:rFonts w:cs="Arial"/>
          <w:sz w:val="20"/>
          <w:szCs w:val="20"/>
        </w:rPr>
        <w:t>s</w:t>
      </w:r>
      <w:r w:rsidRPr="00517CBF">
        <w:rPr>
          <w:rFonts w:cs="Arial"/>
          <w:sz w:val="20"/>
          <w:szCs w:val="20"/>
        </w:rPr>
        <w:t>tudy and covered by the du</w:t>
      </w:r>
      <w:r>
        <w:rPr>
          <w:rFonts w:cs="Arial"/>
          <w:sz w:val="20"/>
          <w:szCs w:val="20"/>
        </w:rPr>
        <w:t>ty of care owed to them by the s</w:t>
      </w:r>
      <w:r w:rsidRPr="00517CBF">
        <w:rPr>
          <w:rFonts w:cs="Arial"/>
          <w:sz w:val="20"/>
          <w:szCs w:val="20"/>
        </w:rPr>
        <w:t xml:space="preserve">ites concerned.  The </w:t>
      </w:r>
      <w:r>
        <w:rPr>
          <w:rFonts w:cs="Arial"/>
          <w:sz w:val="20"/>
          <w:szCs w:val="20"/>
        </w:rPr>
        <w:t>co-sponsor</w:t>
      </w:r>
      <w:r w:rsidRPr="00517CBF">
        <w:rPr>
          <w:rFonts w:cs="Arial"/>
          <w:sz w:val="20"/>
          <w:szCs w:val="20"/>
        </w:rPr>
        <w:t xml:space="preserve">s require individual </w:t>
      </w:r>
      <w:r>
        <w:rPr>
          <w:rFonts w:cs="Arial"/>
          <w:sz w:val="20"/>
          <w:szCs w:val="20"/>
        </w:rPr>
        <w:t>s</w:t>
      </w:r>
      <w:r w:rsidRPr="00517CBF">
        <w:rPr>
          <w:rFonts w:cs="Arial"/>
          <w:sz w:val="20"/>
          <w:szCs w:val="20"/>
        </w:rPr>
        <w:t xml:space="preserve">ites participating in the </w:t>
      </w:r>
      <w:r>
        <w:rPr>
          <w:rFonts w:cs="Arial"/>
          <w:sz w:val="20"/>
          <w:szCs w:val="20"/>
        </w:rPr>
        <w:t>s</w:t>
      </w:r>
      <w:r w:rsidRPr="00517CBF">
        <w:rPr>
          <w:rFonts w:cs="Arial"/>
          <w:sz w:val="20"/>
          <w:szCs w:val="20"/>
        </w:rPr>
        <w:t>tudy to arrange for their own insurance or indemnity in respect of these liabilities.</w:t>
      </w:r>
    </w:p>
    <w:p w14:paraId="7C7E0644" w14:textId="77777777" w:rsidR="00492B30" w:rsidRDefault="00492B30" w:rsidP="00492B30">
      <w:pPr>
        <w:numPr>
          <w:ilvl w:val="0"/>
          <w:numId w:val="31"/>
        </w:numPr>
        <w:tabs>
          <w:tab w:val="left" w:pos="851"/>
        </w:tabs>
        <w:spacing w:before="120" w:after="0" w:line="240" w:lineRule="auto"/>
        <w:ind w:left="851" w:hanging="851"/>
        <w:jc w:val="both"/>
        <w:rPr>
          <w:rFonts w:cs="Arial"/>
          <w:sz w:val="20"/>
          <w:szCs w:val="20"/>
        </w:rPr>
      </w:pPr>
      <w:r w:rsidRPr="00517CBF">
        <w:rPr>
          <w:rFonts w:cs="Arial"/>
          <w:sz w:val="20"/>
          <w:szCs w:val="20"/>
        </w:rPr>
        <w:t>Sites which are part of the United Kingdom's Nation</w:t>
      </w:r>
      <w:r>
        <w:rPr>
          <w:rFonts w:cs="Arial"/>
          <w:sz w:val="20"/>
          <w:szCs w:val="20"/>
        </w:rPr>
        <w:t>al</w:t>
      </w:r>
      <w:r w:rsidRPr="00517CBF">
        <w:rPr>
          <w:rFonts w:cs="Arial"/>
          <w:sz w:val="20"/>
          <w:szCs w:val="20"/>
        </w:rPr>
        <w:t xml:space="preserve"> Health Service will have the benefit of NHS Indemnity.</w:t>
      </w:r>
    </w:p>
    <w:p w14:paraId="09C34881" w14:textId="77777777" w:rsidR="00492B30" w:rsidRDefault="00492B30" w:rsidP="00492B30">
      <w:pPr>
        <w:numPr>
          <w:ilvl w:val="0"/>
          <w:numId w:val="31"/>
        </w:numPr>
        <w:tabs>
          <w:tab w:val="left" w:pos="851"/>
        </w:tabs>
        <w:spacing w:before="120" w:after="0" w:line="240" w:lineRule="auto"/>
        <w:ind w:left="851" w:hanging="851"/>
        <w:jc w:val="both"/>
        <w:rPr>
          <w:rFonts w:cs="Arial"/>
          <w:sz w:val="20"/>
          <w:szCs w:val="20"/>
        </w:rPr>
      </w:pPr>
      <w:r>
        <w:rPr>
          <w:rFonts w:cs="Arial"/>
          <w:sz w:val="20"/>
          <w:szCs w:val="20"/>
        </w:rPr>
        <w:t xml:space="preserve">Sites out </w:t>
      </w:r>
      <w:r w:rsidRPr="00517CBF">
        <w:rPr>
          <w:rFonts w:cs="Arial"/>
          <w:sz w:val="20"/>
          <w:szCs w:val="20"/>
        </w:rPr>
        <w:t xml:space="preserve">with the United Kingdom will be responsible for arranging their own indemnity or insurance for their participation in the </w:t>
      </w:r>
      <w:r>
        <w:rPr>
          <w:rFonts w:cs="Arial"/>
          <w:sz w:val="20"/>
          <w:szCs w:val="20"/>
        </w:rPr>
        <w:t>s</w:t>
      </w:r>
      <w:r w:rsidRPr="00517CBF">
        <w:rPr>
          <w:rFonts w:cs="Arial"/>
          <w:sz w:val="20"/>
          <w:szCs w:val="20"/>
        </w:rPr>
        <w:t xml:space="preserve">tudy, as well as for compliance with local law applicable to their participation in the </w:t>
      </w:r>
      <w:r>
        <w:rPr>
          <w:rFonts w:cs="Arial"/>
          <w:sz w:val="20"/>
          <w:szCs w:val="20"/>
        </w:rPr>
        <w:t>s</w:t>
      </w:r>
      <w:r w:rsidRPr="00517CBF">
        <w:rPr>
          <w:rFonts w:cs="Arial"/>
          <w:sz w:val="20"/>
          <w:szCs w:val="20"/>
        </w:rPr>
        <w:t>tudy.</w:t>
      </w:r>
    </w:p>
    <w:p w14:paraId="23C142A0" w14:textId="77777777" w:rsidR="00492B30" w:rsidRDefault="00492B30" w:rsidP="00492B30">
      <w:pPr>
        <w:pStyle w:val="Heading1"/>
        <w:keepLines w:val="0"/>
        <w:tabs>
          <w:tab w:val="left" w:pos="720"/>
        </w:tabs>
        <w:spacing w:before="600" w:after="120" w:line="240" w:lineRule="auto"/>
        <w:ind w:left="720" w:hanging="720"/>
      </w:pPr>
      <w:bookmarkStart w:id="22" w:name="_Toc414961006"/>
      <w:r>
        <w:t>REPORTING, PUBLICATIONS AND NOTIFICATION OF RESULTS</w:t>
      </w:r>
      <w:bookmarkEnd w:id="22"/>
    </w:p>
    <w:p w14:paraId="4825ABB9" w14:textId="77777777" w:rsidR="00492B30" w:rsidRDefault="00492B30" w:rsidP="00492B30">
      <w:pPr>
        <w:pStyle w:val="Heading2"/>
        <w:keepLines w:val="0"/>
        <w:numPr>
          <w:ilvl w:val="1"/>
          <w:numId w:val="0"/>
        </w:numPr>
        <w:tabs>
          <w:tab w:val="left" w:pos="720"/>
          <w:tab w:val="num" w:pos="6814"/>
        </w:tabs>
        <w:spacing w:before="240" w:after="60" w:line="240" w:lineRule="auto"/>
        <w:ind w:left="720" w:hanging="720"/>
      </w:pPr>
      <w:bookmarkStart w:id="23" w:name="_Toc414961007"/>
      <w:r>
        <w:t>AUTHORSHIP POLICY</w:t>
      </w:r>
      <w:bookmarkEnd w:id="23"/>
    </w:p>
    <w:p w14:paraId="6839A981" w14:textId="77777777" w:rsidR="00492B30" w:rsidRDefault="00492B30" w:rsidP="00492B30">
      <w:pPr>
        <w:tabs>
          <w:tab w:val="left" w:pos="851"/>
        </w:tabs>
        <w:spacing w:before="120"/>
        <w:jc w:val="both"/>
        <w:rPr>
          <w:rFonts w:cs="Arial"/>
          <w:i/>
          <w:vanish/>
          <w:color w:val="7030A0"/>
          <w:sz w:val="20"/>
          <w:szCs w:val="20"/>
        </w:rPr>
      </w:pPr>
      <w:r>
        <w:rPr>
          <w:rFonts w:cs="Arial"/>
          <w:i/>
          <w:vanish/>
          <w:color w:val="7030A0"/>
          <w:sz w:val="20"/>
          <w:szCs w:val="20"/>
        </w:rPr>
        <w:t>Suggested text only - amend as appropriate.</w:t>
      </w:r>
    </w:p>
    <w:p w14:paraId="270D6B8F" w14:textId="77777777" w:rsidR="00F37512" w:rsidRDefault="00492B30" w:rsidP="00F37512">
      <w:r w:rsidRPr="00781548">
        <w:rPr>
          <w:sz w:val="20"/>
          <w:lang w:val="en-US"/>
        </w:rPr>
        <w:t xml:space="preserve">Ownership of the data arising from this study resides with the study team. </w:t>
      </w:r>
      <w:r>
        <w:rPr>
          <w:sz w:val="20"/>
          <w:lang w:val="en-US"/>
        </w:rPr>
        <w:t xml:space="preserve"> </w:t>
      </w:r>
    </w:p>
    <w:p w14:paraId="28735D27" w14:textId="48E40AFD" w:rsidR="00ED0A7A" w:rsidRPr="00ED0A7A" w:rsidRDefault="00ED0A7A" w:rsidP="00F37512">
      <w:pPr>
        <w:pStyle w:val="Heading1"/>
      </w:pPr>
      <w:r>
        <w:t>Timescale</w:t>
      </w:r>
    </w:p>
    <w:p w14:paraId="6CC97217" w14:textId="481139B3" w:rsidR="00F10AE7" w:rsidRDefault="00F10AE7" w:rsidP="00F10AE7">
      <w:r>
        <w:t>December 2018 – February 2019</w:t>
      </w:r>
      <w:r>
        <w:tab/>
      </w:r>
      <w:r>
        <w:tab/>
        <w:t>A</w:t>
      </w:r>
      <w:r w:rsidR="004224D5">
        <w:t>pplication for ethical approval</w:t>
      </w:r>
    </w:p>
    <w:p w14:paraId="072ABCCB" w14:textId="77777777" w:rsidR="00F10AE7" w:rsidRDefault="004C0DE2" w:rsidP="00F10AE7">
      <w:r>
        <w:lastRenderedPageBreak/>
        <w:t>March 2019 – May 2020</w:t>
      </w:r>
      <w:r w:rsidR="00F10AE7">
        <w:tab/>
      </w:r>
      <w:r w:rsidR="00F10AE7">
        <w:tab/>
      </w:r>
      <w:r w:rsidR="00F10AE7">
        <w:tab/>
        <w:t>Recruitment and data collection</w:t>
      </w:r>
    </w:p>
    <w:p w14:paraId="0D996289" w14:textId="18D6623D" w:rsidR="00F10AE7" w:rsidRPr="00F10AE7" w:rsidRDefault="004224D5" w:rsidP="00F10AE7">
      <w:r>
        <w:t>June</w:t>
      </w:r>
      <w:r w:rsidR="004C0DE2">
        <w:t xml:space="preserve"> 2020</w:t>
      </w:r>
      <w:r w:rsidR="007641C7">
        <w:t xml:space="preserve"> – December 2021</w:t>
      </w:r>
      <w:r w:rsidR="007641C7">
        <w:tab/>
      </w:r>
      <w:r w:rsidR="007641C7">
        <w:tab/>
      </w:r>
      <w:r w:rsidR="00E37388">
        <w:tab/>
      </w:r>
      <w:r w:rsidR="00722A6D">
        <w:t>Follow-up, analysis, writing up</w:t>
      </w:r>
    </w:p>
    <w:p w14:paraId="5065CA61" w14:textId="0B72585F" w:rsidR="00026987" w:rsidRDefault="00D72CAF" w:rsidP="00D1656A">
      <w:pPr>
        <w:pStyle w:val="Heading1"/>
      </w:pPr>
      <w:r>
        <w:t>Ethics</w:t>
      </w:r>
      <w:r w:rsidR="00173607">
        <w:t xml:space="preserve"> and</w:t>
      </w:r>
      <w:r w:rsidR="00026987">
        <w:t xml:space="preserve"> data sharing</w:t>
      </w:r>
    </w:p>
    <w:p w14:paraId="6C11D64F" w14:textId="77777777" w:rsidR="00F10AE7" w:rsidRDefault="00D1656A" w:rsidP="00D1656A">
      <w:r>
        <w:t>Ethical approval will be sought from the South East Scotland Research Ethics Committee.</w:t>
      </w:r>
    </w:p>
    <w:p w14:paraId="4F77306E" w14:textId="38DE334F" w:rsidR="00F10AE7" w:rsidRPr="00D1656A" w:rsidRDefault="00722A6D" w:rsidP="00D1656A">
      <w:r>
        <w:t xml:space="preserve">This protocol will be pre-registered at protocols.io. </w:t>
      </w:r>
      <w:r w:rsidR="00F10AE7">
        <w:t xml:space="preserve">Anonymised data </w:t>
      </w:r>
      <w:r w:rsidR="00173607">
        <w:t>may</w:t>
      </w:r>
      <w:r w:rsidR="00F10AE7">
        <w:t xml:space="preserve"> be shared via the Edinburgh </w:t>
      </w:r>
      <w:proofErr w:type="spellStart"/>
      <w:r w:rsidR="00F10AE7">
        <w:t>Datashare</w:t>
      </w:r>
      <w:proofErr w:type="spellEnd"/>
      <w:r w:rsidR="00F10AE7">
        <w:t xml:space="preserve"> </w:t>
      </w:r>
      <w:proofErr w:type="spellStart"/>
      <w:r w:rsidR="00F10AE7">
        <w:t>respository</w:t>
      </w:r>
      <w:proofErr w:type="spellEnd"/>
      <w:r w:rsidR="00F10AE7">
        <w:t xml:space="preserve">.  </w:t>
      </w:r>
    </w:p>
    <w:p w14:paraId="2A89C3A1" w14:textId="77777777" w:rsidR="00026987" w:rsidRDefault="00A72D84" w:rsidP="00D1656A">
      <w:pPr>
        <w:pStyle w:val="Heading1"/>
      </w:pPr>
      <w:r>
        <w:t>Public/</w:t>
      </w:r>
      <w:r w:rsidR="00026987">
        <w:t>patient involvement</w:t>
      </w:r>
    </w:p>
    <w:p w14:paraId="0222BEE6" w14:textId="4C1FAB5B" w:rsidR="008574A2" w:rsidRDefault="00BF49D6" w:rsidP="00D32DBE">
      <w:pPr>
        <w:rPr>
          <w:color w:val="000000" w:themeColor="text1"/>
        </w:rPr>
      </w:pPr>
      <w:r>
        <w:rPr>
          <w:color w:val="000000" w:themeColor="text1"/>
        </w:rPr>
        <w:t>T</w:t>
      </w:r>
      <w:r w:rsidR="003E4FC5">
        <w:rPr>
          <w:color w:val="000000" w:themeColor="text1"/>
        </w:rPr>
        <w:t>his</w:t>
      </w:r>
      <w:r w:rsidR="003C1235">
        <w:rPr>
          <w:color w:val="000000" w:themeColor="text1"/>
        </w:rPr>
        <w:t xml:space="preserve"> protocol has been forwarded to </w:t>
      </w:r>
      <w:r w:rsidR="003E4FC5">
        <w:rPr>
          <w:color w:val="000000" w:themeColor="text1"/>
        </w:rPr>
        <w:t>FND</w:t>
      </w:r>
      <w:r w:rsidR="003C1235">
        <w:rPr>
          <w:color w:val="000000" w:themeColor="text1"/>
        </w:rPr>
        <w:t xml:space="preserve"> support group</w:t>
      </w:r>
      <w:r w:rsidR="0008491F">
        <w:rPr>
          <w:color w:val="000000" w:themeColor="text1"/>
        </w:rPr>
        <w:t>s</w:t>
      </w:r>
      <w:r w:rsidR="003C1235">
        <w:rPr>
          <w:color w:val="000000" w:themeColor="text1"/>
        </w:rPr>
        <w:t xml:space="preserve"> for review and comments. </w:t>
      </w:r>
    </w:p>
    <w:p w14:paraId="767EDF5E" w14:textId="77777777" w:rsidR="008574A2" w:rsidRDefault="008574A2">
      <w:pPr>
        <w:rPr>
          <w:color w:val="000000" w:themeColor="text1"/>
        </w:rPr>
      </w:pPr>
    </w:p>
    <w:p w14:paraId="0C9B18DC" w14:textId="77777777" w:rsidR="008574A2" w:rsidRDefault="008574A2">
      <w:pPr>
        <w:rPr>
          <w:color w:val="000000" w:themeColor="text1"/>
        </w:rPr>
      </w:pPr>
    </w:p>
    <w:p w14:paraId="001852F3" w14:textId="7C4C0CFC" w:rsidR="008574A2" w:rsidRDefault="008574A2">
      <w:pPr>
        <w:rPr>
          <w:color w:val="000000" w:themeColor="text1"/>
        </w:rPr>
      </w:pPr>
      <w:r>
        <w:rPr>
          <w:color w:val="000000" w:themeColor="text1"/>
        </w:rPr>
        <w:br w:type="page"/>
      </w:r>
    </w:p>
    <w:p w14:paraId="13591F5C" w14:textId="77777777" w:rsidR="008574A2" w:rsidRDefault="008574A2" w:rsidP="00D32DBE">
      <w:pPr>
        <w:rPr>
          <w:b/>
        </w:rPr>
      </w:pPr>
    </w:p>
    <w:p w14:paraId="4BF57E16" w14:textId="07C5B43D" w:rsidR="008574A2" w:rsidRDefault="008574A2" w:rsidP="00D32DBE">
      <w:pPr>
        <w:rPr>
          <w:b/>
        </w:rPr>
      </w:pPr>
      <w:r>
        <w:rPr>
          <w:b/>
        </w:rPr>
        <w:t>Appendix 1 – study pathway (</w:t>
      </w:r>
      <w:r w:rsidRPr="00E37388">
        <w:rPr>
          <w:b/>
          <w:color w:val="0E57C4" w:themeColor="background2" w:themeShade="80"/>
        </w:rPr>
        <w:t>blue = usual care</w:t>
      </w:r>
      <w:r>
        <w:rPr>
          <w:b/>
        </w:rPr>
        <w:t xml:space="preserve">, </w:t>
      </w:r>
      <w:r w:rsidRPr="00E37388">
        <w:rPr>
          <w:b/>
          <w:color w:val="FF0000"/>
        </w:rPr>
        <w:t>red = research study</w:t>
      </w:r>
      <w:r>
        <w:rPr>
          <w:b/>
        </w:rPr>
        <w:t xml:space="preserve">) </w:t>
      </w:r>
    </w:p>
    <w:p w14:paraId="399BB88F" w14:textId="77777777" w:rsidR="008574A2" w:rsidRDefault="008574A2" w:rsidP="00D32DBE">
      <w:pPr>
        <w:rPr>
          <w:b/>
        </w:rPr>
      </w:pPr>
    </w:p>
    <w:p w14:paraId="500C1D35" w14:textId="4B026437" w:rsidR="008574A2" w:rsidRDefault="008574A2" w:rsidP="00D32DBE">
      <w:pPr>
        <w:rPr>
          <w:b/>
        </w:rPr>
      </w:pPr>
      <w:r>
        <w:rPr>
          <w:b/>
          <w:noProof/>
          <w:lang w:eastAsia="en-GB"/>
        </w:rPr>
        <w:drawing>
          <wp:inline distT="0" distB="0" distL="0" distR="0" wp14:anchorId="35CB7DCE" wp14:editId="2DD2BBB4">
            <wp:extent cx="5731510" cy="7530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 flowchart a 22111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530465"/>
                    </a:xfrm>
                    <a:prstGeom prst="rect">
                      <a:avLst/>
                    </a:prstGeom>
                  </pic:spPr>
                </pic:pic>
              </a:graphicData>
            </a:graphic>
          </wp:inline>
        </w:drawing>
      </w:r>
    </w:p>
    <w:p w14:paraId="77669A79" w14:textId="77777777" w:rsidR="008574A2" w:rsidRDefault="008574A2">
      <w:pPr>
        <w:rPr>
          <w:b/>
        </w:rPr>
      </w:pPr>
      <w:r>
        <w:rPr>
          <w:b/>
        </w:rPr>
        <w:br w:type="page"/>
      </w:r>
    </w:p>
    <w:p w14:paraId="01B18059" w14:textId="50EA2FA1" w:rsidR="002A5FE5" w:rsidRPr="00585B13" w:rsidRDefault="00E37388" w:rsidP="002A5FE5">
      <w:pPr>
        <w:rPr>
          <w:b/>
        </w:rPr>
      </w:pPr>
      <w:r>
        <w:rPr>
          <w:b/>
        </w:rPr>
        <w:lastRenderedPageBreak/>
        <w:t>Appendix 2</w:t>
      </w:r>
      <w:r w:rsidR="002A5FE5" w:rsidRPr="00585B13">
        <w:rPr>
          <w:b/>
        </w:rPr>
        <w:t xml:space="preserve"> - Panel assessment </w:t>
      </w:r>
      <w:r w:rsidR="002A5FE5">
        <w:rPr>
          <w:b/>
        </w:rPr>
        <w:t>procedure</w:t>
      </w:r>
    </w:p>
    <w:p w14:paraId="09206FBF" w14:textId="77777777" w:rsidR="002A5FE5" w:rsidRPr="00486D57" w:rsidRDefault="002A5FE5" w:rsidP="002A5FE5">
      <w:pPr>
        <w:pStyle w:val="Heading2"/>
      </w:pPr>
      <w:r w:rsidRPr="00486D57">
        <w:t>Purpose of panel assessment</w:t>
      </w:r>
    </w:p>
    <w:p w14:paraId="3C6BA291" w14:textId="77777777" w:rsidR="002A5FE5" w:rsidRDefault="002A5FE5" w:rsidP="002A5FE5">
      <w:pPr>
        <w:pStyle w:val="ListParagraph"/>
        <w:numPr>
          <w:ilvl w:val="0"/>
          <w:numId w:val="28"/>
        </w:numPr>
      </w:pPr>
      <w:r>
        <w:t>To establish a reference standard, against which the novel research assessment will be compared.</w:t>
      </w:r>
    </w:p>
    <w:p w14:paraId="084866A7" w14:textId="77777777" w:rsidR="002A5FE5" w:rsidRDefault="002A5FE5" w:rsidP="002A5FE5">
      <w:pPr>
        <w:pStyle w:val="ListParagraph"/>
        <w:numPr>
          <w:ilvl w:val="0"/>
          <w:numId w:val="28"/>
        </w:numPr>
      </w:pPr>
      <w:r>
        <w:t xml:space="preserve">To identify the impact of disclosure of different elements of the research assessment on the consensus diagnosis.  </w:t>
      </w:r>
    </w:p>
    <w:p w14:paraId="5C96BD34" w14:textId="77777777" w:rsidR="002A5FE5" w:rsidRPr="00486D57" w:rsidRDefault="002A5FE5" w:rsidP="002A5FE5">
      <w:pPr>
        <w:pStyle w:val="Heading2"/>
      </w:pPr>
      <w:r w:rsidRPr="00486D57">
        <w:t>Panel members</w:t>
      </w:r>
    </w:p>
    <w:p w14:paraId="1DE557FF" w14:textId="773F5DE2" w:rsidR="002A5FE5" w:rsidRDefault="002A5FE5" w:rsidP="002A5FE5">
      <w:r>
        <w:t xml:space="preserve">The panel will consist of three members: a consultant psychiatrist </w:t>
      </w:r>
      <w:r w:rsidR="007029E2">
        <w:t xml:space="preserve">of ageing </w:t>
      </w:r>
      <w:r>
        <w:t>(CR),</w:t>
      </w:r>
      <w:r w:rsidRPr="004004AA">
        <w:t xml:space="preserve"> </w:t>
      </w:r>
      <w:r>
        <w:t>a consultant neurologist (JS), and a consultant neuropsychiatrist (AC). The panel meetings will be chaired by the researcher who has undertaken the research assessments (LM), who after completing the research assessments and recording outcomes will become ‘</w:t>
      </w:r>
      <w:proofErr w:type="spellStart"/>
      <w:r>
        <w:t>unblinded</w:t>
      </w:r>
      <w:proofErr w:type="spellEnd"/>
      <w:r>
        <w:t xml:space="preserve">’ to other clinical data. </w:t>
      </w:r>
    </w:p>
    <w:p w14:paraId="026D9EE4" w14:textId="77777777" w:rsidR="002A5FE5" w:rsidRPr="00486D57" w:rsidRDefault="002A5FE5" w:rsidP="002A5FE5">
      <w:pPr>
        <w:pStyle w:val="Heading2"/>
      </w:pPr>
      <w:r w:rsidRPr="00486D57">
        <w:t>Panel meetings</w:t>
      </w:r>
    </w:p>
    <w:p w14:paraId="42754EB8" w14:textId="77777777" w:rsidR="002A5FE5" w:rsidRDefault="002A5FE5" w:rsidP="002A5FE5">
      <w:r>
        <w:t xml:space="preserve">Panel meetings will be held at approximately quarterly intervals, when &gt;20 subjects have completed both the research assessment and the usual clinical assessment process (i.e. clinical letter, cognitive assessments, and reports of any requested clinical assessments are available).  </w:t>
      </w:r>
    </w:p>
    <w:p w14:paraId="2959C409" w14:textId="77777777" w:rsidR="002A5FE5" w:rsidRDefault="002A5FE5" w:rsidP="002A5FE5">
      <w:r>
        <w:t xml:space="preserve">During each meeting, a researcher (LM) will present the clinical information to the panel (verbally and using the electronic medical record) in the order listed in </w:t>
      </w:r>
      <w:r w:rsidRPr="00603619">
        <w:rPr>
          <w:b/>
        </w:rPr>
        <w:t xml:space="preserve">Figure </w:t>
      </w:r>
      <w:r>
        <w:rPr>
          <w:b/>
        </w:rPr>
        <w:t>a</w:t>
      </w:r>
      <w:r>
        <w:t xml:space="preserve">. At each stage, the members of the panel will discuss the information provided and asked to reach a consensus on the most likely diagnosis. </w:t>
      </w:r>
    </w:p>
    <w:p w14:paraId="73C259EB" w14:textId="77777777" w:rsidR="002A5FE5" w:rsidRDefault="002A5FE5" w:rsidP="002A5FE5">
      <w:r>
        <w:t xml:space="preserve">The diagnosis at each stage will be recorded in ink in the CRF (so that no further changes can be made) before the panel are provided with any information from the next stage. </w:t>
      </w:r>
    </w:p>
    <w:p w14:paraId="0200859C" w14:textId="37252A11" w:rsidR="002A5FE5" w:rsidRDefault="002A5FE5" w:rsidP="002A5FE5">
      <w:pPr>
        <w:pStyle w:val="Heading4"/>
      </w:pPr>
      <w:r>
        <w:t xml:space="preserve">Figure </w:t>
      </w:r>
      <w:r w:rsidR="00316F09">
        <w:rPr>
          <w:noProof/>
        </w:rPr>
        <w:fldChar w:fldCharType="begin"/>
      </w:r>
      <w:r w:rsidR="00316F09">
        <w:rPr>
          <w:noProof/>
        </w:rPr>
        <w:instrText xml:space="preserve"> SEQ Figure \* ARABIC </w:instrText>
      </w:r>
      <w:r w:rsidR="00316F09">
        <w:rPr>
          <w:noProof/>
        </w:rPr>
        <w:fldChar w:fldCharType="separate"/>
      </w:r>
      <w:r w:rsidR="00EC3F5C">
        <w:rPr>
          <w:noProof/>
        </w:rPr>
        <w:t>1</w:t>
      </w:r>
      <w:r w:rsidR="00316F09">
        <w:rPr>
          <w:noProof/>
        </w:rPr>
        <w:fldChar w:fldCharType="end"/>
      </w:r>
      <w:r>
        <w:t xml:space="preserve"> – Panel diagnoses</w:t>
      </w:r>
    </w:p>
    <w:tbl>
      <w:tblPr>
        <w:tblStyle w:val="TableGrid"/>
        <w:tblW w:w="0" w:type="auto"/>
        <w:tblLook w:val="04A0" w:firstRow="1" w:lastRow="0" w:firstColumn="1" w:lastColumn="0" w:noHBand="0" w:noVBand="1"/>
      </w:tblPr>
      <w:tblGrid>
        <w:gridCol w:w="846"/>
        <w:gridCol w:w="5386"/>
        <w:gridCol w:w="2306"/>
      </w:tblGrid>
      <w:tr w:rsidR="002A5FE5" w14:paraId="40D31319" w14:textId="77777777" w:rsidTr="00410B92">
        <w:tc>
          <w:tcPr>
            <w:tcW w:w="846" w:type="dxa"/>
          </w:tcPr>
          <w:p w14:paraId="69126140" w14:textId="77777777" w:rsidR="002A5FE5" w:rsidRPr="00C823E6" w:rsidRDefault="002A5FE5" w:rsidP="00410B92">
            <w:pPr>
              <w:rPr>
                <w:b/>
              </w:rPr>
            </w:pPr>
            <w:r w:rsidRPr="00C823E6">
              <w:rPr>
                <w:b/>
              </w:rPr>
              <w:t>Stage</w:t>
            </w:r>
          </w:p>
        </w:tc>
        <w:tc>
          <w:tcPr>
            <w:tcW w:w="5386" w:type="dxa"/>
          </w:tcPr>
          <w:p w14:paraId="0129BB35" w14:textId="77777777" w:rsidR="002A5FE5" w:rsidRPr="00C823E6" w:rsidRDefault="002A5FE5" w:rsidP="00410B92">
            <w:pPr>
              <w:rPr>
                <w:b/>
              </w:rPr>
            </w:pPr>
            <w:r w:rsidRPr="00C823E6">
              <w:rPr>
                <w:b/>
              </w:rPr>
              <w:t>Information</w:t>
            </w:r>
          </w:p>
        </w:tc>
        <w:tc>
          <w:tcPr>
            <w:tcW w:w="2306" w:type="dxa"/>
          </w:tcPr>
          <w:p w14:paraId="38FF9A66" w14:textId="77777777" w:rsidR="002A5FE5" w:rsidRPr="00C823E6" w:rsidRDefault="002A5FE5" w:rsidP="00410B92">
            <w:pPr>
              <w:rPr>
                <w:b/>
              </w:rPr>
            </w:pPr>
            <w:r w:rsidRPr="00C823E6">
              <w:rPr>
                <w:b/>
              </w:rPr>
              <w:t>Panel diagnosis</w:t>
            </w:r>
          </w:p>
        </w:tc>
      </w:tr>
      <w:tr w:rsidR="002A5FE5" w14:paraId="5ABDFE90" w14:textId="77777777" w:rsidTr="00410B92">
        <w:tc>
          <w:tcPr>
            <w:tcW w:w="846" w:type="dxa"/>
          </w:tcPr>
          <w:p w14:paraId="7C90756D" w14:textId="77777777" w:rsidR="002A5FE5" w:rsidRDefault="002A5FE5" w:rsidP="00410B92">
            <w:r>
              <w:t>1</w:t>
            </w:r>
          </w:p>
        </w:tc>
        <w:tc>
          <w:tcPr>
            <w:tcW w:w="5386" w:type="dxa"/>
          </w:tcPr>
          <w:p w14:paraId="4CF5E483" w14:textId="77777777" w:rsidR="002A5FE5" w:rsidRDefault="002A5FE5" w:rsidP="00410B92">
            <w:r>
              <w:t>Clinical history and mental state examination</w:t>
            </w:r>
          </w:p>
        </w:tc>
        <w:tc>
          <w:tcPr>
            <w:tcW w:w="2306" w:type="dxa"/>
          </w:tcPr>
          <w:p w14:paraId="104C50A2" w14:textId="77777777" w:rsidR="002A5FE5" w:rsidRDefault="002A5FE5" w:rsidP="00410B92"/>
        </w:tc>
      </w:tr>
      <w:tr w:rsidR="002A5FE5" w14:paraId="6F7E7457" w14:textId="77777777" w:rsidTr="00410B92">
        <w:tc>
          <w:tcPr>
            <w:tcW w:w="846" w:type="dxa"/>
          </w:tcPr>
          <w:p w14:paraId="45DBBE7E" w14:textId="77777777" w:rsidR="002A5FE5" w:rsidRDefault="002A5FE5" w:rsidP="00410B92"/>
        </w:tc>
        <w:tc>
          <w:tcPr>
            <w:tcW w:w="5386" w:type="dxa"/>
          </w:tcPr>
          <w:p w14:paraId="1A27BBFF" w14:textId="7F24D5B5" w:rsidR="002A5FE5" w:rsidRDefault="00124536" w:rsidP="00124536">
            <w:r>
              <w:t xml:space="preserve">Informant report </w:t>
            </w:r>
          </w:p>
        </w:tc>
        <w:tc>
          <w:tcPr>
            <w:tcW w:w="2306" w:type="dxa"/>
          </w:tcPr>
          <w:p w14:paraId="0163DF69" w14:textId="77777777" w:rsidR="002A5FE5" w:rsidRDefault="002A5FE5" w:rsidP="00410B92"/>
        </w:tc>
      </w:tr>
      <w:tr w:rsidR="002A5FE5" w14:paraId="6F23520B" w14:textId="77777777" w:rsidTr="00410B92">
        <w:tc>
          <w:tcPr>
            <w:tcW w:w="846" w:type="dxa"/>
          </w:tcPr>
          <w:p w14:paraId="61422C75" w14:textId="77777777" w:rsidR="002A5FE5" w:rsidRDefault="002A5FE5" w:rsidP="00410B92"/>
        </w:tc>
        <w:tc>
          <w:tcPr>
            <w:tcW w:w="5386" w:type="dxa"/>
          </w:tcPr>
          <w:p w14:paraId="42B07DD0" w14:textId="143167AA" w:rsidR="002A5FE5" w:rsidRDefault="00124536" w:rsidP="00410B92">
            <w:r>
              <w:t>Cognitive examination (</w:t>
            </w:r>
            <w:proofErr w:type="spellStart"/>
            <w:r>
              <w:t>ACEiii</w:t>
            </w:r>
            <w:proofErr w:type="spellEnd"/>
            <w:r>
              <w:t>)</w:t>
            </w:r>
          </w:p>
        </w:tc>
        <w:tc>
          <w:tcPr>
            <w:tcW w:w="2306" w:type="dxa"/>
          </w:tcPr>
          <w:p w14:paraId="07D77154" w14:textId="77777777" w:rsidR="002A5FE5" w:rsidRDefault="002A5FE5" w:rsidP="00410B92"/>
        </w:tc>
      </w:tr>
      <w:tr w:rsidR="002A5FE5" w14:paraId="0D76FFB7" w14:textId="77777777" w:rsidTr="00410B92">
        <w:tc>
          <w:tcPr>
            <w:tcW w:w="846" w:type="dxa"/>
          </w:tcPr>
          <w:p w14:paraId="390F687B" w14:textId="77777777" w:rsidR="002A5FE5" w:rsidRDefault="002A5FE5" w:rsidP="00410B92"/>
        </w:tc>
        <w:tc>
          <w:tcPr>
            <w:tcW w:w="5386" w:type="dxa"/>
          </w:tcPr>
          <w:p w14:paraId="1F281386" w14:textId="77777777" w:rsidR="002A5FE5" w:rsidRDefault="002A5FE5" w:rsidP="00410B92">
            <w:r>
              <w:t>ADL scale</w:t>
            </w:r>
          </w:p>
        </w:tc>
        <w:tc>
          <w:tcPr>
            <w:tcW w:w="2306" w:type="dxa"/>
          </w:tcPr>
          <w:p w14:paraId="5F81B12D" w14:textId="77777777" w:rsidR="002A5FE5" w:rsidRDefault="002A5FE5" w:rsidP="00410B92"/>
        </w:tc>
      </w:tr>
      <w:tr w:rsidR="002A5FE5" w14:paraId="65572C0B" w14:textId="77777777" w:rsidTr="00410B92">
        <w:tc>
          <w:tcPr>
            <w:tcW w:w="846" w:type="dxa"/>
            <w:tcBorders>
              <w:bottom w:val="single" w:sz="12" w:space="0" w:color="auto"/>
            </w:tcBorders>
          </w:tcPr>
          <w:p w14:paraId="38C5E753" w14:textId="77777777" w:rsidR="002A5FE5" w:rsidRDefault="002A5FE5" w:rsidP="00410B92"/>
        </w:tc>
        <w:tc>
          <w:tcPr>
            <w:tcW w:w="5386" w:type="dxa"/>
            <w:tcBorders>
              <w:bottom w:val="single" w:sz="12" w:space="0" w:color="auto"/>
            </w:tcBorders>
          </w:tcPr>
          <w:p w14:paraId="1B48209D" w14:textId="77777777" w:rsidR="002A5FE5" w:rsidRDefault="002A5FE5" w:rsidP="00410B92">
            <w:r>
              <w:t>Imaging where available</w:t>
            </w:r>
          </w:p>
        </w:tc>
        <w:tc>
          <w:tcPr>
            <w:tcW w:w="2306" w:type="dxa"/>
            <w:tcBorders>
              <w:bottom w:val="single" w:sz="12" w:space="0" w:color="auto"/>
            </w:tcBorders>
          </w:tcPr>
          <w:p w14:paraId="3917E91F" w14:textId="15B928B8" w:rsidR="002A5FE5" w:rsidRPr="00585B13" w:rsidRDefault="002A5FE5" w:rsidP="00124536">
            <w:pPr>
              <w:rPr>
                <w:b/>
              </w:rPr>
            </w:pPr>
            <w:r w:rsidRPr="00585B13">
              <w:rPr>
                <w:b/>
              </w:rPr>
              <w:t xml:space="preserve">A – reference </w:t>
            </w:r>
            <w:r w:rsidR="00124536">
              <w:rPr>
                <w:b/>
              </w:rPr>
              <w:t>diagnosis</w:t>
            </w:r>
          </w:p>
        </w:tc>
      </w:tr>
      <w:tr w:rsidR="002A5FE5" w14:paraId="2AD86B0A" w14:textId="77777777" w:rsidTr="00410B92">
        <w:tc>
          <w:tcPr>
            <w:tcW w:w="846" w:type="dxa"/>
            <w:tcBorders>
              <w:top w:val="single" w:sz="12" w:space="0" w:color="auto"/>
              <w:bottom w:val="single" w:sz="12" w:space="0" w:color="auto"/>
            </w:tcBorders>
          </w:tcPr>
          <w:p w14:paraId="5C417D68" w14:textId="77777777" w:rsidR="002A5FE5" w:rsidRDefault="002A5FE5" w:rsidP="00410B92">
            <w:r>
              <w:t>2</w:t>
            </w:r>
          </w:p>
        </w:tc>
        <w:tc>
          <w:tcPr>
            <w:tcW w:w="5386" w:type="dxa"/>
            <w:tcBorders>
              <w:top w:val="single" w:sz="12" w:space="0" w:color="auto"/>
              <w:bottom w:val="single" w:sz="12" w:space="0" w:color="auto"/>
            </w:tcBorders>
          </w:tcPr>
          <w:p w14:paraId="5774EFB2" w14:textId="77777777" w:rsidR="002A5FE5" w:rsidRDefault="002A5FE5" w:rsidP="00410B92">
            <w:r>
              <w:t>Advanced imaging reports and CSF AD biomarker profile where available</w:t>
            </w:r>
          </w:p>
        </w:tc>
        <w:tc>
          <w:tcPr>
            <w:tcW w:w="2306" w:type="dxa"/>
            <w:tcBorders>
              <w:top w:val="single" w:sz="12" w:space="0" w:color="auto"/>
              <w:bottom w:val="single" w:sz="12" w:space="0" w:color="auto"/>
            </w:tcBorders>
          </w:tcPr>
          <w:p w14:paraId="3C1C759A" w14:textId="77777777" w:rsidR="002A5FE5" w:rsidRDefault="002A5FE5" w:rsidP="00410B92">
            <w:r>
              <w:t>B</w:t>
            </w:r>
          </w:p>
        </w:tc>
      </w:tr>
      <w:tr w:rsidR="002A5FE5" w14:paraId="79CF8F58" w14:textId="77777777" w:rsidTr="00410B92">
        <w:tc>
          <w:tcPr>
            <w:tcW w:w="846" w:type="dxa"/>
            <w:tcBorders>
              <w:top w:val="single" w:sz="12" w:space="0" w:color="auto"/>
            </w:tcBorders>
          </w:tcPr>
          <w:p w14:paraId="4B8F2D28" w14:textId="77777777" w:rsidR="002A5FE5" w:rsidRDefault="002A5FE5" w:rsidP="00410B92">
            <w:r>
              <w:t>3</w:t>
            </w:r>
          </w:p>
        </w:tc>
        <w:tc>
          <w:tcPr>
            <w:tcW w:w="5386" w:type="dxa"/>
            <w:tcBorders>
              <w:top w:val="single" w:sz="12" w:space="0" w:color="auto"/>
            </w:tcBorders>
          </w:tcPr>
          <w:p w14:paraId="4EC43F28" w14:textId="2A3D6F1D" w:rsidR="002A5FE5" w:rsidRDefault="002A5FE5" w:rsidP="00CA63C4">
            <w:r>
              <w:t xml:space="preserve">Research assessment – </w:t>
            </w:r>
            <w:r w:rsidR="00CA63C4">
              <w:t>structured interview</w:t>
            </w:r>
          </w:p>
        </w:tc>
        <w:tc>
          <w:tcPr>
            <w:tcW w:w="2306" w:type="dxa"/>
            <w:tcBorders>
              <w:top w:val="single" w:sz="12" w:space="0" w:color="auto"/>
            </w:tcBorders>
          </w:tcPr>
          <w:p w14:paraId="59B7C363" w14:textId="77777777" w:rsidR="002A5FE5" w:rsidRDefault="002A5FE5" w:rsidP="00410B92">
            <w:r>
              <w:t>C1</w:t>
            </w:r>
          </w:p>
        </w:tc>
      </w:tr>
      <w:tr w:rsidR="002A5FE5" w14:paraId="165E26F2" w14:textId="77777777" w:rsidTr="00410B92">
        <w:tc>
          <w:tcPr>
            <w:tcW w:w="846" w:type="dxa"/>
          </w:tcPr>
          <w:p w14:paraId="2ABB0FC4" w14:textId="77777777" w:rsidR="002A5FE5" w:rsidRDefault="002A5FE5" w:rsidP="00410B92">
            <w:r>
              <w:t>4</w:t>
            </w:r>
          </w:p>
        </w:tc>
        <w:tc>
          <w:tcPr>
            <w:tcW w:w="5386" w:type="dxa"/>
          </w:tcPr>
          <w:p w14:paraId="6558A226" w14:textId="5F431F5F" w:rsidR="002A5FE5" w:rsidRDefault="002A5FE5" w:rsidP="00CA63C4">
            <w:r>
              <w:t xml:space="preserve">Research assessment – </w:t>
            </w:r>
            <w:r w:rsidR="00CA63C4">
              <w:t>neuro exam</w:t>
            </w:r>
          </w:p>
        </w:tc>
        <w:tc>
          <w:tcPr>
            <w:tcW w:w="2306" w:type="dxa"/>
          </w:tcPr>
          <w:p w14:paraId="145184BE" w14:textId="77777777" w:rsidR="002A5FE5" w:rsidRDefault="002A5FE5" w:rsidP="00410B92">
            <w:r>
              <w:t>C2</w:t>
            </w:r>
          </w:p>
        </w:tc>
      </w:tr>
      <w:tr w:rsidR="002A5FE5" w14:paraId="4C48B0EE" w14:textId="77777777" w:rsidTr="00410B92">
        <w:tc>
          <w:tcPr>
            <w:tcW w:w="846" w:type="dxa"/>
          </w:tcPr>
          <w:p w14:paraId="3508D50D" w14:textId="77777777" w:rsidR="002A5FE5" w:rsidRDefault="002A5FE5" w:rsidP="00410B92">
            <w:r>
              <w:t>5</w:t>
            </w:r>
          </w:p>
        </w:tc>
        <w:tc>
          <w:tcPr>
            <w:tcW w:w="5386" w:type="dxa"/>
          </w:tcPr>
          <w:p w14:paraId="2EE223F9" w14:textId="03E36A8E" w:rsidR="002A5FE5" w:rsidRDefault="002A5FE5" w:rsidP="00CA63C4">
            <w:r>
              <w:t>Research assess</w:t>
            </w:r>
            <w:r w:rsidR="00096471">
              <w:t xml:space="preserve">ment – </w:t>
            </w:r>
            <w:r w:rsidR="00CA63C4">
              <w:t>cognitive tests</w:t>
            </w:r>
          </w:p>
        </w:tc>
        <w:tc>
          <w:tcPr>
            <w:tcW w:w="2306" w:type="dxa"/>
          </w:tcPr>
          <w:p w14:paraId="348ACF8A" w14:textId="77777777" w:rsidR="002A5FE5" w:rsidRDefault="002A5FE5" w:rsidP="00410B92">
            <w:r>
              <w:t>C3</w:t>
            </w:r>
          </w:p>
        </w:tc>
      </w:tr>
      <w:tr w:rsidR="002A5FE5" w14:paraId="665E6789" w14:textId="77777777" w:rsidTr="00410B92">
        <w:tc>
          <w:tcPr>
            <w:tcW w:w="846" w:type="dxa"/>
          </w:tcPr>
          <w:p w14:paraId="1BB88576" w14:textId="77777777" w:rsidR="002A5FE5" w:rsidRDefault="002A5FE5" w:rsidP="00410B92">
            <w:r>
              <w:t>6</w:t>
            </w:r>
          </w:p>
        </w:tc>
        <w:tc>
          <w:tcPr>
            <w:tcW w:w="5386" w:type="dxa"/>
          </w:tcPr>
          <w:p w14:paraId="10E4C208" w14:textId="3F633FDB" w:rsidR="002A5FE5" w:rsidRDefault="002A5FE5" w:rsidP="00CA63C4">
            <w:r>
              <w:t xml:space="preserve">Research assessment – </w:t>
            </w:r>
            <w:r w:rsidR="00CA63C4">
              <w:t>MINI</w:t>
            </w:r>
            <w:r w:rsidR="00096471">
              <w:t xml:space="preserve"> </w:t>
            </w:r>
            <w:r w:rsidR="00173607">
              <w:t>and HADS</w:t>
            </w:r>
          </w:p>
        </w:tc>
        <w:tc>
          <w:tcPr>
            <w:tcW w:w="2306" w:type="dxa"/>
          </w:tcPr>
          <w:p w14:paraId="32F46F4B" w14:textId="77777777" w:rsidR="002A5FE5" w:rsidRDefault="002A5FE5" w:rsidP="00410B92">
            <w:r>
              <w:t>C4</w:t>
            </w:r>
          </w:p>
        </w:tc>
      </w:tr>
      <w:tr w:rsidR="002A5FE5" w14:paraId="2C7B2A1D" w14:textId="77777777" w:rsidTr="00410B92">
        <w:tc>
          <w:tcPr>
            <w:tcW w:w="846" w:type="dxa"/>
          </w:tcPr>
          <w:p w14:paraId="4EB6E40F" w14:textId="77777777" w:rsidR="002A5FE5" w:rsidRDefault="002A5FE5" w:rsidP="00410B92">
            <w:r>
              <w:t>7</w:t>
            </w:r>
          </w:p>
        </w:tc>
        <w:tc>
          <w:tcPr>
            <w:tcW w:w="5386" w:type="dxa"/>
          </w:tcPr>
          <w:p w14:paraId="595805DD" w14:textId="1980F7F5" w:rsidR="002A5FE5" w:rsidRDefault="002A5FE5" w:rsidP="00CA63C4">
            <w:r>
              <w:t xml:space="preserve">Research assessment – </w:t>
            </w:r>
            <w:r w:rsidR="00CA63C4">
              <w:t>PHQ-15</w:t>
            </w:r>
          </w:p>
        </w:tc>
        <w:tc>
          <w:tcPr>
            <w:tcW w:w="2306" w:type="dxa"/>
          </w:tcPr>
          <w:p w14:paraId="20E5D723" w14:textId="77777777" w:rsidR="002A5FE5" w:rsidRDefault="002A5FE5" w:rsidP="00410B92">
            <w:r>
              <w:t>C5</w:t>
            </w:r>
          </w:p>
        </w:tc>
      </w:tr>
    </w:tbl>
    <w:p w14:paraId="530841F4" w14:textId="77777777" w:rsidR="00096471" w:rsidRDefault="00096471" w:rsidP="00096471"/>
    <w:p w14:paraId="4F9F7E09" w14:textId="5632405C" w:rsidR="00096471" w:rsidRPr="00585B13" w:rsidRDefault="00096471" w:rsidP="00096471">
      <w:r>
        <w:t>It can be difficult to make</w:t>
      </w:r>
      <w:r w:rsidRPr="00585B13">
        <w:t xml:space="preserve"> a firm diagnosis in individuals with mild impairment or subjective symptoms, particularly in elderly people with comorbidities. </w:t>
      </w:r>
      <w:r>
        <w:t>A three character code (</w:t>
      </w:r>
      <w:proofErr w:type="spellStart"/>
      <w:r>
        <w:t>eg</w:t>
      </w:r>
      <w:proofErr w:type="spellEnd"/>
      <w:r>
        <w:t>. 1AD</w:t>
      </w:r>
      <w:r w:rsidR="00124536">
        <w:t>, 2CF) will be used to indicate</w:t>
      </w:r>
      <w:r>
        <w:t xml:space="preserve"> likely diagnosis at each stage, as illustrated in </w:t>
      </w:r>
      <w:r w:rsidRPr="00096471">
        <w:rPr>
          <w:b/>
        </w:rPr>
        <w:t>figure 3</w:t>
      </w:r>
      <w:r>
        <w:t xml:space="preserve">. An estimation by the panel of % confidence in the diagnosis will also be recorded. </w:t>
      </w:r>
      <w:r w:rsidRPr="00585B13">
        <w:t xml:space="preserve">For the purposes of the primary analysis, </w:t>
      </w:r>
      <w:r>
        <w:t xml:space="preserve">however, </w:t>
      </w:r>
      <w:r w:rsidRPr="00562687">
        <w:t>a binary outcome will be us</w:t>
      </w:r>
      <w:r w:rsidR="00562687" w:rsidRPr="00562687">
        <w:t>ed: ‘unlikely functional’ (1 and 2a</w:t>
      </w:r>
      <w:r w:rsidRPr="00562687">
        <w:t>), vs ‘</w:t>
      </w:r>
      <w:r w:rsidR="00562687" w:rsidRPr="00562687">
        <w:t>likely</w:t>
      </w:r>
      <w:r w:rsidRPr="00562687">
        <w:t xml:space="preserve"> functional’ (2</w:t>
      </w:r>
      <w:r w:rsidR="00562687" w:rsidRPr="00562687">
        <w:t>b</w:t>
      </w:r>
      <w:r w:rsidRPr="00562687">
        <w:t xml:space="preserve"> and 3).</w:t>
      </w:r>
      <w:r w:rsidRPr="00585B13">
        <w:t xml:space="preserve"> </w:t>
      </w:r>
    </w:p>
    <w:p w14:paraId="34E245A2" w14:textId="77777777" w:rsidR="002A5FE5" w:rsidRDefault="002A5FE5" w:rsidP="002A5FE5">
      <w:pPr>
        <w:rPr>
          <w:i/>
        </w:rPr>
      </w:pPr>
    </w:p>
    <w:p w14:paraId="5408E89A" w14:textId="0205AD6A" w:rsidR="007D2767" w:rsidRDefault="007D2767" w:rsidP="007D2767">
      <w:pPr>
        <w:pStyle w:val="Heading4"/>
      </w:pPr>
      <w:r>
        <w:t xml:space="preserve">Figure </w:t>
      </w:r>
      <w:r w:rsidR="00316F09">
        <w:rPr>
          <w:noProof/>
        </w:rPr>
        <w:fldChar w:fldCharType="begin"/>
      </w:r>
      <w:r w:rsidR="00316F09">
        <w:rPr>
          <w:noProof/>
        </w:rPr>
        <w:instrText xml:space="preserve"> SEQ Figure \* ARABIC </w:instrText>
      </w:r>
      <w:r w:rsidR="00316F09">
        <w:rPr>
          <w:noProof/>
        </w:rPr>
        <w:fldChar w:fldCharType="separate"/>
      </w:r>
      <w:r w:rsidR="00EC3F5C">
        <w:rPr>
          <w:noProof/>
        </w:rPr>
        <w:t>2</w:t>
      </w:r>
      <w:r w:rsidR="00316F09">
        <w:rPr>
          <w:noProof/>
        </w:rPr>
        <w:fldChar w:fldCharType="end"/>
      </w:r>
      <w:r>
        <w:t xml:space="preserve"> – Coding of reference diagnosis</w:t>
      </w:r>
    </w:p>
    <w:tbl>
      <w:tblPr>
        <w:tblStyle w:val="TableGrid"/>
        <w:tblW w:w="0" w:type="auto"/>
        <w:tblLook w:val="04A0" w:firstRow="1" w:lastRow="0" w:firstColumn="1" w:lastColumn="0" w:noHBand="0" w:noVBand="1"/>
      </w:tblPr>
      <w:tblGrid>
        <w:gridCol w:w="4106"/>
        <w:gridCol w:w="1904"/>
        <w:gridCol w:w="1073"/>
        <w:gridCol w:w="1559"/>
      </w:tblGrid>
      <w:tr w:rsidR="00096471" w14:paraId="7F3F4F87" w14:textId="77777777" w:rsidTr="00410B92">
        <w:tc>
          <w:tcPr>
            <w:tcW w:w="6010" w:type="dxa"/>
            <w:gridSpan w:val="2"/>
          </w:tcPr>
          <w:p w14:paraId="56BB9D16" w14:textId="332FAADA" w:rsidR="00096471" w:rsidRDefault="00096471" w:rsidP="002A5FE5"/>
        </w:tc>
        <w:tc>
          <w:tcPr>
            <w:tcW w:w="1073" w:type="dxa"/>
          </w:tcPr>
          <w:p w14:paraId="768649F4" w14:textId="65ED433B" w:rsidR="00096471" w:rsidRDefault="00096471" w:rsidP="002A5FE5">
            <w:r>
              <w:t>code</w:t>
            </w:r>
          </w:p>
        </w:tc>
        <w:tc>
          <w:tcPr>
            <w:tcW w:w="1559" w:type="dxa"/>
          </w:tcPr>
          <w:p w14:paraId="18D0043D" w14:textId="5A3917A2" w:rsidR="00096471" w:rsidRDefault="00096471" w:rsidP="002A5FE5">
            <w:r>
              <w:t>Binary outcome for primary analysis</w:t>
            </w:r>
          </w:p>
        </w:tc>
      </w:tr>
      <w:tr w:rsidR="003C1235" w:rsidRPr="00096471" w14:paraId="54D68838" w14:textId="0E493C1F" w:rsidTr="007D2767">
        <w:tc>
          <w:tcPr>
            <w:tcW w:w="4106" w:type="dxa"/>
            <w:vMerge w:val="restart"/>
          </w:tcPr>
          <w:p w14:paraId="058F0498" w14:textId="1C847F82" w:rsidR="003C1235" w:rsidRDefault="003C1235" w:rsidP="002A5FE5">
            <w:r>
              <w:t>Functional cognitive symptoms</w:t>
            </w:r>
          </w:p>
        </w:tc>
        <w:tc>
          <w:tcPr>
            <w:tcW w:w="1904" w:type="dxa"/>
          </w:tcPr>
          <w:p w14:paraId="5AAFE6C0" w14:textId="5924CC26" w:rsidR="003C1235" w:rsidRDefault="003C1235" w:rsidP="002A5FE5">
            <w:r>
              <w:t>Probable</w:t>
            </w:r>
          </w:p>
        </w:tc>
        <w:tc>
          <w:tcPr>
            <w:tcW w:w="1073" w:type="dxa"/>
          </w:tcPr>
          <w:p w14:paraId="2934420C" w14:textId="0E2BBBCD" w:rsidR="003C1235" w:rsidRDefault="003C1235" w:rsidP="002A5FE5">
            <w:r>
              <w:t>1</w:t>
            </w:r>
          </w:p>
        </w:tc>
        <w:tc>
          <w:tcPr>
            <w:tcW w:w="1559" w:type="dxa"/>
            <w:vMerge w:val="restart"/>
          </w:tcPr>
          <w:p w14:paraId="2A942171" w14:textId="0C482EDC" w:rsidR="003C1235" w:rsidRPr="003C1235" w:rsidRDefault="003C1235" w:rsidP="002A5FE5">
            <w:r w:rsidRPr="003C1235">
              <w:t>Functional</w:t>
            </w:r>
          </w:p>
        </w:tc>
      </w:tr>
      <w:tr w:rsidR="003C1235" w:rsidRPr="00096471" w14:paraId="3AEE1F08" w14:textId="77777777" w:rsidTr="007D2767">
        <w:tc>
          <w:tcPr>
            <w:tcW w:w="4106" w:type="dxa"/>
            <w:vMerge/>
          </w:tcPr>
          <w:p w14:paraId="733D6512" w14:textId="77777777" w:rsidR="003C1235" w:rsidRDefault="003C1235" w:rsidP="003C1235"/>
        </w:tc>
        <w:tc>
          <w:tcPr>
            <w:tcW w:w="1904" w:type="dxa"/>
          </w:tcPr>
          <w:p w14:paraId="155B4673" w14:textId="7DFAEC31" w:rsidR="003C1235" w:rsidRDefault="003C1235" w:rsidP="003C1235">
            <w:r>
              <w:t>Possible likely</w:t>
            </w:r>
          </w:p>
        </w:tc>
        <w:tc>
          <w:tcPr>
            <w:tcW w:w="1073" w:type="dxa"/>
          </w:tcPr>
          <w:p w14:paraId="69AA5442" w14:textId="1E441DAC" w:rsidR="003C1235" w:rsidRDefault="003C1235" w:rsidP="003C1235">
            <w:r>
              <w:t>2a</w:t>
            </w:r>
          </w:p>
        </w:tc>
        <w:tc>
          <w:tcPr>
            <w:tcW w:w="1559" w:type="dxa"/>
            <w:vMerge/>
          </w:tcPr>
          <w:p w14:paraId="466F67CE" w14:textId="77777777" w:rsidR="003C1235" w:rsidRPr="003C1235" w:rsidRDefault="003C1235" w:rsidP="003C1235"/>
        </w:tc>
      </w:tr>
      <w:tr w:rsidR="003C1235" w:rsidRPr="00096471" w14:paraId="5CD46741" w14:textId="0FD3BE07" w:rsidTr="003C1235">
        <w:trPr>
          <w:trHeight w:val="293"/>
        </w:trPr>
        <w:tc>
          <w:tcPr>
            <w:tcW w:w="4106" w:type="dxa"/>
            <w:vMerge/>
          </w:tcPr>
          <w:p w14:paraId="4534BF95" w14:textId="77777777" w:rsidR="003C1235" w:rsidRDefault="003C1235" w:rsidP="003C1235"/>
        </w:tc>
        <w:tc>
          <w:tcPr>
            <w:tcW w:w="1904" w:type="dxa"/>
          </w:tcPr>
          <w:p w14:paraId="13A69EE8" w14:textId="19B2AA78" w:rsidR="003C1235" w:rsidRDefault="003C1235" w:rsidP="003C1235">
            <w:r>
              <w:t>Possible unlikely</w:t>
            </w:r>
          </w:p>
        </w:tc>
        <w:tc>
          <w:tcPr>
            <w:tcW w:w="1073" w:type="dxa"/>
          </w:tcPr>
          <w:p w14:paraId="7A2AF3B5" w14:textId="1A0D755E" w:rsidR="003C1235" w:rsidRDefault="003C1235" w:rsidP="003C1235">
            <w:r>
              <w:t>2b</w:t>
            </w:r>
          </w:p>
        </w:tc>
        <w:tc>
          <w:tcPr>
            <w:tcW w:w="1559" w:type="dxa"/>
            <w:vMerge w:val="restart"/>
          </w:tcPr>
          <w:p w14:paraId="492DBB14" w14:textId="46899AFC" w:rsidR="003C1235" w:rsidRPr="003C1235" w:rsidRDefault="003C1235" w:rsidP="003C1235">
            <w:r w:rsidRPr="003C1235">
              <w:t>Not functional</w:t>
            </w:r>
          </w:p>
        </w:tc>
      </w:tr>
      <w:tr w:rsidR="003C1235" w:rsidRPr="00096471" w14:paraId="4E189D65" w14:textId="7A6ED25E" w:rsidTr="007D2767">
        <w:tc>
          <w:tcPr>
            <w:tcW w:w="4106" w:type="dxa"/>
            <w:vMerge/>
            <w:tcBorders>
              <w:bottom w:val="single" w:sz="18" w:space="0" w:color="auto"/>
            </w:tcBorders>
          </w:tcPr>
          <w:p w14:paraId="5B8A163B" w14:textId="77777777" w:rsidR="003C1235" w:rsidRDefault="003C1235" w:rsidP="003C1235"/>
        </w:tc>
        <w:tc>
          <w:tcPr>
            <w:tcW w:w="1904" w:type="dxa"/>
            <w:tcBorders>
              <w:bottom w:val="single" w:sz="18" w:space="0" w:color="auto"/>
            </w:tcBorders>
          </w:tcPr>
          <w:p w14:paraId="5B83CBAB" w14:textId="62D98C8B" w:rsidR="003C1235" w:rsidRDefault="003C1235" w:rsidP="003C1235">
            <w:r>
              <w:t>Unlikely</w:t>
            </w:r>
          </w:p>
        </w:tc>
        <w:tc>
          <w:tcPr>
            <w:tcW w:w="1073" w:type="dxa"/>
            <w:tcBorders>
              <w:bottom w:val="single" w:sz="18" w:space="0" w:color="auto"/>
            </w:tcBorders>
          </w:tcPr>
          <w:p w14:paraId="6A295116" w14:textId="5A43ADB0" w:rsidR="003C1235" w:rsidRDefault="003C1235" w:rsidP="003C1235">
            <w:r>
              <w:t>3</w:t>
            </w:r>
          </w:p>
        </w:tc>
        <w:tc>
          <w:tcPr>
            <w:tcW w:w="1559" w:type="dxa"/>
            <w:vMerge/>
            <w:tcBorders>
              <w:bottom w:val="single" w:sz="18" w:space="0" w:color="auto"/>
            </w:tcBorders>
          </w:tcPr>
          <w:p w14:paraId="088953C4" w14:textId="77777777" w:rsidR="003C1235" w:rsidRPr="00096471" w:rsidRDefault="003C1235" w:rsidP="003C1235">
            <w:pPr>
              <w:rPr>
                <w:highlight w:val="yellow"/>
              </w:rPr>
            </w:pPr>
          </w:p>
        </w:tc>
      </w:tr>
      <w:tr w:rsidR="003C1235" w14:paraId="292E809F" w14:textId="175F442C" w:rsidTr="00410B92">
        <w:trPr>
          <w:gridAfter w:val="1"/>
          <w:wAfter w:w="1559" w:type="dxa"/>
        </w:trPr>
        <w:tc>
          <w:tcPr>
            <w:tcW w:w="4106" w:type="dxa"/>
            <w:vMerge w:val="restart"/>
            <w:tcBorders>
              <w:top w:val="single" w:sz="18" w:space="0" w:color="auto"/>
            </w:tcBorders>
          </w:tcPr>
          <w:p w14:paraId="215B14D1" w14:textId="357A30E9" w:rsidR="003C1235" w:rsidRDefault="003C1235" w:rsidP="003C1235">
            <w:r>
              <w:t>Neurodegenerative disease</w:t>
            </w:r>
          </w:p>
        </w:tc>
        <w:tc>
          <w:tcPr>
            <w:tcW w:w="1904" w:type="dxa"/>
            <w:tcBorders>
              <w:top w:val="single" w:sz="18" w:space="0" w:color="auto"/>
            </w:tcBorders>
          </w:tcPr>
          <w:p w14:paraId="3E3A69B2" w14:textId="1C0285D1" w:rsidR="003C1235" w:rsidRDefault="003C1235" w:rsidP="003C1235">
            <w:r>
              <w:t>Probable</w:t>
            </w:r>
          </w:p>
        </w:tc>
        <w:tc>
          <w:tcPr>
            <w:tcW w:w="1073" w:type="dxa"/>
            <w:tcBorders>
              <w:top w:val="single" w:sz="18" w:space="0" w:color="auto"/>
            </w:tcBorders>
          </w:tcPr>
          <w:p w14:paraId="61F5AE59" w14:textId="716B3072" w:rsidR="003C1235" w:rsidRDefault="003C1235" w:rsidP="003C1235">
            <w:r>
              <w:t>A</w:t>
            </w:r>
          </w:p>
        </w:tc>
      </w:tr>
      <w:tr w:rsidR="003C1235" w14:paraId="09A0259F" w14:textId="3A82352F" w:rsidTr="00410B92">
        <w:trPr>
          <w:gridAfter w:val="1"/>
          <w:wAfter w:w="1559" w:type="dxa"/>
        </w:trPr>
        <w:tc>
          <w:tcPr>
            <w:tcW w:w="4106" w:type="dxa"/>
            <w:vMerge/>
          </w:tcPr>
          <w:p w14:paraId="78092A00" w14:textId="77777777" w:rsidR="003C1235" w:rsidRDefault="003C1235" w:rsidP="003C1235"/>
        </w:tc>
        <w:tc>
          <w:tcPr>
            <w:tcW w:w="1904" w:type="dxa"/>
          </w:tcPr>
          <w:p w14:paraId="129D44D4" w14:textId="4ADDE92A" w:rsidR="003C1235" w:rsidRDefault="003C1235" w:rsidP="003C1235">
            <w:r>
              <w:t>Possible</w:t>
            </w:r>
          </w:p>
        </w:tc>
        <w:tc>
          <w:tcPr>
            <w:tcW w:w="1073" w:type="dxa"/>
          </w:tcPr>
          <w:p w14:paraId="36663230" w14:textId="382E7AC1" w:rsidR="003C1235" w:rsidRDefault="003C1235" w:rsidP="003C1235">
            <w:r>
              <w:t>B</w:t>
            </w:r>
          </w:p>
        </w:tc>
      </w:tr>
      <w:tr w:rsidR="003C1235" w14:paraId="7C9F8A8A" w14:textId="01FD2F6A" w:rsidTr="00410B92">
        <w:trPr>
          <w:gridAfter w:val="1"/>
          <w:wAfter w:w="1559" w:type="dxa"/>
        </w:trPr>
        <w:tc>
          <w:tcPr>
            <w:tcW w:w="4106" w:type="dxa"/>
            <w:vMerge/>
            <w:tcBorders>
              <w:bottom w:val="single" w:sz="18" w:space="0" w:color="auto"/>
            </w:tcBorders>
          </w:tcPr>
          <w:p w14:paraId="5FCFF17E" w14:textId="77777777" w:rsidR="003C1235" w:rsidRDefault="003C1235" w:rsidP="003C1235"/>
        </w:tc>
        <w:tc>
          <w:tcPr>
            <w:tcW w:w="1904" w:type="dxa"/>
            <w:tcBorders>
              <w:bottom w:val="single" w:sz="18" w:space="0" w:color="auto"/>
            </w:tcBorders>
          </w:tcPr>
          <w:p w14:paraId="47705979" w14:textId="1F9C45FF" w:rsidR="003C1235" w:rsidRDefault="003C1235" w:rsidP="003C1235">
            <w:r>
              <w:t>Unlikely</w:t>
            </w:r>
          </w:p>
        </w:tc>
        <w:tc>
          <w:tcPr>
            <w:tcW w:w="1073" w:type="dxa"/>
            <w:tcBorders>
              <w:bottom w:val="single" w:sz="18" w:space="0" w:color="auto"/>
            </w:tcBorders>
          </w:tcPr>
          <w:p w14:paraId="3C25439C" w14:textId="6A2802F8" w:rsidR="003C1235" w:rsidRDefault="003C1235" w:rsidP="003C1235">
            <w:r>
              <w:t>C</w:t>
            </w:r>
          </w:p>
        </w:tc>
      </w:tr>
      <w:tr w:rsidR="003C1235" w14:paraId="51DDFC38" w14:textId="41BC1FDD" w:rsidTr="00410B92">
        <w:trPr>
          <w:gridAfter w:val="1"/>
          <w:wAfter w:w="1559" w:type="dxa"/>
        </w:trPr>
        <w:tc>
          <w:tcPr>
            <w:tcW w:w="4106" w:type="dxa"/>
            <w:vMerge w:val="restart"/>
            <w:tcBorders>
              <w:top w:val="single" w:sz="18" w:space="0" w:color="auto"/>
            </w:tcBorders>
          </w:tcPr>
          <w:p w14:paraId="0F92CC4B" w14:textId="51A48547" w:rsidR="003C1235" w:rsidRDefault="003C1235" w:rsidP="003C1235">
            <w:r>
              <w:t>Medical or pharmacological cause of cognitive symptoms</w:t>
            </w:r>
          </w:p>
        </w:tc>
        <w:tc>
          <w:tcPr>
            <w:tcW w:w="1904" w:type="dxa"/>
            <w:tcBorders>
              <w:top w:val="single" w:sz="18" w:space="0" w:color="auto"/>
            </w:tcBorders>
          </w:tcPr>
          <w:p w14:paraId="0DB40BFA" w14:textId="227B73CF" w:rsidR="003C1235" w:rsidRDefault="003C1235" w:rsidP="003C1235">
            <w:r>
              <w:t>Probable</w:t>
            </w:r>
          </w:p>
        </w:tc>
        <w:tc>
          <w:tcPr>
            <w:tcW w:w="1073" w:type="dxa"/>
            <w:tcBorders>
              <w:top w:val="single" w:sz="18" w:space="0" w:color="auto"/>
            </w:tcBorders>
          </w:tcPr>
          <w:p w14:paraId="4F3C282C" w14:textId="6BFF41B3" w:rsidR="003C1235" w:rsidRDefault="003C1235" w:rsidP="003C1235">
            <w:r>
              <w:t>D</w:t>
            </w:r>
          </w:p>
        </w:tc>
      </w:tr>
      <w:tr w:rsidR="003C1235" w14:paraId="060C14C5" w14:textId="6F56FED8" w:rsidTr="00410B92">
        <w:trPr>
          <w:gridAfter w:val="1"/>
          <w:wAfter w:w="1559" w:type="dxa"/>
        </w:trPr>
        <w:tc>
          <w:tcPr>
            <w:tcW w:w="4106" w:type="dxa"/>
            <w:vMerge/>
          </w:tcPr>
          <w:p w14:paraId="4C21E12F" w14:textId="77777777" w:rsidR="003C1235" w:rsidRDefault="003C1235" w:rsidP="003C1235"/>
        </w:tc>
        <w:tc>
          <w:tcPr>
            <w:tcW w:w="1904" w:type="dxa"/>
          </w:tcPr>
          <w:p w14:paraId="4AC8B70B" w14:textId="7AFFED28" w:rsidR="00CA63C4" w:rsidRDefault="003C1235" w:rsidP="003C1235">
            <w:r>
              <w:t>Possible</w:t>
            </w:r>
          </w:p>
        </w:tc>
        <w:tc>
          <w:tcPr>
            <w:tcW w:w="1073" w:type="dxa"/>
          </w:tcPr>
          <w:p w14:paraId="1122FB37" w14:textId="3A886032" w:rsidR="003C1235" w:rsidRDefault="003C1235" w:rsidP="003C1235">
            <w:r>
              <w:t>E</w:t>
            </w:r>
          </w:p>
        </w:tc>
      </w:tr>
      <w:tr w:rsidR="003C1235" w14:paraId="4A1E0186" w14:textId="5C5AF863" w:rsidTr="00410B92">
        <w:trPr>
          <w:gridAfter w:val="1"/>
          <w:wAfter w:w="1559" w:type="dxa"/>
        </w:trPr>
        <w:tc>
          <w:tcPr>
            <w:tcW w:w="4106" w:type="dxa"/>
            <w:vMerge/>
          </w:tcPr>
          <w:p w14:paraId="1E7D29CC" w14:textId="77777777" w:rsidR="003C1235" w:rsidRDefault="003C1235" w:rsidP="003C1235"/>
        </w:tc>
        <w:tc>
          <w:tcPr>
            <w:tcW w:w="1904" w:type="dxa"/>
          </w:tcPr>
          <w:p w14:paraId="42B94AE1" w14:textId="09149600" w:rsidR="003C1235" w:rsidRDefault="003C1235" w:rsidP="003C1235">
            <w:r>
              <w:t>Unlikely</w:t>
            </w:r>
          </w:p>
        </w:tc>
        <w:tc>
          <w:tcPr>
            <w:tcW w:w="1073" w:type="dxa"/>
          </w:tcPr>
          <w:p w14:paraId="597A766C" w14:textId="1CDF34DC" w:rsidR="003C1235" w:rsidRDefault="003C1235" w:rsidP="003C1235">
            <w:r>
              <w:t>F</w:t>
            </w:r>
          </w:p>
        </w:tc>
      </w:tr>
    </w:tbl>
    <w:p w14:paraId="689EEBE0" w14:textId="712FE5E4" w:rsidR="00096471" w:rsidRDefault="00096471"/>
    <w:p w14:paraId="559341A8" w14:textId="1736982E" w:rsidR="00096471" w:rsidRDefault="00096471" w:rsidP="00096471">
      <w:pPr>
        <w:pStyle w:val="Heading2"/>
      </w:pPr>
      <w:r>
        <w:t>Discrepancy between clinical and reference diagnosis.</w:t>
      </w:r>
    </w:p>
    <w:p w14:paraId="28986CA8" w14:textId="7472CBF6" w:rsidR="00096471" w:rsidRDefault="00096471">
      <w:r>
        <w:t xml:space="preserve">In some cases, the reference diagnosis will be different from the clinical diagnosis. In these cases, the reference diagnosis and the basis of the difference will be communicated by letter to the clinician from the direct care team who has made the clinical diagnosis. It will be highlighted to the clinician where this the difference may be based on research measures of unknown accuracy and helpfulness. It will be up to the clinician from the direct care team to decide whether a review of diagnosis or treatment with the participant is necessary. </w:t>
      </w:r>
    </w:p>
    <w:p w14:paraId="17B886EC" w14:textId="47447D67" w:rsidR="00096471" w:rsidRDefault="00096471">
      <w:pPr>
        <w:rPr>
          <w:rFonts w:asciiTheme="majorHAnsi" w:eastAsiaTheme="majorEastAsia" w:hAnsiTheme="majorHAnsi" w:cstheme="majorBidi"/>
          <w:color w:val="374C80" w:themeColor="accent1" w:themeShade="BF"/>
          <w:sz w:val="32"/>
          <w:szCs w:val="32"/>
        </w:rPr>
      </w:pPr>
      <w:r>
        <w:t xml:space="preserve">The reference diagnosis will not be communicated to the participant or the participant’s GP. </w:t>
      </w:r>
    </w:p>
    <w:p w14:paraId="5B14FAF3" w14:textId="0781C7B0" w:rsidR="00E37388" w:rsidRPr="00E37388" w:rsidRDefault="002A5FE5" w:rsidP="00E37388">
      <w:r>
        <w:br w:type="page"/>
      </w:r>
      <w:r w:rsidR="00E37388">
        <w:rPr>
          <w:b/>
        </w:rPr>
        <w:lastRenderedPageBreak/>
        <w:t>Appendix 3 – Basis of panel diagnoses</w:t>
      </w:r>
    </w:p>
    <w:p w14:paraId="4EEC2A46" w14:textId="77777777" w:rsidR="00E37388" w:rsidRDefault="00E37388" w:rsidP="00E37388">
      <w:pPr>
        <w:rPr>
          <w:b/>
        </w:rPr>
      </w:pPr>
    </w:p>
    <w:p w14:paraId="551E8BC8" w14:textId="77777777" w:rsidR="00E37388" w:rsidRDefault="00E37388" w:rsidP="00E37388">
      <w:pPr>
        <w:rPr>
          <w:b/>
        </w:rPr>
      </w:pPr>
    </w:p>
    <w:p w14:paraId="0FE55505" w14:textId="77777777" w:rsidR="00E37388" w:rsidRDefault="00E37388" w:rsidP="00E37388">
      <w:pPr>
        <w:rPr>
          <w:b/>
        </w:rPr>
      </w:pPr>
      <w:r>
        <w:rPr>
          <w:b/>
          <w:noProof/>
          <w:lang w:eastAsia="en-GB"/>
        </w:rPr>
        <w:drawing>
          <wp:inline distT="0" distB="0" distL="0" distR="0" wp14:anchorId="25BABD74" wp14:editId="0802C49D">
            <wp:extent cx="5899638" cy="566041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 B 221118.png"/>
                    <pic:cNvPicPr/>
                  </pic:nvPicPr>
                  <pic:blipFill>
                    <a:blip r:embed="rId15">
                      <a:extLst>
                        <a:ext uri="{28A0092B-C50C-407E-A947-70E740481C1C}">
                          <a14:useLocalDpi xmlns:a14="http://schemas.microsoft.com/office/drawing/2010/main" val="0"/>
                        </a:ext>
                      </a:extLst>
                    </a:blip>
                    <a:stretch>
                      <a:fillRect/>
                    </a:stretch>
                  </pic:blipFill>
                  <pic:spPr>
                    <a:xfrm>
                      <a:off x="0" y="0"/>
                      <a:ext cx="5904499" cy="5665074"/>
                    </a:xfrm>
                    <a:prstGeom prst="rect">
                      <a:avLst/>
                    </a:prstGeom>
                  </pic:spPr>
                </pic:pic>
              </a:graphicData>
            </a:graphic>
          </wp:inline>
        </w:drawing>
      </w:r>
    </w:p>
    <w:p w14:paraId="6BFB60BA" w14:textId="77777777" w:rsidR="00E37388" w:rsidRDefault="00E37388" w:rsidP="00E37388">
      <w:pPr>
        <w:rPr>
          <w:rFonts w:asciiTheme="majorHAnsi" w:eastAsiaTheme="majorEastAsia" w:hAnsiTheme="majorHAnsi" w:cstheme="majorBidi"/>
          <w:color w:val="374C80" w:themeColor="accent1" w:themeShade="BF"/>
          <w:sz w:val="32"/>
          <w:szCs w:val="32"/>
        </w:rPr>
      </w:pPr>
      <w:r>
        <w:br w:type="page"/>
      </w:r>
    </w:p>
    <w:p w14:paraId="3A5D27D4" w14:textId="6D3D7AB9" w:rsidR="00845EFE" w:rsidRDefault="002A2D9B" w:rsidP="002A2D9B">
      <w:pPr>
        <w:pStyle w:val="Heading1"/>
      </w:pPr>
      <w:r>
        <w:lastRenderedPageBreak/>
        <w:t>References</w:t>
      </w:r>
    </w:p>
    <w:p w14:paraId="0D834861" w14:textId="77777777" w:rsidR="002A2D9B" w:rsidRDefault="002A2D9B" w:rsidP="00845EFE">
      <w:pPr>
        <w:widowControl w:val="0"/>
        <w:autoSpaceDE w:val="0"/>
        <w:autoSpaceDN w:val="0"/>
        <w:adjustRightInd w:val="0"/>
        <w:spacing w:line="240" w:lineRule="auto"/>
        <w:ind w:left="480" w:hanging="480"/>
      </w:pPr>
    </w:p>
    <w:p w14:paraId="314CE989" w14:textId="2B6873CD" w:rsidR="00912686" w:rsidRPr="00912686" w:rsidRDefault="00845EFE" w:rsidP="00912686">
      <w:pPr>
        <w:widowControl w:val="0"/>
        <w:autoSpaceDE w:val="0"/>
        <w:autoSpaceDN w:val="0"/>
        <w:adjustRightInd w:val="0"/>
        <w:spacing w:line="240" w:lineRule="auto"/>
        <w:ind w:left="480" w:hanging="480"/>
        <w:rPr>
          <w:rFonts w:ascii="Calibri" w:hAnsi="Calibri" w:cs="Times New Roman"/>
          <w:noProof/>
          <w:szCs w:val="24"/>
        </w:rPr>
      </w:pPr>
      <w:r>
        <w:fldChar w:fldCharType="begin" w:fldLock="1"/>
      </w:r>
      <w:r>
        <w:instrText xml:space="preserve">ADDIN Mendeley Bibliography CSL_BIBLIOGRAPHY </w:instrText>
      </w:r>
      <w:r>
        <w:fldChar w:fldCharType="separate"/>
      </w:r>
      <w:r w:rsidR="00912686" w:rsidRPr="00912686">
        <w:rPr>
          <w:rFonts w:ascii="Calibri" w:hAnsi="Calibri" w:cs="Times New Roman"/>
          <w:noProof/>
          <w:szCs w:val="24"/>
        </w:rPr>
        <w:t xml:space="preserve">Almeida, O. P., Hill, K., Howard, R., &amp; O’Brien, J. (1993). Demographic and clinical features of patients attending a memory clinic. </w:t>
      </w:r>
      <w:r w:rsidR="00912686" w:rsidRPr="00912686">
        <w:rPr>
          <w:rFonts w:ascii="Calibri" w:hAnsi="Calibri" w:cs="Times New Roman"/>
          <w:i/>
          <w:iCs/>
          <w:noProof/>
          <w:szCs w:val="24"/>
        </w:rPr>
        <w:t>International Journal of Geriatric Psychiatry</w:t>
      </w:r>
      <w:r w:rsidR="00912686" w:rsidRPr="00912686">
        <w:rPr>
          <w:rFonts w:ascii="Calibri" w:hAnsi="Calibri" w:cs="Times New Roman"/>
          <w:noProof/>
          <w:szCs w:val="24"/>
        </w:rPr>
        <w:t xml:space="preserve">, </w:t>
      </w:r>
      <w:r w:rsidR="00912686" w:rsidRPr="00912686">
        <w:rPr>
          <w:rFonts w:ascii="Calibri" w:hAnsi="Calibri" w:cs="Times New Roman"/>
          <w:i/>
          <w:iCs/>
          <w:noProof/>
          <w:szCs w:val="24"/>
        </w:rPr>
        <w:t>8</w:t>
      </w:r>
      <w:r w:rsidR="00912686" w:rsidRPr="00912686">
        <w:rPr>
          <w:rFonts w:ascii="Calibri" w:hAnsi="Calibri" w:cs="Times New Roman"/>
          <w:noProof/>
          <w:szCs w:val="24"/>
        </w:rPr>
        <w:t>(6), 497–501.</w:t>
      </w:r>
    </w:p>
    <w:p w14:paraId="6EA7FC0B"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Berrios, G., &amp; Hodges, J. (2000). </w:t>
      </w:r>
      <w:r w:rsidRPr="00912686">
        <w:rPr>
          <w:rFonts w:ascii="Calibri" w:hAnsi="Calibri" w:cs="Times New Roman"/>
          <w:i/>
          <w:iCs/>
          <w:noProof/>
          <w:szCs w:val="24"/>
        </w:rPr>
        <w:t>Memory disorders in psychiatric practice</w:t>
      </w:r>
      <w:r w:rsidRPr="00912686">
        <w:rPr>
          <w:rFonts w:ascii="Calibri" w:hAnsi="Calibri" w:cs="Times New Roman"/>
          <w:noProof/>
          <w:szCs w:val="24"/>
        </w:rPr>
        <w:t>. Cambridge: Cambridge University Press.</w:t>
      </w:r>
    </w:p>
    <w:p w14:paraId="3D7D1294"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Blackburn, D., Wakefield, S., Bell, S., Harkness, K., Venneri, A., &amp; Reuber, M. (2014). Functional memory disorder; review from a memory clinic. </w:t>
      </w:r>
      <w:r w:rsidRPr="00912686">
        <w:rPr>
          <w:rFonts w:ascii="Calibri" w:hAnsi="Calibri" w:cs="Times New Roman"/>
          <w:i/>
          <w:iCs/>
          <w:noProof/>
          <w:szCs w:val="24"/>
        </w:rPr>
        <w:t>Journal of Neurology, Neurosurgery and Psychiatry</w:t>
      </w:r>
      <w:r w:rsidRPr="00912686">
        <w:rPr>
          <w:rFonts w:ascii="Calibri" w:hAnsi="Calibri" w:cs="Times New Roman"/>
          <w:noProof/>
          <w:szCs w:val="24"/>
        </w:rPr>
        <w:t xml:space="preserve">, </w:t>
      </w:r>
      <w:r w:rsidRPr="00912686">
        <w:rPr>
          <w:rFonts w:ascii="Calibri" w:hAnsi="Calibri" w:cs="Times New Roman"/>
          <w:i/>
          <w:iCs/>
          <w:noProof/>
          <w:szCs w:val="24"/>
        </w:rPr>
        <w:t>85</w:t>
      </w:r>
      <w:r w:rsidRPr="00912686">
        <w:rPr>
          <w:rFonts w:ascii="Calibri" w:hAnsi="Calibri" w:cs="Times New Roman"/>
          <w:noProof/>
          <w:szCs w:val="24"/>
        </w:rPr>
        <w:t>(10), A8. https://doi.org/http://dx.doi.org/10.1136/jnnp-2014-309236.28</w:t>
      </w:r>
    </w:p>
    <w:p w14:paraId="023E96DB"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Bleuler, E. (1934). </w:t>
      </w:r>
      <w:r w:rsidRPr="00912686">
        <w:rPr>
          <w:rFonts w:ascii="Calibri" w:hAnsi="Calibri" w:cs="Times New Roman"/>
          <w:i/>
          <w:iCs/>
          <w:noProof/>
          <w:szCs w:val="24"/>
        </w:rPr>
        <w:t>Textbook of Psychiatry</w:t>
      </w:r>
      <w:r w:rsidRPr="00912686">
        <w:rPr>
          <w:rFonts w:ascii="Calibri" w:hAnsi="Calibri" w:cs="Times New Roman"/>
          <w:noProof/>
          <w:szCs w:val="24"/>
        </w:rPr>
        <w:t>. (A. A. Brill, Trans.) (2nd ed.). New York: MacMillan.</w:t>
      </w:r>
    </w:p>
    <w:p w14:paraId="362DEFEE"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Espay, A. J., Aybek, S., Carson, A., Edwards, M. J., Goldstein, L. H., Hallett, M., … Morgante, F. (2018). Current Concepts in Diagnosis and Treatment of Functional Neurological Disorders. </w:t>
      </w:r>
      <w:r w:rsidRPr="00912686">
        <w:rPr>
          <w:rFonts w:ascii="Calibri" w:hAnsi="Calibri" w:cs="Times New Roman"/>
          <w:i/>
          <w:iCs/>
          <w:noProof/>
          <w:szCs w:val="24"/>
        </w:rPr>
        <w:t>JAMA Neurology</w:t>
      </w:r>
      <w:r w:rsidRPr="00912686">
        <w:rPr>
          <w:rFonts w:ascii="Calibri" w:hAnsi="Calibri" w:cs="Times New Roman"/>
          <w:noProof/>
          <w:szCs w:val="24"/>
        </w:rPr>
        <w:t>. https://doi.org/10.1001/jamaneurol.2018.1264</w:t>
      </w:r>
    </w:p>
    <w:p w14:paraId="1B5A42ED"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Hussey, D., Foy, K., &amp; Meehan, K. (2009). Quality of dementia referrals to a later life psychiatry service. </w:t>
      </w:r>
      <w:r w:rsidRPr="00912686">
        <w:rPr>
          <w:rFonts w:ascii="Calibri" w:hAnsi="Calibri" w:cs="Times New Roman"/>
          <w:i/>
          <w:iCs/>
          <w:noProof/>
          <w:szCs w:val="24"/>
        </w:rPr>
        <w:t>The Psychiatrist</w:t>
      </w:r>
      <w:r w:rsidRPr="00912686">
        <w:rPr>
          <w:rFonts w:ascii="Calibri" w:hAnsi="Calibri" w:cs="Times New Roman"/>
          <w:noProof/>
          <w:szCs w:val="24"/>
        </w:rPr>
        <w:t xml:space="preserve">, </w:t>
      </w:r>
      <w:r w:rsidRPr="00912686">
        <w:rPr>
          <w:rFonts w:ascii="Calibri" w:hAnsi="Calibri" w:cs="Times New Roman"/>
          <w:i/>
          <w:iCs/>
          <w:noProof/>
          <w:szCs w:val="24"/>
        </w:rPr>
        <w:t>33</w:t>
      </w:r>
      <w:r w:rsidRPr="00912686">
        <w:rPr>
          <w:rFonts w:ascii="Calibri" w:hAnsi="Calibri" w:cs="Times New Roman"/>
          <w:noProof/>
          <w:szCs w:val="24"/>
        </w:rPr>
        <w:t>(4).</w:t>
      </w:r>
    </w:p>
    <w:p w14:paraId="70C630D2"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Kiloh, L. G. (1961). Pseudo-dementia. </w:t>
      </w:r>
      <w:r w:rsidRPr="00912686">
        <w:rPr>
          <w:rFonts w:ascii="Calibri" w:hAnsi="Calibri" w:cs="Times New Roman"/>
          <w:i/>
          <w:iCs/>
          <w:noProof/>
          <w:szCs w:val="24"/>
        </w:rPr>
        <w:t>Acta Psychiatrica Scandinavica</w:t>
      </w:r>
      <w:r w:rsidRPr="00912686">
        <w:rPr>
          <w:rFonts w:ascii="Calibri" w:hAnsi="Calibri" w:cs="Times New Roman"/>
          <w:noProof/>
          <w:szCs w:val="24"/>
        </w:rPr>
        <w:t xml:space="preserve">, </w:t>
      </w:r>
      <w:r w:rsidRPr="00912686">
        <w:rPr>
          <w:rFonts w:ascii="Calibri" w:hAnsi="Calibri" w:cs="Times New Roman"/>
          <w:i/>
          <w:iCs/>
          <w:noProof/>
          <w:szCs w:val="24"/>
        </w:rPr>
        <w:t>37</w:t>
      </w:r>
      <w:r w:rsidRPr="00912686">
        <w:rPr>
          <w:rFonts w:ascii="Calibri" w:hAnsi="Calibri" w:cs="Times New Roman"/>
          <w:noProof/>
          <w:szCs w:val="24"/>
        </w:rPr>
        <w:t>(4), 336–351. https://doi.org/10.1111/j.1600-0447.1961.tb07367.x</w:t>
      </w:r>
    </w:p>
    <w:p w14:paraId="7E4BE75D"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Le Couteur, D. G., Doust, J., Creasey, H., Brayne, C., Blackburn, D. J., Shanks, M. F., … Venneri, A. (2013). Re: Political drive to screen for pre-dementia: not evidence based and ignores the harms of diagnosis. </w:t>
      </w:r>
      <w:r w:rsidRPr="00912686">
        <w:rPr>
          <w:rFonts w:ascii="Calibri" w:hAnsi="Calibri" w:cs="Times New Roman"/>
          <w:i/>
          <w:iCs/>
          <w:noProof/>
          <w:szCs w:val="24"/>
        </w:rPr>
        <w:t>British Medical Journal</w:t>
      </w:r>
      <w:r w:rsidRPr="00912686">
        <w:rPr>
          <w:rFonts w:ascii="Calibri" w:hAnsi="Calibri" w:cs="Times New Roman"/>
          <w:noProof/>
          <w:szCs w:val="24"/>
        </w:rPr>
        <w:t xml:space="preserve">, </w:t>
      </w:r>
      <w:r w:rsidRPr="00912686">
        <w:rPr>
          <w:rFonts w:ascii="Calibri" w:hAnsi="Calibri" w:cs="Times New Roman"/>
          <w:i/>
          <w:iCs/>
          <w:noProof/>
          <w:szCs w:val="24"/>
        </w:rPr>
        <w:t>347</w:t>
      </w:r>
      <w:r w:rsidRPr="00912686">
        <w:rPr>
          <w:rFonts w:ascii="Calibri" w:hAnsi="Calibri" w:cs="Times New Roman"/>
          <w:noProof/>
          <w:szCs w:val="24"/>
        </w:rPr>
        <w:t>(347), f5125. Retrieved from http://www.bmj.com/content/347/bmj.f5125/rr/664031</w:t>
      </w:r>
    </w:p>
    <w:p w14:paraId="40F7DD63"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McKhann, G. M., Knopman, D. S., Chertkow, H., Hyman, B. T., Jack, C. R., Kawas, C. H., … Trojanowski, J. Q. (2011). The diagnosis of dementia due to Alzheimer’s disease: recommendations from the National Institute on Aging-Alzheimer’s Association workgroups on diagnostic guidelines for Alzheimer’s disease. </w:t>
      </w:r>
      <w:r w:rsidRPr="00912686">
        <w:rPr>
          <w:rFonts w:ascii="Calibri" w:hAnsi="Calibri" w:cs="Times New Roman"/>
          <w:i/>
          <w:iCs/>
          <w:noProof/>
          <w:szCs w:val="24"/>
        </w:rPr>
        <w:t>Alzheimer’s &amp; Dementia : The Journal of the Alzheimer’s Association</w:t>
      </w:r>
      <w:r w:rsidRPr="00912686">
        <w:rPr>
          <w:rFonts w:ascii="Calibri" w:hAnsi="Calibri" w:cs="Times New Roman"/>
          <w:noProof/>
          <w:szCs w:val="24"/>
        </w:rPr>
        <w:t xml:space="preserve">, </w:t>
      </w:r>
      <w:r w:rsidRPr="00912686">
        <w:rPr>
          <w:rFonts w:ascii="Calibri" w:hAnsi="Calibri" w:cs="Times New Roman"/>
          <w:i/>
          <w:iCs/>
          <w:noProof/>
          <w:szCs w:val="24"/>
        </w:rPr>
        <w:t>7</w:t>
      </w:r>
      <w:r w:rsidRPr="00912686">
        <w:rPr>
          <w:rFonts w:ascii="Calibri" w:hAnsi="Calibri" w:cs="Times New Roman"/>
          <w:noProof/>
          <w:szCs w:val="24"/>
        </w:rPr>
        <w:t>(3), 263–269. https://doi.org/10.1016/j.jalz.2011.03.005</w:t>
      </w:r>
    </w:p>
    <w:p w14:paraId="7FF4E984"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McWhirter, L., Stone, J., Sandercock, P., &amp; Whiteley, W. (2011). Hoover’s sign for the diagnosis of functional weakness: A prospective unblinded cohort study in patients with suspected stroke. </w:t>
      </w:r>
      <w:r w:rsidRPr="00912686">
        <w:rPr>
          <w:rFonts w:ascii="Calibri" w:hAnsi="Calibri" w:cs="Times New Roman"/>
          <w:i/>
          <w:iCs/>
          <w:noProof/>
          <w:szCs w:val="24"/>
        </w:rPr>
        <w:t>Journal of Psychosomatic Research</w:t>
      </w:r>
      <w:r w:rsidRPr="00912686">
        <w:rPr>
          <w:rFonts w:ascii="Calibri" w:hAnsi="Calibri" w:cs="Times New Roman"/>
          <w:noProof/>
          <w:szCs w:val="24"/>
        </w:rPr>
        <w:t xml:space="preserve">, </w:t>
      </w:r>
      <w:r w:rsidRPr="00912686">
        <w:rPr>
          <w:rFonts w:ascii="Calibri" w:hAnsi="Calibri" w:cs="Times New Roman"/>
          <w:i/>
          <w:iCs/>
          <w:noProof/>
          <w:szCs w:val="24"/>
        </w:rPr>
        <w:t>71</w:t>
      </w:r>
      <w:r w:rsidRPr="00912686">
        <w:rPr>
          <w:rFonts w:ascii="Calibri" w:hAnsi="Calibri" w:cs="Times New Roman"/>
          <w:noProof/>
          <w:szCs w:val="24"/>
        </w:rPr>
        <w:t>(6), 384–386.</w:t>
      </w:r>
    </w:p>
    <w:p w14:paraId="71AF62E3"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Menon, R., &amp; Larner, A. J. (2011). Use of cognitive screening instruments in primary care: the impact of national dementia directives (NICE/SCIE, National Dementia Strategy). </w:t>
      </w:r>
      <w:r w:rsidRPr="00912686">
        <w:rPr>
          <w:rFonts w:ascii="Calibri" w:hAnsi="Calibri" w:cs="Times New Roman"/>
          <w:i/>
          <w:iCs/>
          <w:noProof/>
          <w:szCs w:val="24"/>
        </w:rPr>
        <w:t>Family Practice</w:t>
      </w:r>
      <w:r w:rsidRPr="00912686">
        <w:rPr>
          <w:rFonts w:ascii="Calibri" w:hAnsi="Calibri" w:cs="Times New Roman"/>
          <w:noProof/>
          <w:szCs w:val="24"/>
        </w:rPr>
        <w:t xml:space="preserve">, </w:t>
      </w:r>
      <w:r w:rsidRPr="00912686">
        <w:rPr>
          <w:rFonts w:ascii="Calibri" w:hAnsi="Calibri" w:cs="Times New Roman"/>
          <w:i/>
          <w:iCs/>
          <w:noProof/>
          <w:szCs w:val="24"/>
        </w:rPr>
        <w:t>28</w:t>
      </w:r>
      <w:r w:rsidRPr="00912686">
        <w:rPr>
          <w:rFonts w:ascii="Calibri" w:hAnsi="Calibri" w:cs="Times New Roman"/>
          <w:noProof/>
          <w:szCs w:val="24"/>
        </w:rPr>
        <w:t>(3), 272–276. https://doi.org/10.1093/fampra/cmq100</w:t>
      </w:r>
    </w:p>
    <w:p w14:paraId="70719B11"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Pennington, C., Hayre, A., Newson, M., &amp; Coulthard, E. (2015). Functional Cognitive Disorder: A Common Cause of Subjective Cognitive Symptoms. </w:t>
      </w:r>
      <w:r w:rsidRPr="00912686">
        <w:rPr>
          <w:rFonts w:ascii="Calibri" w:hAnsi="Calibri" w:cs="Times New Roman"/>
          <w:i/>
          <w:iCs/>
          <w:noProof/>
          <w:szCs w:val="24"/>
        </w:rPr>
        <w:t>Journal of Alzheimer’s Disease : JAD</w:t>
      </w:r>
      <w:r w:rsidRPr="00912686">
        <w:rPr>
          <w:rFonts w:ascii="Calibri" w:hAnsi="Calibri" w:cs="Times New Roman"/>
          <w:noProof/>
          <w:szCs w:val="24"/>
        </w:rPr>
        <w:t xml:space="preserve">, </w:t>
      </w:r>
      <w:r w:rsidRPr="00912686">
        <w:rPr>
          <w:rFonts w:ascii="Calibri" w:hAnsi="Calibri" w:cs="Times New Roman"/>
          <w:i/>
          <w:iCs/>
          <w:noProof/>
          <w:szCs w:val="24"/>
        </w:rPr>
        <w:t>48 Suppl 1</w:t>
      </w:r>
      <w:r w:rsidRPr="00912686">
        <w:rPr>
          <w:rFonts w:ascii="Calibri" w:hAnsi="Calibri" w:cs="Times New Roman"/>
          <w:noProof/>
          <w:szCs w:val="24"/>
        </w:rPr>
        <w:t>(s1), S19-24. https://doi.org/10.3233/JAD-150182</w:t>
      </w:r>
    </w:p>
    <w:p w14:paraId="5156DE13"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Reuber, M., Blackburn, D. J., Elsey, C., Wakefield, S., Ardern, K. A., Harkness, K., … Drew, P. (2018). An Interactional Profile to Assist the Differential Diagnosis of Neurodegenerative and Functional Memory Disorders. </w:t>
      </w:r>
      <w:r w:rsidRPr="00912686">
        <w:rPr>
          <w:rFonts w:ascii="Calibri" w:hAnsi="Calibri" w:cs="Times New Roman"/>
          <w:i/>
          <w:iCs/>
          <w:noProof/>
          <w:szCs w:val="24"/>
        </w:rPr>
        <w:t>Alzheimer Disease and Associated Disorders</w:t>
      </w:r>
      <w:r w:rsidRPr="00912686">
        <w:rPr>
          <w:rFonts w:ascii="Calibri" w:hAnsi="Calibri" w:cs="Times New Roman"/>
          <w:noProof/>
          <w:szCs w:val="24"/>
        </w:rPr>
        <w:t>. https://doi.org/10.1097/WAD.0000000000000231</w:t>
      </w:r>
    </w:p>
    <w:p w14:paraId="0C926555"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Schmidtke, K., Pohlmann, S., &amp; Metternich, B. (2008). The syndrome of functional memory disorder: definition, etiology, and natural course. </w:t>
      </w:r>
      <w:r w:rsidRPr="00912686">
        <w:rPr>
          <w:rFonts w:ascii="Calibri" w:hAnsi="Calibri" w:cs="Times New Roman"/>
          <w:i/>
          <w:iCs/>
          <w:noProof/>
          <w:szCs w:val="24"/>
        </w:rPr>
        <w:t>The American Journal of Geriatric Psychiatry</w:t>
      </w:r>
      <w:r w:rsidRPr="00912686">
        <w:rPr>
          <w:rFonts w:ascii="Calibri" w:hAnsi="Calibri" w:cs="Times New Roman"/>
          <w:noProof/>
          <w:szCs w:val="24"/>
        </w:rPr>
        <w:t xml:space="preserve">, </w:t>
      </w:r>
      <w:r w:rsidRPr="00912686">
        <w:rPr>
          <w:rFonts w:ascii="Calibri" w:hAnsi="Calibri" w:cs="Times New Roman"/>
          <w:i/>
          <w:iCs/>
          <w:noProof/>
          <w:szCs w:val="24"/>
        </w:rPr>
        <w:t>16</w:t>
      </w:r>
      <w:r w:rsidRPr="00912686">
        <w:rPr>
          <w:rFonts w:ascii="Calibri" w:hAnsi="Calibri" w:cs="Times New Roman"/>
          <w:noProof/>
          <w:szCs w:val="24"/>
        </w:rPr>
        <w:t>(12), 981–988.</w:t>
      </w:r>
    </w:p>
    <w:p w14:paraId="67462CF7"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lastRenderedPageBreak/>
        <w:t xml:space="preserve">Stone, J., Pal, S., Blackburn, D., Reuber, M., Thekkumpurath, P., &amp; Carson, A. (2015). Functional (Psychogenic) Cognitive Disorders: A Perspective from the Neurology Clinic. </w:t>
      </w:r>
      <w:r w:rsidRPr="00912686">
        <w:rPr>
          <w:rFonts w:ascii="Calibri" w:hAnsi="Calibri" w:cs="Times New Roman"/>
          <w:i/>
          <w:iCs/>
          <w:noProof/>
          <w:szCs w:val="24"/>
        </w:rPr>
        <w:t>Journal of Alzheimer’s Disease</w:t>
      </w:r>
      <w:r w:rsidRPr="00912686">
        <w:rPr>
          <w:rFonts w:ascii="Calibri" w:hAnsi="Calibri" w:cs="Times New Roman"/>
          <w:noProof/>
          <w:szCs w:val="24"/>
        </w:rPr>
        <w:t xml:space="preserve">, </w:t>
      </w:r>
      <w:r w:rsidRPr="00912686">
        <w:rPr>
          <w:rFonts w:ascii="Calibri" w:hAnsi="Calibri" w:cs="Times New Roman"/>
          <w:i/>
          <w:iCs/>
          <w:noProof/>
          <w:szCs w:val="24"/>
        </w:rPr>
        <w:t>48</w:t>
      </w:r>
      <w:r w:rsidRPr="00912686">
        <w:rPr>
          <w:rFonts w:ascii="Calibri" w:hAnsi="Calibri" w:cs="Times New Roman"/>
          <w:noProof/>
          <w:szCs w:val="24"/>
        </w:rPr>
        <w:t>(S1), S5–S17.</w:t>
      </w:r>
    </w:p>
    <w:p w14:paraId="0A37FDB0"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Troyer, A. K., &amp; Rich, J. B. (2002). Psychometric properties of a new metamemory questionnaire for older adults. </w:t>
      </w:r>
      <w:r w:rsidRPr="00912686">
        <w:rPr>
          <w:rFonts w:ascii="Calibri" w:hAnsi="Calibri" w:cs="Times New Roman"/>
          <w:i/>
          <w:iCs/>
          <w:noProof/>
          <w:szCs w:val="24"/>
        </w:rPr>
        <w:t>The Journals of Gerontology. Series B, Psychological Sciences and Social Sciences</w:t>
      </w:r>
      <w:r w:rsidRPr="00912686">
        <w:rPr>
          <w:rFonts w:ascii="Calibri" w:hAnsi="Calibri" w:cs="Times New Roman"/>
          <w:noProof/>
          <w:szCs w:val="24"/>
        </w:rPr>
        <w:t xml:space="preserve">, </w:t>
      </w:r>
      <w:r w:rsidRPr="00912686">
        <w:rPr>
          <w:rFonts w:ascii="Calibri" w:hAnsi="Calibri" w:cs="Times New Roman"/>
          <w:i/>
          <w:iCs/>
          <w:noProof/>
          <w:szCs w:val="24"/>
        </w:rPr>
        <w:t>57</w:t>
      </w:r>
      <w:r w:rsidRPr="00912686">
        <w:rPr>
          <w:rFonts w:ascii="Calibri" w:hAnsi="Calibri" w:cs="Times New Roman"/>
          <w:noProof/>
          <w:szCs w:val="24"/>
        </w:rPr>
        <w:t>(1), P19-27. Retrieved from http://www.ncbi.nlm.nih.gov/pubmed/11773220</w:t>
      </w:r>
    </w:p>
    <w:p w14:paraId="210C0961"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Wells, C. E. (1979). Pseudodementia. </w:t>
      </w:r>
      <w:r w:rsidRPr="00912686">
        <w:rPr>
          <w:rFonts w:ascii="Calibri" w:hAnsi="Calibri" w:cs="Times New Roman"/>
          <w:i/>
          <w:iCs/>
          <w:noProof/>
          <w:szCs w:val="24"/>
        </w:rPr>
        <w:t>The American Journal of Psychiatry</w:t>
      </w:r>
      <w:r w:rsidRPr="00912686">
        <w:rPr>
          <w:rFonts w:ascii="Calibri" w:hAnsi="Calibri" w:cs="Times New Roman"/>
          <w:noProof/>
          <w:szCs w:val="24"/>
        </w:rPr>
        <w:t xml:space="preserve">, </w:t>
      </w:r>
      <w:r w:rsidRPr="00912686">
        <w:rPr>
          <w:rFonts w:ascii="Calibri" w:hAnsi="Calibri" w:cs="Times New Roman"/>
          <w:i/>
          <w:iCs/>
          <w:noProof/>
          <w:szCs w:val="24"/>
        </w:rPr>
        <w:t>136</w:t>
      </w:r>
      <w:r w:rsidRPr="00912686">
        <w:rPr>
          <w:rFonts w:ascii="Calibri" w:hAnsi="Calibri" w:cs="Times New Roman"/>
          <w:noProof/>
          <w:szCs w:val="24"/>
        </w:rPr>
        <w:t>(7), 895.</w:t>
      </w:r>
    </w:p>
    <w:p w14:paraId="65D089CE" w14:textId="77777777" w:rsidR="00912686" w:rsidRPr="00912686" w:rsidRDefault="00912686" w:rsidP="00912686">
      <w:pPr>
        <w:widowControl w:val="0"/>
        <w:autoSpaceDE w:val="0"/>
        <w:autoSpaceDN w:val="0"/>
        <w:adjustRightInd w:val="0"/>
        <w:spacing w:line="240" w:lineRule="auto"/>
        <w:ind w:left="480" w:hanging="480"/>
        <w:rPr>
          <w:rFonts w:ascii="Calibri" w:hAnsi="Calibri" w:cs="Times New Roman"/>
          <w:noProof/>
          <w:szCs w:val="24"/>
        </w:rPr>
      </w:pPr>
      <w:r w:rsidRPr="00912686">
        <w:rPr>
          <w:rFonts w:ascii="Calibri" w:hAnsi="Calibri" w:cs="Times New Roman"/>
          <w:noProof/>
          <w:szCs w:val="24"/>
        </w:rPr>
        <w:t xml:space="preserve">Williamson, J., &amp; Larner, A. (2018). Attended with and head-turning sign can be clinical markers of cognitive impairment in older adults. </w:t>
      </w:r>
      <w:r w:rsidRPr="00912686">
        <w:rPr>
          <w:rFonts w:ascii="Calibri" w:hAnsi="Calibri" w:cs="Times New Roman"/>
          <w:i/>
          <w:iCs/>
          <w:noProof/>
          <w:szCs w:val="24"/>
        </w:rPr>
        <w:t>International Psychogeriatrics</w:t>
      </w:r>
      <w:r w:rsidRPr="00912686">
        <w:rPr>
          <w:rFonts w:ascii="Calibri" w:hAnsi="Calibri" w:cs="Times New Roman"/>
          <w:noProof/>
          <w:szCs w:val="24"/>
        </w:rPr>
        <w:t>. https://doi.org/10.1017/S1041610218000121</w:t>
      </w:r>
    </w:p>
    <w:p w14:paraId="0C438D30" w14:textId="77777777" w:rsidR="00912686" w:rsidRPr="00912686" w:rsidRDefault="00912686" w:rsidP="00912686">
      <w:pPr>
        <w:widowControl w:val="0"/>
        <w:autoSpaceDE w:val="0"/>
        <w:autoSpaceDN w:val="0"/>
        <w:adjustRightInd w:val="0"/>
        <w:spacing w:line="240" w:lineRule="auto"/>
        <w:ind w:left="480" w:hanging="480"/>
        <w:rPr>
          <w:rFonts w:ascii="Calibri" w:hAnsi="Calibri"/>
          <w:noProof/>
        </w:rPr>
      </w:pPr>
      <w:r w:rsidRPr="00912686">
        <w:rPr>
          <w:rFonts w:ascii="Calibri" w:hAnsi="Calibri" w:cs="Times New Roman"/>
          <w:noProof/>
          <w:szCs w:val="24"/>
        </w:rPr>
        <w:t>Yougov.uk, A. S. (2012). Are you worried about dementia? Retrieved from http://cdn.yougov.com/cumulus_uploads/document/xnbimbtb70/YG-Archives-AlzheimersSoc-DementiaAwarenessWeek-220512.pdf</w:t>
      </w:r>
    </w:p>
    <w:p w14:paraId="678EBA75" w14:textId="77777777" w:rsidR="00DE753E" w:rsidRPr="00722A6D" w:rsidRDefault="00845EFE" w:rsidP="00DE753E">
      <w:r>
        <w:fldChar w:fldCharType="end"/>
      </w:r>
    </w:p>
    <w:sectPr w:rsidR="00DE753E" w:rsidRPr="00722A6D">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55B5F" w14:textId="77777777" w:rsidR="005A7325" w:rsidRDefault="005A7325" w:rsidP="00D72CAF">
      <w:pPr>
        <w:spacing w:after="0" w:line="240" w:lineRule="auto"/>
      </w:pPr>
      <w:r>
        <w:separator/>
      </w:r>
    </w:p>
  </w:endnote>
  <w:endnote w:type="continuationSeparator" w:id="0">
    <w:p w14:paraId="128C3693" w14:textId="77777777" w:rsidR="005A7325" w:rsidRDefault="005A7325" w:rsidP="00D72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7828927"/>
      <w:docPartObj>
        <w:docPartGallery w:val="Page Numbers (Bottom of Page)"/>
        <w:docPartUnique/>
      </w:docPartObj>
    </w:sdtPr>
    <w:sdtEndPr>
      <w:rPr>
        <w:noProof/>
      </w:rPr>
    </w:sdtEndPr>
    <w:sdtContent>
      <w:p w14:paraId="04C43C70" w14:textId="353EA3B6" w:rsidR="00410B92" w:rsidRDefault="00410B92">
        <w:pPr>
          <w:pStyle w:val="Footer"/>
          <w:jc w:val="center"/>
        </w:pPr>
        <w:r>
          <w:fldChar w:fldCharType="begin"/>
        </w:r>
        <w:r>
          <w:instrText xml:space="preserve"> PAGE   \* MERGEFORMAT </w:instrText>
        </w:r>
        <w:r>
          <w:fldChar w:fldCharType="separate"/>
        </w:r>
        <w:r w:rsidR="007348CD">
          <w:rPr>
            <w:noProof/>
          </w:rPr>
          <w:t>20</w:t>
        </w:r>
        <w:r>
          <w:rPr>
            <w:noProof/>
          </w:rPr>
          <w:fldChar w:fldCharType="end"/>
        </w:r>
      </w:p>
    </w:sdtContent>
  </w:sdt>
  <w:p w14:paraId="774F58A5" w14:textId="77777777" w:rsidR="00410B92" w:rsidRDefault="00410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9FC8B" w14:textId="77777777" w:rsidR="005A7325" w:rsidRDefault="005A7325" w:rsidP="00D72CAF">
      <w:pPr>
        <w:spacing w:after="0" w:line="240" w:lineRule="auto"/>
      </w:pPr>
      <w:r>
        <w:separator/>
      </w:r>
    </w:p>
  </w:footnote>
  <w:footnote w:type="continuationSeparator" w:id="0">
    <w:p w14:paraId="643CE805" w14:textId="77777777" w:rsidR="005A7325" w:rsidRDefault="005A7325" w:rsidP="00D72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87953" w14:textId="25B0C374" w:rsidR="00410B92" w:rsidRDefault="009420BC" w:rsidP="00D72CAF">
    <w:pPr>
      <w:pStyle w:val="Header"/>
      <w:jc w:val="right"/>
    </w:pPr>
    <w:r>
      <w:t>IDCD Protocol V2</w:t>
    </w:r>
    <w:r w:rsidR="000C2A0C">
      <w:t xml:space="preserve"> </w:t>
    </w:r>
    <w:r>
      <w:t>26 March</w:t>
    </w:r>
    <w:r w:rsidR="00210085">
      <w:t xml:space="preserve"> </w:t>
    </w:r>
    <w:r w:rsidR="000C2A0C">
      <w:t>20</w:t>
    </w:r>
    <w:r w:rsidR="00410B92">
      <w:t>19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20BE8"/>
    <w:multiLevelType w:val="hybridMultilevel"/>
    <w:tmpl w:val="028C2F32"/>
    <w:lvl w:ilvl="0" w:tplc="1706C2E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9131D"/>
    <w:multiLevelType w:val="hybridMultilevel"/>
    <w:tmpl w:val="C43A813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6D081A"/>
    <w:multiLevelType w:val="hybridMultilevel"/>
    <w:tmpl w:val="6DC82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231E93"/>
    <w:multiLevelType w:val="hybridMultilevel"/>
    <w:tmpl w:val="32AC647E"/>
    <w:lvl w:ilvl="0" w:tplc="1706C2E2">
      <w:start w:val="1"/>
      <w:numFmt w:val="bullet"/>
      <w:lvlText w:val="-"/>
      <w:lvlJc w:val="left"/>
      <w:pPr>
        <w:ind w:left="720" w:hanging="360"/>
      </w:pPr>
      <w:rPr>
        <w:rFonts w:ascii="Calibri" w:eastAsiaTheme="minorHAnsi" w:hAnsi="Calibri" w:cs="Calibri" w:hint="default"/>
      </w:rPr>
    </w:lvl>
    <w:lvl w:ilvl="1" w:tplc="1706C2E2">
      <w:start w:val="1"/>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580F3E"/>
    <w:multiLevelType w:val="hybridMultilevel"/>
    <w:tmpl w:val="0EBE0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1A388F"/>
    <w:multiLevelType w:val="hybridMultilevel"/>
    <w:tmpl w:val="2242C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CF252A"/>
    <w:multiLevelType w:val="hybridMultilevel"/>
    <w:tmpl w:val="10A848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577192"/>
    <w:multiLevelType w:val="hybridMultilevel"/>
    <w:tmpl w:val="6D2CA8CC"/>
    <w:lvl w:ilvl="0" w:tplc="9F3A0D3E">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F05C19"/>
    <w:multiLevelType w:val="hybridMultilevel"/>
    <w:tmpl w:val="C98476DC"/>
    <w:lvl w:ilvl="0" w:tplc="1706C2E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818BE"/>
    <w:multiLevelType w:val="hybridMultilevel"/>
    <w:tmpl w:val="3746E2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6D0B7B"/>
    <w:multiLevelType w:val="hybridMultilevel"/>
    <w:tmpl w:val="62166196"/>
    <w:lvl w:ilvl="0" w:tplc="1706C2E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B076EB"/>
    <w:multiLevelType w:val="hybridMultilevel"/>
    <w:tmpl w:val="D0F8637E"/>
    <w:lvl w:ilvl="0" w:tplc="1706C2E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B40701"/>
    <w:multiLevelType w:val="hybridMultilevel"/>
    <w:tmpl w:val="B832C64A"/>
    <w:lvl w:ilvl="0" w:tplc="1706C2E2">
      <w:start w:val="1"/>
      <w:numFmt w:val="bullet"/>
      <w:lvlText w:val="-"/>
      <w:lvlJc w:val="left"/>
      <w:pPr>
        <w:ind w:left="720" w:hanging="360"/>
      </w:pPr>
      <w:rPr>
        <w:rFonts w:ascii="Calibri" w:eastAsiaTheme="minorHAnsi" w:hAnsi="Calibri" w:cs="Calibri" w:hint="default"/>
      </w:rPr>
    </w:lvl>
    <w:lvl w:ilvl="1" w:tplc="1706C2E2">
      <w:start w:val="1"/>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AF6941"/>
    <w:multiLevelType w:val="hybridMultilevel"/>
    <w:tmpl w:val="82D2443A"/>
    <w:lvl w:ilvl="0" w:tplc="1706C2E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0A5DD0"/>
    <w:multiLevelType w:val="hybridMultilevel"/>
    <w:tmpl w:val="361AF36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443DDD"/>
    <w:multiLevelType w:val="hybridMultilevel"/>
    <w:tmpl w:val="ECECB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72F7127"/>
    <w:multiLevelType w:val="hybridMultilevel"/>
    <w:tmpl w:val="8DBCF7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A6E6742"/>
    <w:multiLevelType w:val="hybridMultilevel"/>
    <w:tmpl w:val="5D26127E"/>
    <w:lvl w:ilvl="0" w:tplc="1706C2E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A6270C"/>
    <w:multiLevelType w:val="hybridMultilevel"/>
    <w:tmpl w:val="22CAE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5855B8"/>
    <w:multiLevelType w:val="hybridMultilevel"/>
    <w:tmpl w:val="58DEA3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D9181F"/>
    <w:multiLevelType w:val="hybridMultilevel"/>
    <w:tmpl w:val="E8CC5A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16527F"/>
    <w:multiLevelType w:val="hybridMultilevel"/>
    <w:tmpl w:val="4394171A"/>
    <w:lvl w:ilvl="0" w:tplc="036A5D22">
      <w:start w:val="1"/>
      <w:numFmt w:val="bullet"/>
      <w:lvlText w:val=""/>
      <w:lvlJc w:val="left"/>
      <w:pPr>
        <w:tabs>
          <w:tab w:val="num" w:pos="568"/>
        </w:tabs>
        <w:ind w:left="568" w:hanging="567"/>
      </w:pPr>
      <w:rPr>
        <w:rFonts w:ascii="Symbol" w:hAnsi="Symbol" w:hint="default"/>
        <w:sz w:val="20"/>
        <w:szCs w:val="20"/>
      </w:rPr>
    </w:lvl>
    <w:lvl w:ilvl="1" w:tplc="08090003" w:tentative="1">
      <w:start w:val="1"/>
      <w:numFmt w:val="bullet"/>
      <w:lvlText w:val="o"/>
      <w:lvlJc w:val="left"/>
      <w:pPr>
        <w:tabs>
          <w:tab w:val="num" w:pos="1441"/>
        </w:tabs>
        <w:ind w:left="1441" w:hanging="360"/>
      </w:pPr>
      <w:rPr>
        <w:rFonts w:ascii="Courier New" w:hAnsi="Courier New" w:cs="Courier New" w:hint="default"/>
      </w:rPr>
    </w:lvl>
    <w:lvl w:ilvl="2" w:tplc="08090005" w:tentative="1">
      <w:start w:val="1"/>
      <w:numFmt w:val="bullet"/>
      <w:lvlText w:val=""/>
      <w:lvlJc w:val="left"/>
      <w:pPr>
        <w:tabs>
          <w:tab w:val="num" w:pos="2161"/>
        </w:tabs>
        <w:ind w:left="2161" w:hanging="360"/>
      </w:pPr>
      <w:rPr>
        <w:rFonts w:ascii="Wingdings" w:hAnsi="Wingdings" w:hint="default"/>
      </w:rPr>
    </w:lvl>
    <w:lvl w:ilvl="3" w:tplc="08090001" w:tentative="1">
      <w:start w:val="1"/>
      <w:numFmt w:val="bullet"/>
      <w:lvlText w:val=""/>
      <w:lvlJc w:val="left"/>
      <w:pPr>
        <w:tabs>
          <w:tab w:val="num" w:pos="2881"/>
        </w:tabs>
        <w:ind w:left="2881" w:hanging="360"/>
      </w:pPr>
      <w:rPr>
        <w:rFonts w:ascii="Symbol" w:hAnsi="Symbol" w:hint="default"/>
      </w:rPr>
    </w:lvl>
    <w:lvl w:ilvl="4" w:tplc="08090003" w:tentative="1">
      <w:start w:val="1"/>
      <w:numFmt w:val="bullet"/>
      <w:lvlText w:val="o"/>
      <w:lvlJc w:val="left"/>
      <w:pPr>
        <w:tabs>
          <w:tab w:val="num" w:pos="3601"/>
        </w:tabs>
        <w:ind w:left="3601" w:hanging="360"/>
      </w:pPr>
      <w:rPr>
        <w:rFonts w:ascii="Courier New" w:hAnsi="Courier New" w:cs="Courier New" w:hint="default"/>
      </w:rPr>
    </w:lvl>
    <w:lvl w:ilvl="5" w:tplc="08090005" w:tentative="1">
      <w:start w:val="1"/>
      <w:numFmt w:val="bullet"/>
      <w:lvlText w:val=""/>
      <w:lvlJc w:val="left"/>
      <w:pPr>
        <w:tabs>
          <w:tab w:val="num" w:pos="4321"/>
        </w:tabs>
        <w:ind w:left="4321" w:hanging="360"/>
      </w:pPr>
      <w:rPr>
        <w:rFonts w:ascii="Wingdings" w:hAnsi="Wingdings" w:hint="default"/>
      </w:rPr>
    </w:lvl>
    <w:lvl w:ilvl="6" w:tplc="08090001" w:tentative="1">
      <w:start w:val="1"/>
      <w:numFmt w:val="bullet"/>
      <w:lvlText w:val=""/>
      <w:lvlJc w:val="left"/>
      <w:pPr>
        <w:tabs>
          <w:tab w:val="num" w:pos="5041"/>
        </w:tabs>
        <w:ind w:left="5041" w:hanging="360"/>
      </w:pPr>
      <w:rPr>
        <w:rFonts w:ascii="Symbol" w:hAnsi="Symbol" w:hint="default"/>
      </w:rPr>
    </w:lvl>
    <w:lvl w:ilvl="7" w:tplc="08090003" w:tentative="1">
      <w:start w:val="1"/>
      <w:numFmt w:val="bullet"/>
      <w:lvlText w:val="o"/>
      <w:lvlJc w:val="left"/>
      <w:pPr>
        <w:tabs>
          <w:tab w:val="num" w:pos="5761"/>
        </w:tabs>
        <w:ind w:left="5761" w:hanging="360"/>
      </w:pPr>
      <w:rPr>
        <w:rFonts w:ascii="Courier New" w:hAnsi="Courier New" w:cs="Courier New" w:hint="default"/>
      </w:rPr>
    </w:lvl>
    <w:lvl w:ilvl="8" w:tplc="08090005" w:tentative="1">
      <w:start w:val="1"/>
      <w:numFmt w:val="bullet"/>
      <w:lvlText w:val=""/>
      <w:lvlJc w:val="left"/>
      <w:pPr>
        <w:tabs>
          <w:tab w:val="num" w:pos="6481"/>
        </w:tabs>
        <w:ind w:left="6481" w:hanging="360"/>
      </w:pPr>
      <w:rPr>
        <w:rFonts w:ascii="Wingdings" w:hAnsi="Wingdings" w:hint="default"/>
      </w:rPr>
    </w:lvl>
  </w:abstractNum>
  <w:abstractNum w:abstractNumId="22" w15:restartNumberingAfterBreak="0">
    <w:nsid w:val="65653321"/>
    <w:multiLevelType w:val="hybridMultilevel"/>
    <w:tmpl w:val="87E8320A"/>
    <w:lvl w:ilvl="0" w:tplc="1706C2E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E909F9"/>
    <w:multiLevelType w:val="hybridMultilevel"/>
    <w:tmpl w:val="6DD4B9C6"/>
    <w:lvl w:ilvl="0" w:tplc="298C3E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D58CC"/>
    <w:multiLevelType w:val="hybridMultilevel"/>
    <w:tmpl w:val="361AF36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1A33EF7"/>
    <w:multiLevelType w:val="hybridMultilevel"/>
    <w:tmpl w:val="9370AEC2"/>
    <w:lvl w:ilvl="0" w:tplc="1706C2E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142187"/>
    <w:multiLevelType w:val="hybridMultilevel"/>
    <w:tmpl w:val="E8D0FC5C"/>
    <w:lvl w:ilvl="0" w:tplc="1706C2E2">
      <w:start w:val="1"/>
      <w:numFmt w:val="bullet"/>
      <w:lvlText w:val="-"/>
      <w:lvlJc w:val="left"/>
      <w:pPr>
        <w:ind w:left="1440" w:hanging="360"/>
      </w:pPr>
      <w:rPr>
        <w:rFonts w:ascii="Calibri" w:eastAsiaTheme="minorHAnsi" w:hAnsi="Calibri"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3C81424"/>
    <w:multiLevelType w:val="hybridMultilevel"/>
    <w:tmpl w:val="BA64443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3DC06C9"/>
    <w:multiLevelType w:val="hybridMultilevel"/>
    <w:tmpl w:val="66BE07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5A52A8"/>
    <w:multiLevelType w:val="hybridMultilevel"/>
    <w:tmpl w:val="6D6C51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7A7D6E9A"/>
    <w:multiLevelType w:val="hybridMultilevel"/>
    <w:tmpl w:val="90F21094"/>
    <w:lvl w:ilvl="0" w:tplc="1706C2E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5561A6"/>
    <w:multiLevelType w:val="hybridMultilevel"/>
    <w:tmpl w:val="C3FE9ACA"/>
    <w:lvl w:ilvl="0" w:tplc="1706C2E2">
      <w:start w:val="1"/>
      <w:numFmt w:val="bullet"/>
      <w:lvlText w:val="-"/>
      <w:lvlJc w:val="left"/>
      <w:pPr>
        <w:ind w:left="720" w:hanging="360"/>
      </w:pPr>
      <w:rPr>
        <w:rFonts w:ascii="Calibri" w:eastAsiaTheme="minorHAnsi" w:hAnsi="Calibri" w:cs="Calibri" w:hint="default"/>
      </w:rPr>
    </w:lvl>
    <w:lvl w:ilvl="1" w:tplc="1706C2E2">
      <w:start w:val="1"/>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3"/>
  </w:num>
  <w:num w:numId="3">
    <w:abstractNumId w:val="16"/>
  </w:num>
  <w:num w:numId="4">
    <w:abstractNumId w:val="24"/>
  </w:num>
  <w:num w:numId="5">
    <w:abstractNumId w:val="14"/>
  </w:num>
  <w:num w:numId="6">
    <w:abstractNumId w:val="20"/>
  </w:num>
  <w:num w:numId="7">
    <w:abstractNumId w:val="9"/>
  </w:num>
  <w:num w:numId="8">
    <w:abstractNumId w:val="6"/>
  </w:num>
  <w:num w:numId="9">
    <w:abstractNumId w:val="15"/>
  </w:num>
  <w:num w:numId="10">
    <w:abstractNumId w:val="2"/>
  </w:num>
  <w:num w:numId="11">
    <w:abstractNumId w:val="27"/>
  </w:num>
  <w:num w:numId="12">
    <w:abstractNumId w:val="17"/>
  </w:num>
  <w:num w:numId="13">
    <w:abstractNumId w:val="13"/>
  </w:num>
  <w:num w:numId="14">
    <w:abstractNumId w:val="12"/>
  </w:num>
  <w:num w:numId="15">
    <w:abstractNumId w:val="22"/>
  </w:num>
  <w:num w:numId="16">
    <w:abstractNumId w:val="3"/>
  </w:num>
  <w:num w:numId="17">
    <w:abstractNumId w:val="11"/>
  </w:num>
  <w:num w:numId="18">
    <w:abstractNumId w:val="26"/>
  </w:num>
  <w:num w:numId="19">
    <w:abstractNumId w:val="30"/>
  </w:num>
  <w:num w:numId="20">
    <w:abstractNumId w:val="31"/>
  </w:num>
  <w:num w:numId="21">
    <w:abstractNumId w:val="10"/>
  </w:num>
  <w:num w:numId="22">
    <w:abstractNumId w:val="0"/>
  </w:num>
  <w:num w:numId="23">
    <w:abstractNumId w:val="8"/>
  </w:num>
  <w:num w:numId="24">
    <w:abstractNumId w:val="25"/>
  </w:num>
  <w:num w:numId="25">
    <w:abstractNumId w:val="19"/>
  </w:num>
  <w:num w:numId="26">
    <w:abstractNumId w:val="4"/>
  </w:num>
  <w:num w:numId="27">
    <w:abstractNumId w:val="18"/>
  </w:num>
  <w:num w:numId="28">
    <w:abstractNumId w:val="28"/>
  </w:num>
  <w:num w:numId="29">
    <w:abstractNumId w:val="29"/>
  </w:num>
  <w:num w:numId="30">
    <w:abstractNumId w:val="21"/>
  </w:num>
  <w:num w:numId="31">
    <w:abstractNumId w:val="5"/>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A0B"/>
    <w:rsid w:val="000077C5"/>
    <w:rsid w:val="000125AE"/>
    <w:rsid w:val="00021371"/>
    <w:rsid w:val="00026987"/>
    <w:rsid w:val="00032B7A"/>
    <w:rsid w:val="0005009D"/>
    <w:rsid w:val="00074C3A"/>
    <w:rsid w:val="000802DE"/>
    <w:rsid w:val="0008042B"/>
    <w:rsid w:val="0008491F"/>
    <w:rsid w:val="000924F8"/>
    <w:rsid w:val="00096471"/>
    <w:rsid w:val="000B508D"/>
    <w:rsid w:val="000C0852"/>
    <w:rsid w:val="000C20BC"/>
    <w:rsid w:val="000C2A0C"/>
    <w:rsid w:val="000D17C0"/>
    <w:rsid w:val="000E2D3D"/>
    <w:rsid w:val="000F732F"/>
    <w:rsid w:val="001018B4"/>
    <w:rsid w:val="00103104"/>
    <w:rsid w:val="00107C15"/>
    <w:rsid w:val="0011793F"/>
    <w:rsid w:val="00124536"/>
    <w:rsid w:val="001331A5"/>
    <w:rsid w:val="00152C6B"/>
    <w:rsid w:val="00154D1A"/>
    <w:rsid w:val="00164964"/>
    <w:rsid w:val="00173607"/>
    <w:rsid w:val="00177B03"/>
    <w:rsid w:val="0018234E"/>
    <w:rsid w:val="00193F0E"/>
    <w:rsid w:val="001A133E"/>
    <w:rsid w:val="001B4F60"/>
    <w:rsid w:val="001D4528"/>
    <w:rsid w:val="001F3354"/>
    <w:rsid w:val="001F73D8"/>
    <w:rsid w:val="00210085"/>
    <w:rsid w:val="00226412"/>
    <w:rsid w:val="00231A11"/>
    <w:rsid w:val="00233B2A"/>
    <w:rsid w:val="00234C22"/>
    <w:rsid w:val="002471E2"/>
    <w:rsid w:val="002608D4"/>
    <w:rsid w:val="002668C5"/>
    <w:rsid w:val="00274D80"/>
    <w:rsid w:val="002A2D9B"/>
    <w:rsid w:val="002A5FE5"/>
    <w:rsid w:val="002B59D1"/>
    <w:rsid w:val="002C2AF4"/>
    <w:rsid w:val="002D4749"/>
    <w:rsid w:val="002D4B7C"/>
    <w:rsid w:val="00316F09"/>
    <w:rsid w:val="00327CA5"/>
    <w:rsid w:val="00345A51"/>
    <w:rsid w:val="0036703B"/>
    <w:rsid w:val="0037123D"/>
    <w:rsid w:val="00376268"/>
    <w:rsid w:val="0038344D"/>
    <w:rsid w:val="003C1235"/>
    <w:rsid w:val="003C7C29"/>
    <w:rsid w:val="003D5132"/>
    <w:rsid w:val="003E4FC5"/>
    <w:rsid w:val="00410B92"/>
    <w:rsid w:val="00413B36"/>
    <w:rsid w:val="00415AD6"/>
    <w:rsid w:val="00420CEF"/>
    <w:rsid w:val="004224D5"/>
    <w:rsid w:val="00440AA3"/>
    <w:rsid w:val="004766F3"/>
    <w:rsid w:val="00492B30"/>
    <w:rsid w:val="004A530D"/>
    <w:rsid w:val="004B1829"/>
    <w:rsid w:val="004C0DE2"/>
    <w:rsid w:val="004E5189"/>
    <w:rsid w:val="00537894"/>
    <w:rsid w:val="0055261F"/>
    <w:rsid w:val="00562687"/>
    <w:rsid w:val="005A7325"/>
    <w:rsid w:val="005C6A25"/>
    <w:rsid w:val="005E40E3"/>
    <w:rsid w:val="00607522"/>
    <w:rsid w:val="00622D26"/>
    <w:rsid w:val="006270C0"/>
    <w:rsid w:val="00634357"/>
    <w:rsid w:val="006544B4"/>
    <w:rsid w:val="00657460"/>
    <w:rsid w:val="00682FB8"/>
    <w:rsid w:val="006A7ECD"/>
    <w:rsid w:val="006B18A8"/>
    <w:rsid w:val="006C035D"/>
    <w:rsid w:val="006E50D3"/>
    <w:rsid w:val="007029E2"/>
    <w:rsid w:val="00706AE4"/>
    <w:rsid w:val="00722A6D"/>
    <w:rsid w:val="007348CD"/>
    <w:rsid w:val="00740BBC"/>
    <w:rsid w:val="007569CF"/>
    <w:rsid w:val="007641C7"/>
    <w:rsid w:val="00767CFD"/>
    <w:rsid w:val="007739DF"/>
    <w:rsid w:val="007907DB"/>
    <w:rsid w:val="007D2767"/>
    <w:rsid w:val="007E5152"/>
    <w:rsid w:val="00823ACE"/>
    <w:rsid w:val="00844BC6"/>
    <w:rsid w:val="00845EFE"/>
    <w:rsid w:val="008574A2"/>
    <w:rsid w:val="008931ED"/>
    <w:rsid w:val="00897D49"/>
    <w:rsid w:val="008E3D74"/>
    <w:rsid w:val="008E64F1"/>
    <w:rsid w:val="00912686"/>
    <w:rsid w:val="00931551"/>
    <w:rsid w:val="00937BA7"/>
    <w:rsid w:val="00941452"/>
    <w:rsid w:val="009420BC"/>
    <w:rsid w:val="009620B8"/>
    <w:rsid w:val="00986992"/>
    <w:rsid w:val="00994B37"/>
    <w:rsid w:val="009A6290"/>
    <w:rsid w:val="009B7D7E"/>
    <w:rsid w:val="009C354A"/>
    <w:rsid w:val="009D5A8D"/>
    <w:rsid w:val="009F362B"/>
    <w:rsid w:val="00A03C42"/>
    <w:rsid w:val="00A0463F"/>
    <w:rsid w:val="00A370E3"/>
    <w:rsid w:val="00A63F5D"/>
    <w:rsid w:val="00A71F88"/>
    <w:rsid w:val="00A72D84"/>
    <w:rsid w:val="00AB690D"/>
    <w:rsid w:val="00AF5714"/>
    <w:rsid w:val="00B11E24"/>
    <w:rsid w:val="00B12664"/>
    <w:rsid w:val="00B53521"/>
    <w:rsid w:val="00B658E9"/>
    <w:rsid w:val="00B81874"/>
    <w:rsid w:val="00B912DD"/>
    <w:rsid w:val="00BC5393"/>
    <w:rsid w:val="00BE5ED4"/>
    <w:rsid w:val="00BF49D6"/>
    <w:rsid w:val="00C31BC3"/>
    <w:rsid w:val="00C4108E"/>
    <w:rsid w:val="00C63BA3"/>
    <w:rsid w:val="00C969C3"/>
    <w:rsid w:val="00CA63C4"/>
    <w:rsid w:val="00CC0B33"/>
    <w:rsid w:val="00CC56B3"/>
    <w:rsid w:val="00CE3467"/>
    <w:rsid w:val="00D1656A"/>
    <w:rsid w:val="00D32DBE"/>
    <w:rsid w:val="00D64E78"/>
    <w:rsid w:val="00D72CAF"/>
    <w:rsid w:val="00D82B2C"/>
    <w:rsid w:val="00D91AA4"/>
    <w:rsid w:val="00D941CC"/>
    <w:rsid w:val="00DA23F3"/>
    <w:rsid w:val="00DB2795"/>
    <w:rsid w:val="00DB3115"/>
    <w:rsid w:val="00DB7D02"/>
    <w:rsid w:val="00DC64D1"/>
    <w:rsid w:val="00DC6E9A"/>
    <w:rsid w:val="00DE753E"/>
    <w:rsid w:val="00DF5821"/>
    <w:rsid w:val="00DF660A"/>
    <w:rsid w:val="00E129B8"/>
    <w:rsid w:val="00E37388"/>
    <w:rsid w:val="00E42209"/>
    <w:rsid w:val="00E46D41"/>
    <w:rsid w:val="00E505B5"/>
    <w:rsid w:val="00E52D80"/>
    <w:rsid w:val="00E53BFB"/>
    <w:rsid w:val="00E6436C"/>
    <w:rsid w:val="00E811D3"/>
    <w:rsid w:val="00E96C97"/>
    <w:rsid w:val="00EA0A0B"/>
    <w:rsid w:val="00EB1298"/>
    <w:rsid w:val="00EC3F5C"/>
    <w:rsid w:val="00EC7C67"/>
    <w:rsid w:val="00ED0A7A"/>
    <w:rsid w:val="00ED523B"/>
    <w:rsid w:val="00ED6587"/>
    <w:rsid w:val="00EF68FA"/>
    <w:rsid w:val="00F03702"/>
    <w:rsid w:val="00F10AE7"/>
    <w:rsid w:val="00F2433D"/>
    <w:rsid w:val="00F256EC"/>
    <w:rsid w:val="00F37512"/>
    <w:rsid w:val="00F50BD2"/>
    <w:rsid w:val="00F519AB"/>
    <w:rsid w:val="00F54DE0"/>
    <w:rsid w:val="00F642BE"/>
    <w:rsid w:val="00F64B2C"/>
    <w:rsid w:val="00F707D7"/>
    <w:rsid w:val="00F73D69"/>
    <w:rsid w:val="00F7570F"/>
    <w:rsid w:val="00F80A39"/>
    <w:rsid w:val="00F9025F"/>
    <w:rsid w:val="00FA58FD"/>
    <w:rsid w:val="00FB27B9"/>
    <w:rsid w:val="00FD3B30"/>
    <w:rsid w:val="00FF01B5"/>
    <w:rsid w:val="00FF1B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71D081A"/>
  <w15:chartTrackingRefBased/>
  <w15:docId w15:val="{2D7AEB19-A7D1-4C28-A27B-E2D2E819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35D"/>
  </w:style>
  <w:style w:type="paragraph" w:styleId="Heading1">
    <w:name w:val="heading 1"/>
    <w:basedOn w:val="Normal"/>
    <w:next w:val="Normal"/>
    <w:link w:val="Heading1Char"/>
    <w:uiPriority w:val="9"/>
    <w:qFormat/>
    <w:rsid w:val="006C035D"/>
    <w:pPr>
      <w:keepNext/>
      <w:keepLines/>
      <w:spacing w:before="240" w:after="0"/>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unhideWhenUsed/>
    <w:qFormat/>
    <w:rsid w:val="006C035D"/>
    <w:pPr>
      <w:keepNext/>
      <w:keepLines/>
      <w:spacing w:before="40" w:after="0"/>
      <w:outlineLvl w:val="1"/>
    </w:pPr>
    <w:rPr>
      <w:rFonts w:asciiTheme="majorHAnsi" w:eastAsiaTheme="majorEastAsia" w:hAnsiTheme="majorHAnsi" w:cstheme="majorBidi"/>
      <w:color w:val="374C80" w:themeColor="accent1" w:themeShade="BF"/>
      <w:sz w:val="28"/>
      <w:szCs w:val="28"/>
    </w:rPr>
  </w:style>
  <w:style w:type="paragraph" w:styleId="Heading3">
    <w:name w:val="heading 3"/>
    <w:basedOn w:val="Normal"/>
    <w:next w:val="Normal"/>
    <w:link w:val="Heading3Char"/>
    <w:uiPriority w:val="9"/>
    <w:unhideWhenUsed/>
    <w:qFormat/>
    <w:rsid w:val="006C035D"/>
    <w:pPr>
      <w:keepNext/>
      <w:keepLines/>
      <w:spacing w:before="40" w:after="0"/>
      <w:outlineLvl w:val="2"/>
    </w:pPr>
    <w:rPr>
      <w:rFonts w:asciiTheme="majorHAnsi" w:eastAsiaTheme="majorEastAsia" w:hAnsiTheme="majorHAnsi" w:cstheme="majorBidi"/>
      <w:color w:val="253356" w:themeColor="accent1" w:themeShade="80"/>
      <w:sz w:val="24"/>
      <w:szCs w:val="24"/>
    </w:rPr>
  </w:style>
  <w:style w:type="paragraph" w:styleId="Heading4">
    <w:name w:val="heading 4"/>
    <w:basedOn w:val="Normal"/>
    <w:next w:val="Normal"/>
    <w:link w:val="Heading4Char"/>
    <w:uiPriority w:val="9"/>
    <w:unhideWhenUsed/>
    <w:qFormat/>
    <w:rsid w:val="006C035D"/>
    <w:pPr>
      <w:keepNext/>
      <w:keepLines/>
      <w:spacing w:before="40" w:after="0"/>
      <w:outlineLvl w:val="3"/>
    </w:pPr>
    <w:rPr>
      <w:rFonts w:asciiTheme="majorHAnsi" w:eastAsiaTheme="majorEastAsia" w:hAnsiTheme="majorHAnsi" w:cstheme="majorBidi"/>
      <w:i/>
      <w:iCs/>
      <w:color w:val="374C80" w:themeColor="accent1" w:themeShade="BF"/>
    </w:rPr>
  </w:style>
  <w:style w:type="paragraph" w:styleId="Heading5">
    <w:name w:val="heading 5"/>
    <w:basedOn w:val="Normal"/>
    <w:next w:val="Normal"/>
    <w:link w:val="Heading5Char"/>
    <w:uiPriority w:val="9"/>
    <w:semiHidden/>
    <w:unhideWhenUsed/>
    <w:qFormat/>
    <w:rsid w:val="006C035D"/>
    <w:pPr>
      <w:keepNext/>
      <w:keepLines/>
      <w:spacing w:before="40" w:after="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link w:val="Heading6Char"/>
    <w:uiPriority w:val="9"/>
    <w:semiHidden/>
    <w:unhideWhenUsed/>
    <w:qFormat/>
    <w:rsid w:val="006C035D"/>
    <w:pPr>
      <w:keepNext/>
      <w:keepLines/>
      <w:spacing w:before="40" w:after="0"/>
      <w:outlineLvl w:val="5"/>
    </w:pPr>
    <w:rPr>
      <w:rFonts w:asciiTheme="majorHAnsi" w:eastAsiaTheme="majorEastAsia" w:hAnsiTheme="majorHAnsi" w:cstheme="majorBidi"/>
      <w:color w:val="253356" w:themeColor="accent1" w:themeShade="80"/>
    </w:rPr>
  </w:style>
  <w:style w:type="paragraph" w:styleId="Heading7">
    <w:name w:val="heading 7"/>
    <w:basedOn w:val="Normal"/>
    <w:next w:val="Normal"/>
    <w:link w:val="Heading7Char"/>
    <w:uiPriority w:val="9"/>
    <w:semiHidden/>
    <w:unhideWhenUsed/>
    <w:qFormat/>
    <w:rsid w:val="006C035D"/>
    <w:pPr>
      <w:keepNext/>
      <w:keepLines/>
      <w:spacing w:before="40" w:after="0"/>
      <w:outlineLvl w:val="6"/>
    </w:pPr>
    <w:rPr>
      <w:rFonts w:asciiTheme="majorHAnsi" w:eastAsiaTheme="majorEastAsia" w:hAnsiTheme="majorHAnsi" w:cstheme="majorBidi"/>
      <w:i/>
      <w:iCs/>
      <w:color w:val="253356" w:themeColor="accent1" w:themeShade="80"/>
    </w:rPr>
  </w:style>
  <w:style w:type="paragraph" w:styleId="Heading8">
    <w:name w:val="heading 8"/>
    <w:basedOn w:val="Normal"/>
    <w:next w:val="Normal"/>
    <w:link w:val="Heading8Char"/>
    <w:uiPriority w:val="9"/>
    <w:semiHidden/>
    <w:unhideWhenUsed/>
    <w:qFormat/>
    <w:rsid w:val="006C035D"/>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6C035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2C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CAF"/>
  </w:style>
  <w:style w:type="paragraph" w:styleId="Footer">
    <w:name w:val="footer"/>
    <w:basedOn w:val="Normal"/>
    <w:link w:val="FooterChar"/>
    <w:uiPriority w:val="99"/>
    <w:unhideWhenUsed/>
    <w:rsid w:val="00D72C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CAF"/>
  </w:style>
  <w:style w:type="paragraph" w:styleId="Title">
    <w:name w:val="Title"/>
    <w:basedOn w:val="Normal"/>
    <w:next w:val="Normal"/>
    <w:link w:val="TitleChar"/>
    <w:qFormat/>
    <w:rsid w:val="006C035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C035D"/>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6C035D"/>
    <w:rPr>
      <w:rFonts w:asciiTheme="majorHAnsi" w:eastAsiaTheme="majorEastAsia" w:hAnsiTheme="majorHAnsi" w:cstheme="majorBidi"/>
      <w:color w:val="374C80" w:themeColor="accent1" w:themeShade="BF"/>
      <w:sz w:val="32"/>
      <w:szCs w:val="32"/>
    </w:rPr>
  </w:style>
  <w:style w:type="character" w:customStyle="1" w:styleId="Heading2Char">
    <w:name w:val="Heading 2 Char"/>
    <w:basedOn w:val="DefaultParagraphFont"/>
    <w:link w:val="Heading2"/>
    <w:uiPriority w:val="9"/>
    <w:rsid w:val="006C035D"/>
    <w:rPr>
      <w:rFonts w:asciiTheme="majorHAnsi" w:eastAsiaTheme="majorEastAsia" w:hAnsiTheme="majorHAnsi" w:cstheme="majorBidi"/>
      <w:color w:val="374C80" w:themeColor="accent1" w:themeShade="BF"/>
      <w:sz w:val="28"/>
      <w:szCs w:val="28"/>
    </w:rPr>
  </w:style>
  <w:style w:type="character" w:customStyle="1" w:styleId="Heading3Char">
    <w:name w:val="Heading 3 Char"/>
    <w:basedOn w:val="DefaultParagraphFont"/>
    <w:link w:val="Heading3"/>
    <w:uiPriority w:val="9"/>
    <w:rsid w:val="006C035D"/>
    <w:rPr>
      <w:rFonts w:asciiTheme="majorHAnsi" w:eastAsiaTheme="majorEastAsia" w:hAnsiTheme="majorHAnsi" w:cstheme="majorBidi"/>
      <w:color w:val="253356" w:themeColor="accent1" w:themeShade="80"/>
      <w:sz w:val="24"/>
      <w:szCs w:val="24"/>
    </w:rPr>
  </w:style>
  <w:style w:type="character" w:customStyle="1" w:styleId="Heading4Char">
    <w:name w:val="Heading 4 Char"/>
    <w:basedOn w:val="DefaultParagraphFont"/>
    <w:link w:val="Heading4"/>
    <w:uiPriority w:val="9"/>
    <w:rsid w:val="006C035D"/>
    <w:rPr>
      <w:rFonts w:asciiTheme="majorHAnsi" w:eastAsiaTheme="majorEastAsia" w:hAnsiTheme="majorHAnsi" w:cstheme="majorBidi"/>
      <w:i/>
      <w:iCs/>
      <w:color w:val="374C80" w:themeColor="accent1" w:themeShade="BF"/>
    </w:rPr>
  </w:style>
  <w:style w:type="character" w:customStyle="1" w:styleId="Heading5Char">
    <w:name w:val="Heading 5 Char"/>
    <w:basedOn w:val="DefaultParagraphFont"/>
    <w:link w:val="Heading5"/>
    <w:uiPriority w:val="9"/>
    <w:semiHidden/>
    <w:rsid w:val="006C035D"/>
    <w:rPr>
      <w:rFonts w:asciiTheme="majorHAnsi" w:eastAsiaTheme="majorEastAsia" w:hAnsiTheme="majorHAnsi" w:cstheme="majorBidi"/>
      <w:color w:val="374C80" w:themeColor="accent1" w:themeShade="BF"/>
    </w:rPr>
  </w:style>
  <w:style w:type="character" w:customStyle="1" w:styleId="Heading6Char">
    <w:name w:val="Heading 6 Char"/>
    <w:basedOn w:val="DefaultParagraphFont"/>
    <w:link w:val="Heading6"/>
    <w:uiPriority w:val="9"/>
    <w:semiHidden/>
    <w:rsid w:val="006C035D"/>
    <w:rPr>
      <w:rFonts w:asciiTheme="majorHAnsi" w:eastAsiaTheme="majorEastAsia" w:hAnsiTheme="majorHAnsi" w:cstheme="majorBidi"/>
      <w:color w:val="253356" w:themeColor="accent1" w:themeShade="80"/>
    </w:rPr>
  </w:style>
  <w:style w:type="character" w:customStyle="1" w:styleId="Heading7Char">
    <w:name w:val="Heading 7 Char"/>
    <w:basedOn w:val="DefaultParagraphFont"/>
    <w:link w:val="Heading7"/>
    <w:uiPriority w:val="9"/>
    <w:semiHidden/>
    <w:rsid w:val="006C035D"/>
    <w:rPr>
      <w:rFonts w:asciiTheme="majorHAnsi" w:eastAsiaTheme="majorEastAsia" w:hAnsiTheme="majorHAnsi" w:cstheme="majorBidi"/>
      <w:i/>
      <w:iCs/>
      <w:color w:val="253356" w:themeColor="accent1" w:themeShade="80"/>
    </w:rPr>
  </w:style>
  <w:style w:type="character" w:customStyle="1" w:styleId="Heading8Char">
    <w:name w:val="Heading 8 Char"/>
    <w:basedOn w:val="DefaultParagraphFont"/>
    <w:link w:val="Heading8"/>
    <w:uiPriority w:val="9"/>
    <w:semiHidden/>
    <w:rsid w:val="006C035D"/>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6C035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6C035D"/>
    <w:pPr>
      <w:spacing w:after="200" w:line="240" w:lineRule="auto"/>
    </w:pPr>
    <w:rPr>
      <w:i/>
      <w:iCs/>
      <w:color w:val="242852" w:themeColor="text2"/>
      <w:sz w:val="18"/>
      <w:szCs w:val="18"/>
    </w:rPr>
  </w:style>
  <w:style w:type="paragraph" w:styleId="Subtitle">
    <w:name w:val="Subtitle"/>
    <w:basedOn w:val="Normal"/>
    <w:next w:val="Normal"/>
    <w:link w:val="SubtitleChar"/>
    <w:uiPriority w:val="11"/>
    <w:qFormat/>
    <w:rsid w:val="006C035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C035D"/>
    <w:rPr>
      <w:color w:val="5A5A5A" w:themeColor="text1" w:themeTint="A5"/>
      <w:spacing w:val="15"/>
    </w:rPr>
  </w:style>
  <w:style w:type="character" w:styleId="Strong">
    <w:name w:val="Strong"/>
    <w:basedOn w:val="DefaultParagraphFont"/>
    <w:uiPriority w:val="22"/>
    <w:qFormat/>
    <w:rsid w:val="006C035D"/>
    <w:rPr>
      <w:b/>
      <w:bCs/>
      <w:color w:val="auto"/>
    </w:rPr>
  </w:style>
  <w:style w:type="character" w:styleId="Emphasis">
    <w:name w:val="Emphasis"/>
    <w:basedOn w:val="DefaultParagraphFont"/>
    <w:uiPriority w:val="20"/>
    <w:qFormat/>
    <w:rsid w:val="006C035D"/>
    <w:rPr>
      <w:i/>
      <w:iCs/>
      <w:color w:val="auto"/>
    </w:rPr>
  </w:style>
  <w:style w:type="paragraph" w:styleId="NoSpacing">
    <w:name w:val="No Spacing"/>
    <w:uiPriority w:val="1"/>
    <w:qFormat/>
    <w:rsid w:val="006C035D"/>
    <w:pPr>
      <w:spacing w:after="0" w:line="240" w:lineRule="auto"/>
    </w:pPr>
  </w:style>
  <w:style w:type="paragraph" w:styleId="Quote">
    <w:name w:val="Quote"/>
    <w:basedOn w:val="Normal"/>
    <w:next w:val="Normal"/>
    <w:link w:val="QuoteChar"/>
    <w:uiPriority w:val="29"/>
    <w:qFormat/>
    <w:rsid w:val="006C035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C035D"/>
    <w:rPr>
      <w:i/>
      <w:iCs/>
      <w:color w:val="404040" w:themeColor="text1" w:themeTint="BF"/>
    </w:rPr>
  </w:style>
  <w:style w:type="paragraph" w:styleId="IntenseQuote">
    <w:name w:val="Intense Quote"/>
    <w:basedOn w:val="Normal"/>
    <w:next w:val="Normal"/>
    <w:link w:val="IntenseQuoteChar"/>
    <w:uiPriority w:val="30"/>
    <w:qFormat/>
    <w:rsid w:val="006C035D"/>
    <w:pPr>
      <w:pBdr>
        <w:top w:val="single" w:sz="4" w:space="10" w:color="4A66AC" w:themeColor="accent1"/>
        <w:bottom w:val="single" w:sz="4" w:space="10" w:color="4A66AC" w:themeColor="accent1"/>
      </w:pBdr>
      <w:spacing w:before="360" w:after="360"/>
      <w:ind w:left="864" w:right="864"/>
      <w:jc w:val="center"/>
    </w:pPr>
    <w:rPr>
      <w:i/>
      <w:iCs/>
      <w:color w:val="4A66AC" w:themeColor="accent1"/>
    </w:rPr>
  </w:style>
  <w:style w:type="character" w:customStyle="1" w:styleId="IntenseQuoteChar">
    <w:name w:val="Intense Quote Char"/>
    <w:basedOn w:val="DefaultParagraphFont"/>
    <w:link w:val="IntenseQuote"/>
    <w:uiPriority w:val="30"/>
    <w:rsid w:val="006C035D"/>
    <w:rPr>
      <w:i/>
      <w:iCs/>
      <w:color w:val="4A66AC" w:themeColor="accent1"/>
    </w:rPr>
  </w:style>
  <w:style w:type="character" w:styleId="SubtleEmphasis">
    <w:name w:val="Subtle Emphasis"/>
    <w:basedOn w:val="DefaultParagraphFont"/>
    <w:uiPriority w:val="19"/>
    <w:qFormat/>
    <w:rsid w:val="006C035D"/>
    <w:rPr>
      <w:i/>
      <w:iCs/>
      <w:color w:val="404040" w:themeColor="text1" w:themeTint="BF"/>
    </w:rPr>
  </w:style>
  <w:style w:type="character" w:styleId="IntenseEmphasis">
    <w:name w:val="Intense Emphasis"/>
    <w:basedOn w:val="DefaultParagraphFont"/>
    <w:uiPriority w:val="21"/>
    <w:qFormat/>
    <w:rsid w:val="006C035D"/>
    <w:rPr>
      <w:i/>
      <w:iCs/>
      <w:color w:val="4A66AC" w:themeColor="accent1"/>
    </w:rPr>
  </w:style>
  <w:style w:type="character" w:styleId="SubtleReference">
    <w:name w:val="Subtle Reference"/>
    <w:basedOn w:val="DefaultParagraphFont"/>
    <w:uiPriority w:val="31"/>
    <w:qFormat/>
    <w:rsid w:val="006C035D"/>
    <w:rPr>
      <w:smallCaps/>
      <w:color w:val="404040" w:themeColor="text1" w:themeTint="BF"/>
    </w:rPr>
  </w:style>
  <w:style w:type="character" w:styleId="IntenseReference">
    <w:name w:val="Intense Reference"/>
    <w:basedOn w:val="DefaultParagraphFont"/>
    <w:uiPriority w:val="32"/>
    <w:qFormat/>
    <w:rsid w:val="006C035D"/>
    <w:rPr>
      <w:b/>
      <w:bCs/>
      <w:smallCaps/>
      <w:color w:val="4A66AC" w:themeColor="accent1"/>
      <w:spacing w:val="5"/>
    </w:rPr>
  </w:style>
  <w:style w:type="character" w:styleId="BookTitle">
    <w:name w:val="Book Title"/>
    <w:basedOn w:val="DefaultParagraphFont"/>
    <w:uiPriority w:val="33"/>
    <w:qFormat/>
    <w:rsid w:val="006C035D"/>
    <w:rPr>
      <w:b/>
      <w:bCs/>
      <w:i/>
      <w:iCs/>
      <w:spacing w:val="5"/>
    </w:rPr>
  </w:style>
  <w:style w:type="paragraph" w:styleId="TOCHeading">
    <w:name w:val="TOC Heading"/>
    <w:basedOn w:val="Heading1"/>
    <w:next w:val="Normal"/>
    <w:uiPriority w:val="39"/>
    <w:semiHidden/>
    <w:unhideWhenUsed/>
    <w:qFormat/>
    <w:rsid w:val="006C035D"/>
    <w:pPr>
      <w:outlineLvl w:val="9"/>
    </w:pPr>
  </w:style>
  <w:style w:type="paragraph" w:styleId="ListParagraph">
    <w:name w:val="List Paragraph"/>
    <w:basedOn w:val="Normal"/>
    <w:uiPriority w:val="34"/>
    <w:qFormat/>
    <w:rsid w:val="00B12664"/>
    <w:pPr>
      <w:ind w:left="720"/>
      <w:contextualSpacing/>
    </w:pPr>
  </w:style>
  <w:style w:type="table" w:styleId="TableGrid">
    <w:name w:val="Table Grid"/>
    <w:basedOn w:val="TableNormal"/>
    <w:uiPriority w:val="39"/>
    <w:rsid w:val="00274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50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50D3"/>
    <w:rPr>
      <w:rFonts w:ascii="Segoe UI" w:hAnsi="Segoe UI" w:cs="Segoe UI"/>
      <w:sz w:val="18"/>
      <w:szCs w:val="18"/>
    </w:rPr>
  </w:style>
  <w:style w:type="character" w:styleId="CommentReference">
    <w:name w:val="annotation reference"/>
    <w:basedOn w:val="DefaultParagraphFont"/>
    <w:uiPriority w:val="99"/>
    <w:semiHidden/>
    <w:unhideWhenUsed/>
    <w:rsid w:val="007569CF"/>
    <w:rPr>
      <w:sz w:val="16"/>
      <w:szCs w:val="16"/>
    </w:rPr>
  </w:style>
  <w:style w:type="paragraph" w:styleId="CommentText">
    <w:name w:val="annotation text"/>
    <w:basedOn w:val="Normal"/>
    <w:link w:val="CommentTextChar"/>
    <w:uiPriority w:val="99"/>
    <w:semiHidden/>
    <w:unhideWhenUsed/>
    <w:rsid w:val="007569CF"/>
    <w:pPr>
      <w:spacing w:line="240" w:lineRule="auto"/>
    </w:pPr>
    <w:rPr>
      <w:sz w:val="20"/>
      <w:szCs w:val="20"/>
    </w:rPr>
  </w:style>
  <w:style w:type="character" w:customStyle="1" w:styleId="CommentTextChar">
    <w:name w:val="Comment Text Char"/>
    <w:basedOn w:val="DefaultParagraphFont"/>
    <w:link w:val="CommentText"/>
    <w:uiPriority w:val="99"/>
    <w:semiHidden/>
    <w:rsid w:val="007569CF"/>
    <w:rPr>
      <w:sz w:val="20"/>
      <w:szCs w:val="20"/>
    </w:rPr>
  </w:style>
  <w:style w:type="paragraph" w:styleId="CommentSubject">
    <w:name w:val="annotation subject"/>
    <w:basedOn w:val="CommentText"/>
    <w:next w:val="CommentText"/>
    <w:link w:val="CommentSubjectChar"/>
    <w:uiPriority w:val="99"/>
    <w:semiHidden/>
    <w:unhideWhenUsed/>
    <w:rsid w:val="007569CF"/>
    <w:rPr>
      <w:b/>
      <w:bCs/>
    </w:rPr>
  </w:style>
  <w:style w:type="character" w:customStyle="1" w:styleId="CommentSubjectChar">
    <w:name w:val="Comment Subject Char"/>
    <w:basedOn w:val="CommentTextChar"/>
    <w:link w:val="CommentSubject"/>
    <w:uiPriority w:val="99"/>
    <w:semiHidden/>
    <w:rsid w:val="007569CF"/>
    <w:rPr>
      <w:b/>
      <w:bCs/>
      <w:sz w:val="20"/>
      <w:szCs w:val="20"/>
    </w:rPr>
  </w:style>
  <w:style w:type="character" w:styleId="Hyperlink">
    <w:name w:val="Hyperlink"/>
    <w:rsid w:val="00DF660A"/>
    <w:rPr>
      <w:color w:val="0000FF"/>
      <w:u w:val="single"/>
    </w:rPr>
  </w:style>
  <w:style w:type="paragraph" w:styleId="BodyText">
    <w:name w:val="Body Text"/>
    <w:basedOn w:val="Normal"/>
    <w:link w:val="BodyTextChar"/>
    <w:rsid w:val="00492B30"/>
    <w:pPr>
      <w:spacing w:before="60" w:after="0" w:line="240" w:lineRule="auto"/>
    </w:pPr>
    <w:rPr>
      <w:rFonts w:ascii="Arial" w:eastAsia="Times New Roman" w:hAnsi="Arial" w:cs="Times New Roman"/>
      <w:szCs w:val="26"/>
      <w:lang w:val="x-none"/>
    </w:rPr>
  </w:style>
  <w:style w:type="character" w:customStyle="1" w:styleId="BodyTextChar">
    <w:name w:val="Body Text Char"/>
    <w:basedOn w:val="DefaultParagraphFont"/>
    <w:link w:val="BodyText"/>
    <w:rsid w:val="00492B30"/>
    <w:rPr>
      <w:rFonts w:ascii="Arial" w:eastAsia="Times New Roman" w:hAnsi="Arial" w:cs="Times New Roman"/>
      <w:szCs w:val="26"/>
      <w:lang w:val="x-none"/>
    </w:rPr>
  </w:style>
  <w:style w:type="character" w:styleId="FollowedHyperlink">
    <w:name w:val="FollowedHyperlink"/>
    <w:basedOn w:val="DefaultParagraphFont"/>
    <w:uiPriority w:val="99"/>
    <w:semiHidden/>
    <w:unhideWhenUsed/>
    <w:rsid w:val="0038344D"/>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esgov@accord.sco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A@accord.sco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25B9B631FEA04B8B03323AC2E120F3" ma:contentTypeVersion="10" ma:contentTypeDescription="Create a new document." ma:contentTypeScope="" ma:versionID="a2b0ea440e7439b88ec136a0e4d67013">
  <xsd:schema xmlns:xsd="http://www.w3.org/2001/XMLSchema" xmlns:xs="http://www.w3.org/2001/XMLSchema" xmlns:p="http://schemas.microsoft.com/office/2006/metadata/properties" xmlns:ns2="de808f86-c796-4bf8-8c08-4f0d8d845945" xmlns:ns3="e9a5a534-d80e-4429-8569-37d59b1d7518" targetNamespace="http://schemas.microsoft.com/office/2006/metadata/properties" ma:root="true" ma:fieldsID="31411b995a19d2f23b33453e0b27245b" ns2:_="" ns3:_="">
    <xsd:import namespace="de808f86-c796-4bf8-8c08-4f0d8d845945"/>
    <xsd:import namespace="e9a5a534-d80e-4429-8569-37d59b1d75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808f86-c796-4bf8-8c08-4f0d8d845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a5a534-d80e-4429-8569-37d59b1d7518"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0E0AB-A930-4116-A8C7-B3F4BFAB8CC2}">
  <ds:schemaRefs>
    <ds:schemaRef ds:uri="http://schemas.microsoft.com/sharepoint/v3/contenttype/forms"/>
  </ds:schemaRefs>
</ds:datastoreItem>
</file>

<file path=customXml/itemProps2.xml><?xml version="1.0" encoding="utf-8"?>
<ds:datastoreItem xmlns:ds="http://schemas.openxmlformats.org/officeDocument/2006/customXml" ds:itemID="{66987812-F2AB-4724-BF3B-7AFF3421E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808f86-c796-4bf8-8c08-4f0d8d845945"/>
    <ds:schemaRef ds:uri="e9a5a534-d80e-4429-8569-37d59b1d75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33F8CC-B176-402C-B34A-BA2473565F53}">
  <ds:schemaRefs>
    <ds:schemaRef ds:uri="e9a5a534-d80e-4429-8569-37d59b1d7518"/>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de808f86-c796-4bf8-8c08-4f0d8d845945"/>
    <ds:schemaRef ds:uri="http://schemas.microsoft.com/office/2006/metadata/properties"/>
    <ds:schemaRef ds:uri="http://purl.org/dc/terms/"/>
    <ds:schemaRef ds:uri="http://schemas.openxmlformats.org/package/2006/metadata/core-properties"/>
  </ds:schemaRefs>
</ds:datastoreItem>
</file>

<file path=customXml/itemProps4.xml><?xml version="1.0" encoding="utf-8"?>
<ds:datastoreItem xmlns:ds="http://schemas.openxmlformats.org/officeDocument/2006/customXml" ds:itemID="{C0986EEC-D6E7-4DDA-9E93-2722EAC7F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17186</Words>
  <Characters>97963</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114920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MCWHIRTER Laura</dc:creator>
  <cp:keywords/>
  <dc:description/>
  <cp:lastModifiedBy>MCWHIRTER Laura</cp:lastModifiedBy>
  <cp:revision>4</cp:revision>
  <cp:lastPrinted>2018-11-23T00:57:00Z</cp:lastPrinted>
  <dcterms:created xsi:type="dcterms:W3CDTF">2019-03-26T12:10:00Z</dcterms:created>
  <dcterms:modified xsi:type="dcterms:W3CDTF">2019-04-12T10:25:00Z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a64f82eb-9ed0-365f-92fe-de1ef120c9dc</vt:lpwstr>
  </property>
  <property fmtid="{D5CDD505-2E9C-101B-9397-08002B2CF9AE}" pid="24" name="Mendeley Citation Style_1">
    <vt:lpwstr>http://www.zotero.org/styles/apa</vt:lpwstr>
  </property>
  <property fmtid="{D5CDD505-2E9C-101B-9397-08002B2CF9AE}" pid="25" name="ContentTypeId">
    <vt:lpwstr>0x010100E525B9B631FEA04B8B03323AC2E120F3</vt:lpwstr>
  </property>
</Properties>
</file>