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AA9" w:rsidRPr="00504E8E" w:rsidRDefault="00D42AA9" w:rsidP="00D42AA9">
      <w:pPr>
        <w:pStyle w:val="NormalWeb"/>
      </w:pPr>
      <w:r w:rsidRPr="00504E8E">
        <w:rPr>
          <w:b/>
          <w:bCs/>
        </w:rPr>
        <w:t>Purpose:</w:t>
      </w:r>
    </w:p>
    <w:p w:rsidR="00D42AA9" w:rsidRPr="00504E8E" w:rsidRDefault="00D42AA9" w:rsidP="00D42AA9">
      <w:pPr>
        <w:pStyle w:val="NormalWeb"/>
        <w:jc w:val="both"/>
      </w:pPr>
      <w:r w:rsidRPr="00504E8E">
        <w:t>We have made th</w:t>
      </w:r>
      <w:r w:rsidRPr="00504E8E">
        <w:t>e observation that soil and grass samples from nutrient hotspots and controls are not the same.</w:t>
      </w:r>
      <w:r w:rsidRPr="00504E8E">
        <w:t xml:space="preserve"> We have come up with the following hypothesis: Nutrient </w:t>
      </w:r>
      <w:r w:rsidRPr="00504E8E">
        <w:t xml:space="preserve">contents </w:t>
      </w:r>
      <w:proofErr w:type="spellStart"/>
      <w:r w:rsidRPr="00504E8E">
        <w:t>ie</w:t>
      </w:r>
      <w:proofErr w:type="spellEnd"/>
      <w:r w:rsidRPr="00504E8E">
        <w:t xml:space="preserve"> Nitrogen (N) and Phosphorus (P) in nutrient hotspots </w:t>
      </w:r>
      <w:proofErr w:type="spellStart"/>
      <w:r w:rsidRPr="00504E8E">
        <w:t>ie</w:t>
      </w:r>
      <w:proofErr w:type="spellEnd"/>
      <w:r w:rsidRPr="00504E8E">
        <w:t xml:space="preserve"> termite mounds and grazing lawns is higher than their surroundings</w:t>
      </w:r>
      <w:r w:rsidRPr="00504E8E">
        <w:t>.</w:t>
      </w:r>
    </w:p>
    <w:p w:rsidR="00D42AA9" w:rsidRPr="00504E8E" w:rsidRDefault="00D42AA9" w:rsidP="00D42AA9">
      <w:pPr>
        <w:pStyle w:val="NormalWeb"/>
      </w:pPr>
      <w:r w:rsidRPr="00504E8E">
        <w:rPr>
          <w:b/>
          <w:bCs/>
        </w:rPr>
        <w:t>Materials:</w:t>
      </w:r>
    </w:p>
    <w:p w:rsidR="00D42AA9" w:rsidRPr="00504E8E" w:rsidRDefault="00D42AA9" w:rsidP="00D42AA9">
      <w:pPr>
        <w:pStyle w:val="NormalWeb"/>
        <w:jc w:val="both"/>
      </w:pPr>
      <w:r w:rsidRPr="00504E8E">
        <w:t>A total of 101 grass samples collected from 10 termite mounds, 10 non termite mounds (controls), 6 grazing lawns, 6 non grazing lawns (controls), 30 pots containing and fertilizing experiment plots. Further we had a total of 24 soil samples collected from hotspot and non-hotspot areas.</w:t>
      </w:r>
    </w:p>
    <w:p w:rsidR="00D42AA9" w:rsidRPr="00504E8E" w:rsidRDefault="00D42AA9" w:rsidP="00D42AA9">
      <w:pPr>
        <w:pStyle w:val="NormalWeb"/>
      </w:pPr>
      <w:r w:rsidRPr="00504E8E">
        <w:rPr>
          <w:b/>
          <w:bCs/>
        </w:rPr>
        <w:t>Methods:</w:t>
      </w:r>
    </w:p>
    <w:p w:rsidR="00D42AA9" w:rsidRPr="00504E8E" w:rsidRDefault="004B18F8" w:rsidP="004B18F8">
      <w:pPr>
        <w:pStyle w:val="NormalWeb"/>
        <w:numPr>
          <w:ilvl w:val="0"/>
          <w:numId w:val="1"/>
        </w:numPr>
        <w:rPr>
          <w:shd w:val="clear" w:color="auto" w:fill="FFFFFF"/>
        </w:rPr>
      </w:pPr>
      <w:r w:rsidRPr="00504E8E">
        <w:rPr>
          <w:shd w:val="clear" w:color="auto" w:fill="FFFFFF"/>
        </w:rPr>
        <w:t>Total N:</w:t>
      </w:r>
      <w:r w:rsidRPr="00504E8E">
        <w:br/>
      </w:r>
      <w:r w:rsidRPr="00504E8E">
        <w:br/>
      </w:r>
      <w:r w:rsidRPr="00504E8E">
        <w:rPr>
          <w:shd w:val="clear" w:color="auto" w:fill="FFFFFF"/>
        </w:rPr>
        <w:t>T</w:t>
      </w:r>
      <w:r w:rsidR="00504E8E">
        <w:rPr>
          <w:shd w:val="clear" w:color="auto" w:fill="FFFFFF"/>
        </w:rPr>
        <w:t>otal nitrogen was</w:t>
      </w:r>
      <w:r w:rsidRPr="00504E8E">
        <w:rPr>
          <w:shd w:val="clear" w:color="auto" w:fill="FFFFFF"/>
        </w:rPr>
        <w:t xml:space="preserve"> determined by dry combustion (elementary analysis)</w:t>
      </w:r>
      <w:r w:rsidRPr="00504E8E">
        <w:t xml:space="preserve"> </w:t>
      </w:r>
      <w:r w:rsidRPr="00504E8E">
        <w:rPr>
          <w:shd w:val="clear" w:color="auto" w:fill="FFFFFF"/>
        </w:rPr>
        <w:t xml:space="preserve">using an </w:t>
      </w:r>
      <w:r w:rsidRPr="00504E8E">
        <w:rPr>
          <w:shd w:val="clear" w:color="auto" w:fill="FFFFFF"/>
        </w:rPr>
        <w:t xml:space="preserve">elemental </w:t>
      </w:r>
      <w:proofErr w:type="spellStart"/>
      <w:r w:rsidRPr="00504E8E">
        <w:rPr>
          <w:shd w:val="clear" w:color="auto" w:fill="FFFFFF"/>
        </w:rPr>
        <w:t>analyser</w:t>
      </w:r>
      <w:proofErr w:type="spellEnd"/>
      <w:r w:rsidRPr="00504E8E">
        <w:rPr>
          <w:shd w:val="clear" w:color="auto" w:fill="FFFFFF"/>
        </w:rPr>
        <w:t xml:space="preserve"> (</w:t>
      </w:r>
      <w:proofErr w:type="spellStart"/>
      <w:r w:rsidRPr="00504E8E">
        <w:rPr>
          <w:shd w:val="clear" w:color="auto" w:fill="FFFFFF"/>
        </w:rPr>
        <w:t>Vario</w:t>
      </w:r>
      <w:proofErr w:type="spellEnd"/>
      <w:r w:rsidRPr="00504E8E">
        <w:rPr>
          <w:shd w:val="clear" w:color="auto" w:fill="FFFFFF"/>
        </w:rPr>
        <w:t xml:space="preserve"> EL, </w:t>
      </w:r>
      <w:proofErr w:type="spellStart"/>
      <w:r w:rsidRPr="00504E8E">
        <w:rPr>
          <w:shd w:val="clear" w:color="auto" w:fill="FFFFFF"/>
        </w:rPr>
        <w:t>Elementar</w:t>
      </w:r>
      <w:proofErr w:type="spellEnd"/>
      <w:r w:rsidRPr="00504E8E">
        <w:rPr>
          <w:shd w:val="clear" w:color="auto" w:fill="FFFFFF"/>
        </w:rPr>
        <w:t>, Germany; ISO 13878</w:t>
      </w:r>
      <w:r w:rsidRPr="00504E8E">
        <w:br/>
      </w:r>
      <w:r w:rsidRPr="00504E8E">
        <w:rPr>
          <w:shd w:val="clear" w:color="auto" w:fill="FFFFFF"/>
        </w:rPr>
        <w:t>Soil quality - Determination of total nitrogen content by dry</w:t>
      </w:r>
      <w:r w:rsidRPr="00504E8E">
        <w:t xml:space="preserve"> </w:t>
      </w:r>
      <w:r w:rsidRPr="00504E8E">
        <w:rPr>
          <w:shd w:val="clear" w:color="auto" w:fill="FFFFFF"/>
        </w:rPr>
        <w:t>co</w:t>
      </w:r>
      <w:r w:rsidRPr="00504E8E">
        <w:rPr>
          <w:shd w:val="clear" w:color="auto" w:fill="FFFFFF"/>
        </w:rPr>
        <w:t>mbustion ("elemental analysis")</w:t>
      </w:r>
      <w:r w:rsidRPr="00504E8E">
        <w:rPr>
          <w:shd w:val="clear" w:color="auto" w:fill="FFFFFF"/>
        </w:rPr>
        <w:t>.</w:t>
      </w:r>
    </w:p>
    <w:p w:rsidR="004B18F8" w:rsidRPr="00504E8E" w:rsidRDefault="004B18F8" w:rsidP="004B18F8">
      <w:pPr>
        <w:pStyle w:val="NormalWeb"/>
        <w:numPr>
          <w:ilvl w:val="0"/>
          <w:numId w:val="1"/>
        </w:numPr>
      </w:pPr>
      <w:r w:rsidRPr="00504E8E">
        <w:rPr>
          <w:shd w:val="clear" w:color="auto" w:fill="FFFFFF"/>
        </w:rPr>
        <w:t>Total P content</w:t>
      </w:r>
      <w:r w:rsidRPr="00504E8E">
        <w:br/>
      </w:r>
      <w:r w:rsidRPr="00504E8E">
        <w:br/>
      </w:r>
      <w:r w:rsidRPr="00504E8E">
        <w:rPr>
          <w:shd w:val="clear" w:color="auto" w:fill="FFFFFF"/>
        </w:rPr>
        <w:t>2.1) plant samples:</w:t>
      </w:r>
      <w:r w:rsidRPr="00504E8E">
        <w:br/>
      </w:r>
      <w:r w:rsidRPr="00504E8E">
        <w:rPr>
          <w:shd w:val="clear" w:color="auto" w:fill="FFFFFF"/>
        </w:rPr>
        <w:t>Pressure digestion with nitric acid in quartz vessels (200 mg sample/</w:t>
      </w:r>
      <w:r w:rsidRPr="00504E8E">
        <w:br/>
      </w:r>
      <w:r w:rsidRPr="00504E8E">
        <w:rPr>
          <w:shd w:val="clear" w:color="auto" w:fill="FFFFFF"/>
        </w:rPr>
        <w:t>5 ml nitric acid, 220°C, 100 bar, 20 minutes) in a microwave-heated</w:t>
      </w:r>
      <w:r w:rsidRPr="00504E8E">
        <w:br/>
      </w:r>
      <w:r w:rsidRPr="00504E8E">
        <w:rPr>
          <w:shd w:val="clear" w:color="auto" w:fill="FFFFFF"/>
        </w:rPr>
        <w:t>high pressure digestion system (Ultra Clave II, MLS GmbH, Germany).</w:t>
      </w:r>
    </w:p>
    <w:p w:rsidR="004B18F8" w:rsidRPr="00504E8E" w:rsidRDefault="004B18F8" w:rsidP="004B18F8">
      <w:pPr>
        <w:pStyle w:val="NormalWeb"/>
        <w:numPr>
          <w:ilvl w:val="0"/>
          <w:numId w:val="1"/>
        </w:numPr>
      </w:pPr>
      <w:r w:rsidRPr="00504E8E">
        <w:rPr>
          <w:shd w:val="clear" w:color="auto" w:fill="FFFFFF"/>
        </w:rPr>
        <w:t>2.2) Total P content soil samples:</w:t>
      </w:r>
      <w:r w:rsidRPr="00504E8E">
        <w:br/>
      </w:r>
      <w:r w:rsidR="00504E8E">
        <w:rPr>
          <w:shd w:val="clear" w:color="auto" w:fill="FFFFFF"/>
        </w:rPr>
        <w:t>The sample (3 g) was</w:t>
      </w:r>
      <w:r w:rsidRPr="00504E8E">
        <w:rPr>
          <w:shd w:val="clear" w:color="auto" w:fill="FFFFFF"/>
        </w:rPr>
        <w:t xml:space="preserve"> weig</w:t>
      </w:r>
      <w:r w:rsidR="00504E8E">
        <w:rPr>
          <w:shd w:val="clear" w:color="auto" w:fill="FFFFFF"/>
        </w:rPr>
        <w:t>hed</w:t>
      </w:r>
      <w:r w:rsidRPr="00504E8E">
        <w:rPr>
          <w:shd w:val="clear" w:color="auto" w:fill="FFFFFF"/>
        </w:rPr>
        <w:t xml:space="preserve"> into a quartz digestion tube and a mixture</w:t>
      </w:r>
      <w:r w:rsidRPr="00504E8E">
        <w:br/>
      </w:r>
      <w:r w:rsidRPr="00504E8E">
        <w:rPr>
          <w:shd w:val="clear" w:color="auto" w:fill="FFFFFF"/>
        </w:rPr>
        <w:t xml:space="preserve">(aqua </w:t>
      </w:r>
      <w:proofErr w:type="spellStart"/>
      <w:r w:rsidRPr="00504E8E">
        <w:rPr>
          <w:shd w:val="clear" w:color="auto" w:fill="FFFFFF"/>
        </w:rPr>
        <w:t>regia</w:t>
      </w:r>
      <w:proofErr w:type="spellEnd"/>
      <w:r w:rsidRPr="00504E8E">
        <w:rPr>
          <w:shd w:val="clear" w:color="auto" w:fill="FFFFFF"/>
        </w:rPr>
        <w:t xml:space="preserve">) of </w:t>
      </w:r>
      <w:proofErr w:type="spellStart"/>
      <w:r w:rsidRPr="00504E8E">
        <w:rPr>
          <w:shd w:val="clear" w:color="auto" w:fill="FFFFFF"/>
        </w:rPr>
        <w:t>HCl</w:t>
      </w:r>
      <w:proofErr w:type="spellEnd"/>
      <w:r w:rsidRPr="00504E8E">
        <w:rPr>
          <w:shd w:val="clear" w:color="auto" w:fill="FFFFFF"/>
        </w:rPr>
        <w:t xml:space="preserve"> (37%) and HNO3 (65%) is added. After standing over</w:t>
      </w:r>
      <w:r w:rsidRPr="00504E8E">
        <w:br/>
      </w:r>
      <w:r w:rsidRPr="00504E8E">
        <w:rPr>
          <w:shd w:val="clear" w:color="auto" w:fill="FFFFFF"/>
        </w:rPr>
        <w:t>night a</w:t>
      </w:r>
      <w:r w:rsidR="00504E8E">
        <w:rPr>
          <w:shd w:val="clear" w:color="auto" w:fill="FFFFFF"/>
        </w:rPr>
        <w:t>t room temperature the sample was</w:t>
      </w:r>
      <w:r w:rsidRPr="00504E8E">
        <w:rPr>
          <w:shd w:val="clear" w:color="auto" w:fill="FFFFFF"/>
        </w:rPr>
        <w:t xml:space="preserve"> boiled for two hours under</w:t>
      </w:r>
      <w:r w:rsidRPr="00504E8E">
        <w:br/>
      </w:r>
      <w:r w:rsidRPr="00504E8E">
        <w:rPr>
          <w:shd w:val="clear" w:color="auto" w:fill="FFFFFF"/>
        </w:rPr>
        <w:t>reflux conditions, cooled, transferred to a 100-ml volumetric flask,</w:t>
      </w:r>
      <w:r w:rsidRPr="00504E8E">
        <w:br/>
      </w:r>
      <w:r w:rsidRPr="00504E8E">
        <w:rPr>
          <w:shd w:val="clear" w:color="auto" w:fill="FFFFFF"/>
        </w:rPr>
        <w:t xml:space="preserve">filled up with water </w:t>
      </w:r>
      <w:r w:rsidR="00504E8E" w:rsidRPr="00504E8E">
        <w:rPr>
          <w:shd w:val="clear" w:color="auto" w:fill="FFFFFF"/>
        </w:rPr>
        <w:t>and then</w:t>
      </w:r>
      <w:r w:rsidRPr="00504E8E">
        <w:rPr>
          <w:shd w:val="clear" w:color="auto" w:fill="FFFFFF"/>
        </w:rPr>
        <w:t xml:space="preserve"> filtered into a storage vessel.</w:t>
      </w:r>
      <w:r w:rsidRPr="00504E8E">
        <w:br/>
      </w:r>
      <w:r w:rsidRPr="00504E8E">
        <w:br/>
      </w:r>
      <w:r w:rsidRPr="00504E8E">
        <w:rPr>
          <w:shd w:val="clear" w:color="auto" w:fill="FFFFFF"/>
        </w:rPr>
        <w:t xml:space="preserve">Soil quality - Extraction of trace elements soluble in aqua </w:t>
      </w:r>
      <w:proofErr w:type="spellStart"/>
      <w:r w:rsidRPr="00504E8E">
        <w:rPr>
          <w:shd w:val="clear" w:color="auto" w:fill="FFFFFF"/>
        </w:rPr>
        <w:t>regia</w:t>
      </w:r>
      <w:proofErr w:type="spellEnd"/>
      <w:r w:rsidRPr="00504E8E">
        <w:rPr>
          <w:shd w:val="clear" w:color="auto" w:fill="FFFFFF"/>
        </w:rPr>
        <w:t xml:space="preserve"> (ISO 11466)</w:t>
      </w:r>
      <w:r w:rsidRPr="00504E8E">
        <w:br/>
      </w:r>
      <w:r w:rsidRPr="00504E8E">
        <w:br/>
      </w:r>
      <w:r w:rsidRPr="00504E8E">
        <w:br/>
      </w:r>
      <w:r w:rsidRPr="00504E8E">
        <w:rPr>
          <w:shd w:val="clear" w:color="auto" w:fill="FFFFFF"/>
        </w:rPr>
        <w:t>Measuring of total P content in both soil and plant samples:</w:t>
      </w:r>
      <w:r w:rsidRPr="00504E8E">
        <w:br/>
      </w:r>
      <w:r w:rsidR="00504E8E">
        <w:rPr>
          <w:shd w:val="clear" w:color="auto" w:fill="FFFFFF"/>
        </w:rPr>
        <w:t>Elements was</w:t>
      </w:r>
      <w:r w:rsidRPr="00504E8E">
        <w:rPr>
          <w:shd w:val="clear" w:color="auto" w:fill="FFFFFF"/>
        </w:rPr>
        <w:t xml:space="preserve"> measured by ICP-OES (inductively coupled plasma optical</w:t>
      </w:r>
      <w:r w:rsidRPr="00504E8E">
        <w:br/>
      </w:r>
      <w:r w:rsidRPr="00504E8E">
        <w:rPr>
          <w:shd w:val="clear" w:color="auto" w:fill="FFFFFF"/>
        </w:rPr>
        <w:t xml:space="preserve">emission spectrometry) using an </w:t>
      </w:r>
      <w:proofErr w:type="spellStart"/>
      <w:r w:rsidRPr="00504E8E">
        <w:rPr>
          <w:shd w:val="clear" w:color="auto" w:fill="FFFFFF"/>
        </w:rPr>
        <w:t>ag</w:t>
      </w:r>
      <w:bookmarkStart w:id="0" w:name="_GoBack"/>
      <w:bookmarkEnd w:id="0"/>
      <w:r w:rsidRPr="00504E8E">
        <w:rPr>
          <w:shd w:val="clear" w:color="auto" w:fill="FFFFFF"/>
        </w:rPr>
        <w:t>ilent</w:t>
      </w:r>
      <w:proofErr w:type="spellEnd"/>
      <w:r w:rsidRPr="00504E8E">
        <w:rPr>
          <w:shd w:val="clear" w:color="auto" w:fill="FFFFFF"/>
        </w:rPr>
        <w:t xml:space="preserve"> instrument and external</w:t>
      </w:r>
      <w:r w:rsidRPr="00504E8E">
        <w:br/>
      </w:r>
      <w:r w:rsidRPr="00504E8E">
        <w:rPr>
          <w:shd w:val="clear" w:color="auto" w:fill="FFFFFF"/>
        </w:rPr>
        <w:t>calibration against certified standards (various suppliers).</w:t>
      </w:r>
      <w:r w:rsidRPr="00504E8E">
        <w:br/>
      </w:r>
      <w:r w:rsidRPr="00504E8E">
        <w:br/>
      </w:r>
      <w:r w:rsidRPr="00504E8E">
        <w:rPr>
          <w:shd w:val="clear" w:color="auto" w:fill="FFFFFF"/>
        </w:rPr>
        <w:t>Water quality - Determination of selected elements by inductively</w:t>
      </w:r>
      <w:r w:rsidRPr="00504E8E">
        <w:br/>
      </w:r>
      <w:r w:rsidRPr="00504E8E">
        <w:rPr>
          <w:shd w:val="clear" w:color="auto" w:fill="FFFFFF"/>
        </w:rPr>
        <w:t>coupled plasma optical emission spectrometry (ICP-OES) (ISO 11885)</w:t>
      </w:r>
    </w:p>
    <w:p w:rsidR="00D42AA9" w:rsidRPr="00504E8E" w:rsidRDefault="00D42AA9" w:rsidP="00D42AA9">
      <w:pPr>
        <w:pStyle w:val="NormalWeb"/>
      </w:pPr>
    </w:p>
    <w:p w:rsidR="00D42AA9" w:rsidRPr="00504E8E" w:rsidRDefault="00D42AA9" w:rsidP="00D42AA9">
      <w:pPr>
        <w:pStyle w:val="NormalWeb"/>
      </w:pPr>
      <w:r w:rsidRPr="00504E8E">
        <w:rPr>
          <w:b/>
          <w:bCs/>
        </w:rPr>
        <w:lastRenderedPageBreak/>
        <w:t>Control Treatment:</w:t>
      </w:r>
    </w:p>
    <w:p w:rsidR="00D42AA9" w:rsidRPr="00504E8E" w:rsidRDefault="004B18F8" w:rsidP="00D42AA9">
      <w:pPr>
        <w:pStyle w:val="NormalWeb"/>
      </w:pPr>
      <w:r w:rsidRPr="00504E8E">
        <w:t>Grass and soil samples collected from controls were used as controls.</w:t>
      </w:r>
    </w:p>
    <w:p w:rsidR="00D42AA9" w:rsidRPr="00504E8E" w:rsidRDefault="00D42AA9" w:rsidP="00D42AA9">
      <w:pPr>
        <w:pStyle w:val="NormalWeb"/>
      </w:pPr>
      <w:r w:rsidRPr="00504E8E">
        <w:rPr>
          <w:b/>
          <w:bCs/>
        </w:rPr>
        <w:t>Data Interpretation:</w:t>
      </w:r>
    </w:p>
    <w:p w:rsidR="00D42AA9" w:rsidRPr="00504E8E" w:rsidRDefault="004B18F8" w:rsidP="00FB43C1">
      <w:pPr>
        <w:pStyle w:val="NormalWeb"/>
        <w:jc w:val="both"/>
      </w:pPr>
      <w:r w:rsidRPr="00504E8E">
        <w:t>A G</w:t>
      </w:r>
      <w:r w:rsidRPr="00504E8E">
        <w:t>eneral</w:t>
      </w:r>
      <w:r w:rsidRPr="00504E8E">
        <w:t>ized L</w:t>
      </w:r>
      <w:r w:rsidRPr="00504E8E">
        <w:t xml:space="preserve">inear </w:t>
      </w:r>
      <w:r w:rsidRPr="00504E8E">
        <w:t>Mixed M</w:t>
      </w:r>
      <w:r w:rsidRPr="00504E8E">
        <w:t>odel was further used to evaluate the effect of nutrient hotspots site i.e. hotspot vs control and their distance i.e. closeness to the nutrient hotspot and their interaction with nutrient content (N)</w:t>
      </w:r>
      <w:r w:rsidRPr="00504E8E">
        <w:t xml:space="preserve">. Grass and soil samples from hotspots vs controls were compared using one-way ANOVA. </w:t>
      </w:r>
      <w:r w:rsidRPr="00504E8E">
        <w:t xml:space="preserve">In the </w:t>
      </w:r>
      <w:r w:rsidR="00FB43C1" w:rsidRPr="00504E8E">
        <w:t>fertilizing experiment</w:t>
      </w:r>
      <w:r w:rsidRPr="00504E8E">
        <w:t xml:space="preserve">, </w:t>
      </w:r>
      <w:r w:rsidRPr="00504E8E">
        <w:t>grass N and P content levels were measured before setting the</w:t>
      </w:r>
      <w:r w:rsidR="00FB43C1" w:rsidRPr="00504E8E">
        <w:t xml:space="preserve"> experiment </w:t>
      </w:r>
      <w:r w:rsidRPr="00504E8E">
        <w:t>and after application of fertilizer, then compared across treatments using a one-way ANOVA.</w:t>
      </w:r>
      <w:r w:rsidR="00FB43C1" w:rsidRPr="00504E8E">
        <w:t xml:space="preserve"> Further, for pot experiment, grass samples across the plots were compared using one-way ANOVA. Box plots were used to plot the results. </w:t>
      </w:r>
      <w:r w:rsidR="00D42AA9" w:rsidRPr="00504E8E">
        <w:t>A t-test will be perform</w:t>
      </w:r>
      <w:r w:rsidR="00FB43C1" w:rsidRPr="00504E8E">
        <w:t>ed to determine if the case</w:t>
      </w:r>
      <w:r w:rsidR="00D42AA9" w:rsidRPr="00504E8E">
        <w:t xml:space="preserve"> group differs from the</w:t>
      </w:r>
      <w:r w:rsidR="00FB43C1" w:rsidRPr="00504E8E">
        <w:t xml:space="preserve"> control group. If the case group produces more nutrient levels </w:t>
      </w:r>
      <w:proofErr w:type="spellStart"/>
      <w:r w:rsidR="00FB43C1" w:rsidRPr="00504E8E">
        <w:t>ie</w:t>
      </w:r>
      <w:proofErr w:type="spellEnd"/>
      <w:r w:rsidR="00FB43C1" w:rsidRPr="00504E8E">
        <w:t xml:space="preserve"> N, P</w:t>
      </w:r>
      <w:r w:rsidR="00D42AA9" w:rsidRPr="00504E8E">
        <w:t xml:space="preserve"> than the control, we can then conclude that </w:t>
      </w:r>
      <w:r w:rsidR="00FB43C1" w:rsidRPr="00504E8E">
        <w:t xml:space="preserve">nutrient level has impact on grass appearance and is among important cue in attracting ungulates </w:t>
      </w:r>
      <w:proofErr w:type="spellStart"/>
      <w:r w:rsidR="00FB43C1" w:rsidRPr="00504E8E">
        <w:t>ie</w:t>
      </w:r>
      <w:proofErr w:type="spellEnd"/>
      <w:r w:rsidR="00FB43C1" w:rsidRPr="00504E8E">
        <w:t xml:space="preserve"> grazers to graze around them.</w:t>
      </w:r>
    </w:p>
    <w:p w:rsidR="00D42AA9" w:rsidRPr="00504E8E" w:rsidRDefault="00D42AA9" w:rsidP="00D42AA9">
      <w:pPr>
        <w:pStyle w:val="NormalWeb"/>
      </w:pPr>
      <w:r w:rsidRPr="00504E8E">
        <w:rPr>
          <w:b/>
          <w:bCs/>
        </w:rPr>
        <w:t>References:</w:t>
      </w:r>
    </w:p>
    <w:p w:rsidR="00FA5345" w:rsidRPr="00504E8E" w:rsidRDefault="00FB43C1">
      <w:pPr>
        <w:rPr>
          <w:rFonts w:ascii="Times New Roman" w:eastAsia="Times New Roman" w:hAnsi="Times New Roman" w:cs="Times New Roman"/>
          <w:sz w:val="24"/>
          <w:szCs w:val="24"/>
          <w:lang w:val="en"/>
        </w:rPr>
      </w:pPr>
      <w:r w:rsidRPr="00504E8E">
        <w:rPr>
          <w:rFonts w:ascii="Times New Roman" w:hAnsi="Times New Roman" w:cs="Times New Roman"/>
          <w:sz w:val="24"/>
          <w:szCs w:val="24"/>
          <w:lang w:val="en"/>
        </w:rPr>
        <w:t>VDLUFA: Handbook of Agricultural Experimental and</w:t>
      </w:r>
      <w:r w:rsidRPr="00504E8E">
        <w:rPr>
          <w:rFonts w:ascii="Times New Roman" w:hAnsi="Times New Roman" w:cs="Times New Roman"/>
          <w:sz w:val="24"/>
          <w:szCs w:val="24"/>
          <w:shd w:val="clear" w:color="auto" w:fill="FFFFFF"/>
        </w:rPr>
        <w:t xml:space="preserve"> </w:t>
      </w:r>
      <w:r w:rsidRPr="00504E8E">
        <w:rPr>
          <w:rFonts w:ascii="Times New Roman" w:eastAsia="Times New Roman" w:hAnsi="Times New Roman" w:cs="Times New Roman"/>
          <w:sz w:val="24"/>
          <w:szCs w:val="24"/>
          <w:lang w:val="en"/>
        </w:rPr>
        <w:t>Investigation methodology (method book), Volume VII environmental analysis, method</w:t>
      </w:r>
      <w:r w:rsidRPr="00504E8E">
        <w:rPr>
          <w:rFonts w:ascii="Times New Roman" w:hAnsi="Times New Roman" w:cs="Times New Roman"/>
          <w:sz w:val="24"/>
          <w:szCs w:val="24"/>
          <w:shd w:val="clear" w:color="auto" w:fill="FFFFFF"/>
        </w:rPr>
        <w:t xml:space="preserve"> </w:t>
      </w:r>
      <w:r w:rsidRPr="00504E8E">
        <w:rPr>
          <w:rFonts w:ascii="Times New Roman" w:eastAsia="Times New Roman" w:hAnsi="Times New Roman" w:cs="Times New Roman"/>
          <w:sz w:val="24"/>
          <w:szCs w:val="24"/>
          <w:lang w:val="en"/>
        </w:rPr>
        <w:t>2.1.1: Wet digestion under pressure. VDLUFA publishing house, Darmstadt.</w:t>
      </w:r>
    </w:p>
    <w:p w:rsidR="00FB43C1" w:rsidRPr="00FB43C1" w:rsidRDefault="00FB43C1" w:rsidP="00FB43C1">
      <w:pPr>
        <w:shd w:val="clear" w:color="auto" w:fill="FFFFFF"/>
        <w:spacing w:before="150" w:after="150" w:line="240" w:lineRule="auto"/>
        <w:outlineLvl w:val="3"/>
        <w:rPr>
          <w:rFonts w:ascii="Times New Roman" w:eastAsia="Times New Roman" w:hAnsi="Times New Roman" w:cs="Times New Roman"/>
          <w:bCs/>
          <w:sz w:val="24"/>
          <w:szCs w:val="24"/>
        </w:rPr>
      </w:pPr>
      <w:proofErr w:type="spellStart"/>
      <w:r w:rsidRPr="00FB43C1">
        <w:rPr>
          <w:rFonts w:ascii="Times New Roman" w:eastAsia="Times New Roman" w:hAnsi="Times New Roman" w:cs="Times New Roman"/>
          <w:bCs/>
          <w:sz w:val="24"/>
          <w:szCs w:val="24"/>
        </w:rPr>
        <w:t>Bassler</w:t>
      </w:r>
      <w:proofErr w:type="spellEnd"/>
      <w:r w:rsidRPr="00FB43C1">
        <w:rPr>
          <w:rFonts w:ascii="Times New Roman" w:eastAsia="Times New Roman" w:hAnsi="Times New Roman" w:cs="Times New Roman"/>
          <w:bCs/>
          <w:sz w:val="24"/>
          <w:szCs w:val="24"/>
        </w:rPr>
        <w:t xml:space="preserve"> R. Hoffmann G. Thun R. Herrmann R. et al. </w:t>
      </w:r>
      <w:proofErr w:type="spellStart"/>
      <w:r w:rsidRPr="00FB43C1">
        <w:rPr>
          <w:rFonts w:ascii="Times New Roman" w:eastAsia="Times New Roman" w:hAnsi="Times New Roman" w:cs="Times New Roman"/>
          <w:bCs/>
          <w:sz w:val="24"/>
          <w:szCs w:val="24"/>
        </w:rPr>
        <w:t>Verband</w:t>
      </w:r>
      <w:proofErr w:type="spellEnd"/>
      <w:r w:rsidRPr="00FB43C1">
        <w:rPr>
          <w:rFonts w:ascii="Times New Roman" w:eastAsia="Times New Roman" w:hAnsi="Times New Roman" w:cs="Times New Roman"/>
          <w:bCs/>
          <w:sz w:val="24"/>
          <w:szCs w:val="24"/>
        </w:rPr>
        <w:t xml:space="preserve"> </w:t>
      </w:r>
      <w:proofErr w:type="spellStart"/>
      <w:r w:rsidRPr="00FB43C1">
        <w:rPr>
          <w:rFonts w:ascii="Times New Roman" w:eastAsia="Times New Roman" w:hAnsi="Times New Roman" w:cs="Times New Roman"/>
          <w:bCs/>
          <w:sz w:val="24"/>
          <w:szCs w:val="24"/>
        </w:rPr>
        <w:t>Deutscher</w:t>
      </w:r>
      <w:proofErr w:type="spellEnd"/>
      <w:r w:rsidRPr="00FB43C1">
        <w:rPr>
          <w:rFonts w:ascii="Times New Roman" w:eastAsia="Times New Roman" w:hAnsi="Times New Roman" w:cs="Times New Roman"/>
          <w:bCs/>
          <w:sz w:val="24"/>
          <w:szCs w:val="24"/>
        </w:rPr>
        <w:t xml:space="preserve"> </w:t>
      </w:r>
      <w:proofErr w:type="spellStart"/>
      <w:r w:rsidRPr="00FB43C1">
        <w:rPr>
          <w:rFonts w:ascii="Times New Roman" w:eastAsia="Times New Roman" w:hAnsi="Times New Roman" w:cs="Times New Roman"/>
          <w:bCs/>
          <w:sz w:val="24"/>
          <w:szCs w:val="24"/>
        </w:rPr>
        <w:t>Landwirtschaftlicher</w:t>
      </w:r>
      <w:proofErr w:type="spellEnd"/>
      <w:r w:rsidRPr="00FB43C1">
        <w:rPr>
          <w:rFonts w:ascii="Times New Roman" w:eastAsia="Times New Roman" w:hAnsi="Times New Roman" w:cs="Times New Roman"/>
          <w:bCs/>
          <w:sz w:val="24"/>
          <w:szCs w:val="24"/>
        </w:rPr>
        <w:t xml:space="preserve"> </w:t>
      </w:r>
      <w:proofErr w:type="spellStart"/>
      <w:r w:rsidRPr="00FB43C1">
        <w:rPr>
          <w:rFonts w:ascii="Times New Roman" w:eastAsia="Times New Roman" w:hAnsi="Times New Roman" w:cs="Times New Roman"/>
          <w:bCs/>
          <w:sz w:val="24"/>
          <w:szCs w:val="24"/>
        </w:rPr>
        <w:t>Untersuchungs</w:t>
      </w:r>
      <w:proofErr w:type="spellEnd"/>
      <w:r w:rsidRPr="00FB43C1">
        <w:rPr>
          <w:rFonts w:ascii="Times New Roman" w:eastAsia="Times New Roman" w:hAnsi="Times New Roman" w:cs="Times New Roman"/>
          <w:bCs/>
          <w:sz w:val="24"/>
          <w:szCs w:val="24"/>
        </w:rPr>
        <w:t xml:space="preserve">- und </w:t>
      </w:r>
      <w:proofErr w:type="spellStart"/>
      <w:r w:rsidRPr="00FB43C1">
        <w:rPr>
          <w:rFonts w:ascii="Times New Roman" w:eastAsia="Times New Roman" w:hAnsi="Times New Roman" w:cs="Times New Roman"/>
          <w:bCs/>
          <w:sz w:val="24"/>
          <w:szCs w:val="24"/>
        </w:rPr>
        <w:t>Forschungsanstalten</w:t>
      </w:r>
      <w:proofErr w:type="spellEnd"/>
      <w:r w:rsidRPr="00FB43C1">
        <w:rPr>
          <w:rFonts w:ascii="Times New Roman" w:eastAsia="Times New Roman" w:hAnsi="Times New Roman" w:cs="Times New Roman"/>
          <w:bCs/>
          <w:sz w:val="24"/>
          <w:szCs w:val="24"/>
        </w:rPr>
        <w:t xml:space="preserve"> (VDLUFA), Darmstadt (Germany). [Corporate Author] Staatliche </w:t>
      </w:r>
      <w:proofErr w:type="spellStart"/>
      <w:r w:rsidRPr="00FB43C1">
        <w:rPr>
          <w:rFonts w:ascii="Times New Roman" w:eastAsia="Times New Roman" w:hAnsi="Times New Roman" w:cs="Times New Roman"/>
          <w:bCs/>
          <w:sz w:val="24"/>
          <w:szCs w:val="24"/>
        </w:rPr>
        <w:t>Landwirtschaftliche</w:t>
      </w:r>
      <w:proofErr w:type="spellEnd"/>
      <w:r w:rsidRPr="00FB43C1">
        <w:rPr>
          <w:rFonts w:ascii="Times New Roman" w:eastAsia="Times New Roman" w:hAnsi="Times New Roman" w:cs="Times New Roman"/>
          <w:bCs/>
          <w:sz w:val="24"/>
          <w:szCs w:val="24"/>
        </w:rPr>
        <w:t xml:space="preserve"> </w:t>
      </w:r>
      <w:proofErr w:type="spellStart"/>
      <w:r w:rsidRPr="00FB43C1">
        <w:rPr>
          <w:rFonts w:ascii="Times New Roman" w:eastAsia="Times New Roman" w:hAnsi="Times New Roman" w:cs="Times New Roman"/>
          <w:bCs/>
          <w:sz w:val="24"/>
          <w:szCs w:val="24"/>
        </w:rPr>
        <w:t>Untersuchungs</w:t>
      </w:r>
      <w:proofErr w:type="spellEnd"/>
      <w:r w:rsidRPr="00FB43C1">
        <w:rPr>
          <w:rFonts w:ascii="Times New Roman" w:eastAsia="Times New Roman" w:hAnsi="Times New Roman" w:cs="Times New Roman"/>
          <w:bCs/>
          <w:sz w:val="24"/>
          <w:szCs w:val="24"/>
        </w:rPr>
        <w:t xml:space="preserve">- und </w:t>
      </w:r>
      <w:proofErr w:type="spellStart"/>
      <w:r w:rsidRPr="00FB43C1">
        <w:rPr>
          <w:rFonts w:ascii="Times New Roman" w:eastAsia="Times New Roman" w:hAnsi="Times New Roman" w:cs="Times New Roman"/>
          <w:bCs/>
          <w:sz w:val="24"/>
          <w:szCs w:val="24"/>
        </w:rPr>
        <w:t>Forschungsanstalt</w:t>
      </w:r>
      <w:proofErr w:type="spellEnd"/>
      <w:r w:rsidRPr="00FB43C1">
        <w:rPr>
          <w:rFonts w:ascii="Times New Roman" w:eastAsia="Times New Roman" w:hAnsi="Times New Roman" w:cs="Times New Roman"/>
          <w:bCs/>
          <w:sz w:val="24"/>
          <w:szCs w:val="24"/>
        </w:rPr>
        <w:t xml:space="preserve"> </w:t>
      </w:r>
      <w:proofErr w:type="spellStart"/>
      <w:r w:rsidRPr="00FB43C1">
        <w:rPr>
          <w:rFonts w:ascii="Times New Roman" w:eastAsia="Times New Roman" w:hAnsi="Times New Roman" w:cs="Times New Roman"/>
          <w:bCs/>
          <w:sz w:val="24"/>
          <w:szCs w:val="24"/>
        </w:rPr>
        <w:t>Augustenberg</w:t>
      </w:r>
      <w:proofErr w:type="spellEnd"/>
      <w:r w:rsidRPr="00FB43C1">
        <w:rPr>
          <w:rFonts w:ascii="Times New Roman" w:eastAsia="Times New Roman" w:hAnsi="Times New Roman" w:cs="Times New Roman"/>
          <w:bCs/>
          <w:sz w:val="24"/>
          <w:szCs w:val="24"/>
        </w:rPr>
        <w:t xml:space="preserve"> (Germany) [Corporate Author]</w:t>
      </w:r>
    </w:p>
    <w:p w:rsidR="00FB43C1" w:rsidRPr="00504E8E" w:rsidRDefault="00FB43C1">
      <w:pPr>
        <w:rPr>
          <w:rFonts w:ascii="Times New Roman" w:hAnsi="Times New Roman" w:cs="Times New Roman"/>
          <w:sz w:val="24"/>
          <w:szCs w:val="24"/>
        </w:rPr>
      </w:pPr>
    </w:p>
    <w:sectPr w:rsidR="00FB43C1" w:rsidRPr="00504E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34A35"/>
    <w:multiLevelType w:val="hybridMultilevel"/>
    <w:tmpl w:val="1F92843E"/>
    <w:lvl w:ilvl="0" w:tplc="D5D28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A9"/>
    <w:rsid w:val="004B18F8"/>
    <w:rsid w:val="00504E8E"/>
    <w:rsid w:val="00D42AA9"/>
    <w:rsid w:val="00FA5345"/>
    <w:rsid w:val="00FB4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2CB6"/>
  <w15:chartTrackingRefBased/>
  <w15:docId w15:val="{48DDD437-0E6B-43C3-BE1A-30D966FD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FB43C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2A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FB43C1"/>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787167">
      <w:bodyDiv w:val="1"/>
      <w:marLeft w:val="0"/>
      <w:marRight w:val="0"/>
      <w:marTop w:val="0"/>
      <w:marBottom w:val="0"/>
      <w:divBdr>
        <w:top w:val="none" w:sz="0" w:space="0" w:color="auto"/>
        <w:left w:val="none" w:sz="0" w:space="0" w:color="auto"/>
        <w:bottom w:val="none" w:sz="0" w:space="0" w:color="auto"/>
        <w:right w:val="none" w:sz="0" w:space="0" w:color="auto"/>
      </w:divBdr>
    </w:div>
    <w:div w:id="124172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2020-02-05T12:36:00Z</dcterms:created>
  <dcterms:modified xsi:type="dcterms:W3CDTF">2020-02-05T13:10:00Z</dcterms:modified>
</cp:coreProperties>
</file>