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98C989" w14:textId="77777777" w:rsidR="00662A97" w:rsidRDefault="00662A97" w:rsidP="00662A97">
      <w:pPr>
        <w:jc w:val="both"/>
        <w:rPr>
          <w:rFonts w:ascii="Arial" w:eastAsia="Times New Roman" w:hAnsi="Arial" w:cs="Arial"/>
          <w:color w:val="000000"/>
          <w:sz w:val="22"/>
          <w:szCs w:val="22"/>
          <w:shd w:val="clear" w:color="auto" w:fill="FFFFFF"/>
        </w:rPr>
      </w:pPr>
    </w:p>
    <w:p w14:paraId="0178907F" w14:textId="76B1FB3F" w:rsidR="00662A97" w:rsidRPr="009D7878" w:rsidRDefault="009D7878" w:rsidP="00662A97">
      <w:pPr>
        <w:jc w:val="both"/>
        <w:rPr>
          <w:rFonts w:ascii="Arial" w:eastAsia="Times New Roman" w:hAnsi="Arial" w:cs="Arial"/>
          <w:b/>
          <w:color w:val="000000"/>
          <w:sz w:val="22"/>
          <w:szCs w:val="22"/>
          <w:shd w:val="clear" w:color="auto" w:fill="FFFFFF"/>
        </w:rPr>
      </w:pPr>
      <w:r w:rsidRPr="009D7878">
        <w:rPr>
          <w:rFonts w:ascii="Arial" w:eastAsia="Times New Roman" w:hAnsi="Arial" w:cs="Arial"/>
          <w:b/>
          <w:color w:val="000000"/>
          <w:sz w:val="22"/>
          <w:szCs w:val="22"/>
          <w:shd w:val="clear" w:color="auto" w:fill="FFFFFF"/>
        </w:rPr>
        <w:t>Step 1. Tissue collection</w:t>
      </w:r>
    </w:p>
    <w:p w14:paraId="094C1834" w14:textId="77777777" w:rsidR="00662A97" w:rsidRDefault="00662A97" w:rsidP="00662A97">
      <w:pPr>
        <w:jc w:val="both"/>
        <w:rPr>
          <w:rFonts w:ascii="Arial" w:eastAsia="Times New Roman" w:hAnsi="Arial" w:cs="Arial"/>
          <w:color w:val="000000"/>
          <w:sz w:val="22"/>
          <w:szCs w:val="22"/>
          <w:shd w:val="clear" w:color="auto" w:fill="FFFFFF"/>
        </w:rPr>
      </w:pPr>
    </w:p>
    <w:p w14:paraId="474941FB" w14:textId="77777777" w:rsidR="00662A97" w:rsidRPr="00662A97" w:rsidRDefault="00662A97" w:rsidP="00662A97">
      <w:pPr>
        <w:pStyle w:val="ListParagraph"/>
        <w:numPr>
          <w:ilvl w:val="0"/>
          <w:numId w:val="1"/>
        </w:numPr>
        <w:jc w:val="both"/>
        <w:rPr>
          <w:rFonts w:ascii="Arial" w:eastAsia="Times New Roman" w:hAnsi="Arial" w:cs="Arial"/>
          <w:color w:val="000000"/>
          <w:sz w:val="22"/>
          <w:szCs w:val="22"/>
          <w:shd w:val="clear" w:color="auto" w:fill="FFFFFF"/>
        </w:rPr>
      </w:pPr>
      <w:r w:rsidRPr="00662A97">
        <w:rPr>
          <w:rFonts w:ascii="Arial" w:eastAsia="Times New Roman" w:hAnsi="Arial" w:cs="Arial"/>
          <w:color w:val="000000"/>
          <w:sz w:val="22"/>
          <w:szCs w:val="22"/>
          <w:shd w:val="clear" w:color="auto" w:fill="FFFFFF"/>
        </w:rPr>
        <w:t xml:space="preserve">Livers from vehicle (corn oil), BDE-47, or BDE-99 treated adult male </w:t>
      </w:r>
      <w:r>
        <w:rPr>
          <w:rFonts w:ascii="Arial" w:eastAsia="Times New Roman" w:hAnsi="Arial" w:cs="Arial"/>
          <w:color w:val="000000"/>
          <w:sz w:val="22"/>
          <w:szCs w:val="22"/>
          <w:shd w:val="clear" w:color="auto" w:fill="FFFFFF"/>
        </w:rPr>
        <w:t>conventional (</w:t>
      </w:r>
      <w:r w:rsidRPr="00662A97">
        <w:rPr>
          <w:rFonts w:ascii="Arial" w:eastAsia="Times New Roman" w:hAnsi="Arial" w:cs="Arial"/>
          <w:color w:val="000000"/>
          <w:sz w:val="22"/>
          <w:szCs w:val="22"/>
          <w:shd w:val="clear" w:color="auto" w:fill="FFFFFF"/>
        </w:rPr>
        <w:t>CV</w:t>
      </w:r>
      <w:r>
        <w:rPr>
          <w:rFonts w:ascii="Arial" w:eastAsia="Times New Roman" w:hAnsi="Arial" w:cs="Arial"/>
          <w:color w:val="000000"/>
          <w:sz w:val="22"/>
          <w:szCs w:val="22"/>
          <w:shd w:val="clear" w:color="auto" w:fill="FFFFFF"/>
        </w:rPr>
        <w:t>)</w:t>
      </w:r>
      <w:r w:rsidRPr="00662A97">
        <w:rPr>
          <w:rFonts w:ascii="Arial" w:eastAsia="Times New Roman" w:hAnsi="Arial" w:cs="Arial"/>
          <w:color w:val="000000"/>
          <w:sz w:val="22"/>
          <w:szCs w:val="22"/>
          <w:shd w:val="clear" w:color="auto" w:fill="FFFFFF"/>
        </w:rPr>
        <w:t xml:space="preserve"> and </w:t>
      </w:r>
      <w:r>
        <w:rPr>
          <w:rFonts w:ascii="Arial" w:eastAsia="Times New Roman" w:hAnsi="Arial" w:cs="Arial"/>
          <w:color w:val="000000"/>
          <w:sz w:val="22"/>
          <w:szCs w:val="22"/>
          <w:shd w:val="clear" w:color="auto" w:fill="FFFFFF"/>
        </w:rPr>
        <w:t>germ free (</w:t>
      </w:r>
      <w:r w:rsidRPr="00662A97">
        <w:rPr>
          <w:rFonts w:ascii="Arial" w:eastAsia="Times New Roman" w:hAnsi="Arial" w:cs="Arial"/>
          <w:color w:val="000000"/>
          <w:sz w:val="22"/>
          <w:szCs w:val="22"/>
          <w:shd w:val="clear" w:color="auto" w:fill="FFFFFF"/>
        </w:rPr>
        <w:t>GF</w:t>
      </w:r>
      <w:r>
        <w:rPr>
          <w:rFonts w:ascii="Arial" w:eastAsia="Times New Roman" w:hAnsi="Arial" w:cs="Arial"/>
          <w:color w:val="000000"/>
          <w:sz w:val="22"/>
          <w:szCs w:val="22"/>
          <w:shd w:val="clear" w:color="auto" w:fill="FFFFFF"/>
        </w:rPr>
        <w:t>)</w:t>
      </w:r>
      <w:r w:rsidRPr="00662A97">
        <w:rPr>
          <w:rFonts w:ascii="Arial" w:eastAsia="Times New Roman" w:hAnsi="Arial" w:cs="Arial"/>
          <w:color w:val="000000"/>
          <w:sz w:val="22"/>
          <w:szCs w:val="22"/>
          <w:shd w:val="clear" w:color="auto" w:fill="FFFFFF"/>
        </w:rPr>
        <w:t xml:space="preserve"> mice were used for RNA-Seq (biological replicates: n=3 for CV corn oil, n=4 for CV BDE-47, n=2 for CV BDE-99, n=3 for GF corn oil, n=3 for GF BDE-47, and n=3 for BDE-99) using a HiSeq 2000 sequencer. </w:t>
      </w:r>
      <w:r>
        <w:rPr>
          <w:rFonts w:ascii="Arial" w:eastAsia="Times New Roman" w:hAnsi="Arial" w:cs="Arial"/>
          <w:color w:val="000000"/>
          <w:sz w:val="22"/>
          <w:szCs w:val="22"/>
          <w:shd w:val="clear" w:color="auto" w:fill="FFFFFF"/>
        </w:rPr>
        <w:t xml:space="preserve">BDE-47 and BDE-99 are common congers of polybrominated diphenyl ethers that were used as flame retardants and are persistent environmental toxicants. </w:t>
      </w:r>
    </w:p>
    <w:p w14:paraId="60751D46" w14:textId="77777777" w:rsidR="00662A97" w:rsidRDefault="00662A97" w:rsidP="00662A97">
      <w:pPr>
        <w:jc w:val="both"/>
        <w:rPr>
          <w:rFonts w:ascii="Arial" w:eastAsia="Times New Roman" w:hAnsi="Arial" w:cs="Arial"/>
          <w:color w:val="000000"/>
          <w:sz w:val="22"/>
          <w:szCs w:val="22"/>
          <w:shd w:val="clear" w:color="auto" w:fill="FFFFFF"/>
        </w:rPr>
      </w:pPr>
    </w:p>
    <w:p w14:paraId="07F0FBEC" w14:textId="77777777" w:rsidR="00662A97" w:rsidRPr="009D7878" w:rsidRDefault="00662A97" w:rsidP="00662A97">
      <w:pPr>
        <w:jc w:val="both"/>
        <w:rPr>
          <w:rFonts w:ascii="Arial" w:eastAsia="Times New Roman" w:hAnsi="Arial" w:cs="Arial"/>
          <w:b/>
          <w:color w:val="000000"/>
          <w:sz w:val="22"/>
          <w:szCs w:val="22"/>
          <w:shd w:val="clear" w:color="auto" w:fill="FFFFFF"/>
        </w:rPr>
      </w:pPr>
      <w:r w:rsidRPr="009D7878">
        <w:rPr>
          <w:rFonts w:ascii="Arial" w:eastAsia="Times New Roman" w:hAnsi="Arial" w:cs="Arial"/>
          <w:b/>
          <w:color w:val="000000"/>
          <w:sz w:val="22"/>
          <w:szCs w:val="22"/>
          <w:shd w:val="clear" w:color="auto" w:fill="FFFFFF"/>
        </w:rPr>
        <w:t>Step 2. RNA-Seq</w:t>
      </w:r>
    </w:p>
    <w:p w14:paraId="2500862A" w14:textId="77777777" w:rsidR="009D7878" w:rsidRDefault="009D7878" w:rsidP="00662A97">
      <w:pPr>
        <w:jc w:val="both"/>
        <w:rPr>
          <w:rFonts w:ascii="Arial" w:eastAsia="Times New Roman" w:hAnsi="Arial" w:cs="Arial"/>
          <w:color w:val="000000"/>
          <w:sz w:val="22"/>
          <w:szCs w:val="22"/>
          <w:shd w:val="clear" w:color="auto" w:fill="FFFFFF"/>
        </w:rPr>
      </w:pPr>
    </w:p>
    <w:p w14:paraId="42FD3904" w14:textId="77777777" w:rsidR="003959B6" w:rsidRPr="003959B6" w:rsidRDefault="00662A97" w:rsidP="00662A97">
      <w:pPr>
        <w:pStyle w:val="ListParagraph"/>
        <w:numPr>
          <w:ilvl w:val="0"/>
          <w:numId w:val="1"/>
        </w:numPr>
        <w:jc w:val="both"/>
        <w:rPr>
          <w:rFonts w:ascii="Arial" w:hAnsi="Arial" w:cs="Arial"/>
          <w:sz w:val="22"/>
          <w:szCs w:val="22"/>
        </w:rPr>
      </w:pPr>
      <w:r w:rsidRPr="00662A97">
        <w:rPr>
          <w:rFonts w:ascii="Arial" w:eastAsia="Times New Roman" w:hAnsi="Arial" w:cs="Arial"/>
          <w:color w:val="000000"/>
          <w:sz w:val="22"/>
          <w:szCs w:val="22"/>
          <w:shd w:val="clear" w:color="auto" w:fill="FFFFFF"/>
        </w:rPr>
        <w:t xml:space="preserve">Libraries were prepared using the poly A-tail selection method using the TruSeq version 3 chemistry. The sequence reads that passed quality filters were mapped to the mouse reference genome </w:t>
      </w:r>
      <w:r>
        <w:rPr>
          <w:rFonts w:ascii="Arial" w:eastAsia="Times New Roman" w:hAnsi="Arial" w:cs="Arial"/>
          <w:color w:val="000000"/>
          <w:sz w:val="22"/>
          <w:szCs w:val="22"/>
          <w:shd w:val="clear" w:color="auto" w:fill="FFFFFF"/>
        </w:rPr>
        <w:t xml:space="preserve">(mm10) using HISAT v 0.1.6 beta. </w:t>
      </w:r>
      <w:r w:rsidRPr="003959B6">
        <w:rPr>
          <w:rFonts w:ascii="Arial" w:hAnsi="Arial" w:cs="Arial"/>
          <w:sz w:val="22"/>
          <w:szCs w:val="22"/>
        </w:rPr>
        <w:t xml:space="preserve">SAM files were converted to BAM files and sorted using Samtools (version 1.2). Transcript abundance and differential expression were determined using Cufflinks (CuffDiff) v 2.2.1. Two reference GTF files were used for </w:t>
      </w:r>
      <w:r w:rsidR="003959B6" w:rsidRPr="003959B6">
        <w:rPr>
          <w:rFonts w:ascii="Arial" w:hAnsi="Arial" w:cs="Arial"/>
          <w:sz w:val="22"/>
          <w:szCs w:val="22"/>
        </w:rPr>
        <w:t xml:space="preserve">protein-coding genes (PCGs) and long non-coding RNAs, namely </w:t>
      </w:r>
      <w:r w:rsidR="003959B6" w:rsidRPr="00662A97">
        <w:rPr>
          <w:rFonts w:ascii="Arial" w:hAnsi="Arial" w:cs="Arial"/>
          <w:sz w:val="22"/>
          <w:szCs w:val="22"/>
        </w:rPr>
        <w:t>UCSC mm10</w:t>
      </w:r>
      <w:r w:rsidR="003959B6">
        <w:rPr>
          <w:rFonts w:ascii="Arial" w:hAnsi="Arial" w:cs="Arial"/>
          <w:sz w:val="22"/>
          <w:szCs w:val="22"/>
        </w:rPr>
        <w:t xml:space="preserve">.gtf and NONCODE2016 lncRNA reference gtf files. </w:t>
      </w:r>
      <w:r w:rsidRPr="003959B6">
        <w:rPr>
          <w:rFonts w:ascii="Arial" w:hAnsi="Arial" w:cs="Arial"/>
          <w:sz w:val="22"/>
          <w:szCs w:val="22"/>
        </w:rPr>
        <w:t xml:space="preserve">The </w:t>
      </w:r>
      <w:r w:rsidR="003959B6">
        <w:rPr>
          <w:rFonts w:ascii="Arial" w:hAnsi="Arial" w:cs="Arial"/>
          <w:sz w:val="22"/>
          <w:szCs w:val="22"/>
        </w:rPr>
        <w:t xml:space="preserve">transcript </w:t>
      </w:r>
      <w:r w:rsidRPr="003959B6">
        <w:rPr>
          <w:rFonts w:ascii="Arial" w:hAnsi="Arial" w:cs="Arial"/>
          <w:sz w:val="22"/>
          <w:szCs w:val="22"/>
        </w:rPr>
        <w:t xml:space="preserve">abundance was expressed as fragments per kilobase of transcript per million mapped reads (FPKM).  PCGs with average FPKM value above 1 in at least one group were defined as significantly expressed in liver.  Differential expression analysis was performed using Cuffdiff with p &lt; 0.05 between chemical-exposed groups and vehicle-exposed group of the same enterotypes of mice.  Data were expressed as mean FPKM ± S.E.  Asterisks (*) represent significant differences between corn oil- and PBDE-treated groups of the same enterotypes of mice.  </w:t>
      </w:r>
    </w:p>
    <w:p w14:paraId="078135B5" w14:textId="77777777" w:rsidR="003959B6" w:rsidRPr="003959B6" w:rsidRDefault="003959B6" w:rsidP="003959B6">
      <w:pPr>
        <w:pStyle w:val="ListParagraph"/>
        <w:jc w:val="both"/>
        <w:rPr>
          <w:rFonts w:ascii="Arial" w:hAnsi="Arial" w:cs="Arial"/>
          <w:sz w:val="22"/>
          <w:szCs w:val="22"/>
        </w:rPr>
      </w:pPr>
    </w:p>
    <w:p w14:paraId="02F61FC6" w14:textId="77777777" w:rsidR="003959B6" w:rsidRPr="009D7878" w:rsidRDefault="003959B6" w:rsidP="003959B6">
      <w:pPr>
        <w:jc w:val="both"/>
        <w:rPr>
          <w:rFonts w:ascii="Arial" w:hAnsi="Arial" w:cs="Arial"/>
          <w:b/>
          <w:sz w:val="22"/>
          <w:szCs w:val="22"/>
        </w:rPr>
      </w:pPr>
      <w:r w:rsidRPr="009D7878">
        <w:rPr>
          <w:rFonts w:ascii="Arial" w:hAnsi="Arial" w:cs="Arial"/>
          <w:b/>
          <w:sz w:val="22"/>
          <w:szCs w:val="22"/>
        </w:rPr>
        <w:t xml:space="preserve">Step 3. Down-stream analysis </w:t>
      </w:r>
    </w:p>
    <w:p w14:paraId="2027D0DA" w14:textId="77777777" w:rsidR="009D7878" w:rsidRPr="003959B6" w:rsidRDefault="009D7878" w:rsidP="003959B6">
      <w:pPr>
        <w:jc w:val="both"/>
        <w:rPr>
          <w:rFonts w:ascii="Arial" w:hAnsi="Arial" w:cs="Arial"/>
          <w:sz w:val="22"/>
          <w:szCs w:val="22"/>
        </w:rPr>
      </w:pPr>
    </w:p>
    <w:p w14:paraId="372D9931" w14:textId="77777777" w:rsidR="003959B6" w:rsidRPr="003959B6" w:rsidRDefault="00662A97" w:rsidP="003959B6">
      <w:pPr>
        <w:pStyle w:val="ListParagraph"/>
        <w:numPr>
          <w:ilvl w:val="0"/>
          <w:numId w:val="1"/>
        </w:numPr>
        <w:jc w:val="both"/>
        <w:rPr>
          <w:rFonts w:ascii="Arial" w:hAnsi="Arial" w:cs="Arial"/>
          <w:sz w:val="22"/>
          <w:szCs w:val="22"/>
        </w:rPr>
      </w:pPr>
      <w:r w:rsidRPr="003959B6">
        <w:rPr>
          <w:rFonts w:ascii="Arial" w:hAnsi="Arial" w:cs="Arial"/>
          <w:sz w:val="22"/>
          <w:szCs w:val="22"/>
        </w:rPr>
        <w:t>The Venn diagrams of the differentially expressed PCGs and lncRNAs were generated based on their standardized mean FPKM values, using the JMP Genome Software (SAS Institute, Cary</w:t>
      </w:r>
      <w:r w:rsidR="003959B6">
        <w:rPr>
          <w:rFonts w:ascii="Arial" w:hAnsi="Arial" w:cs="Arial"/>
          <w:sz w:val="22"/>
          <w:szCs w:val="22"/>
        </w:rPr>
        <w:t xml:space="preserve">, NC). </w:t>
      </w:r>
    </w:p>
    <w:p w14:paraId="6B5AB15C" w14:textId="56C9710D" w:rsidR="003959B6" w:rsidRPr="003959B6" w:rsidRDefault="003959B6" w:rsidP="003959B6">
      <w:pPr>
        <w:pStyle w:val="ListParagraph"/>
        <w:numPr>
          <w:ilvl w:val="0"/>
          <w:numId w:val="1"/>
        </w:numPr>
        <w:jc w:val="both"/>
        <w:rPr>
          <w:rFonts w:ascii="Arial" w:hAnsi="Arial" w:cs="Arial"/>
          <w:sz w:val="22"/>
          <w:szCs w:val="22"/>
        </w:rPr>
      </w:pPr>
      <w:r w:rsidRPr="003959B6">
        <w:rPr>
          <w:rFonts w:ascii="Arial" w:hAnsi="Arial" w:cs="Arial"/>
          <w:sz w:val="22"/>
          <w:szCs w:val="22"/>
        </w:rPr>
        <w:t xml:space="preserve">The web-based tool peak annotation and visualization (PAVIS, </w:t>
      </w:r>
      <w:hyperlink r:id="rId6" w:history="1">
        <w:r w:rsidRPr="003959B6">
          <w:rPr>
            <w:rFonts w:ascii="Arial" w:hAnsi="Arial" w:cs="Arial"/>
            <w:sz w:val="22"/>
            <w:szCs w:val="22"/>
          </w:rPr>
          <w:t>https://manticore.niehs.nih.gov/pavis2/</w:t>
        </w:r>
      </w:hyperlink>
      <w:r w:rsidRPr="003959B6">
        <w:rPr>
          <w:rFonts w:ascii="Arial" w:hAnsi="Arial" w:cs="Arial"/>
          <w:sz w:val="22"/>
          <w:szCs w:val="22"/>
        </w:rPr>
        <w:t>) was used to annotate and visualize the genomic location of lncRNAs relative to the closest PCGs, including up to 5 kb upstream of transcripti</w:t>
      </w:r>
      <w:r w:rsidR="0088678C">
        <w:rPr>
          <w:rFonts w:ascii="Arial" w:hAnsi="Arial" w:cs="Arial"/>
          <w:sz w:val="22"/>
          <w:szCs w:val="22"/>
        </w:rPr>
        <w:t xml:space="preserve">on start site (TSS), intronic, </w:t>
      </w:r>
      <w:bookmarkStart w:id="0" w:name="_GoBack"/>
      <w:bookmarkEnd w:id="0"/>
      <w:r w:rsidRPr="003959B6">
        <w:rPr>
          <w:rFonts w:ascii="Arial" w:hAnsi="Arial" w:cs="Arial"/>
          <w:sz w:val="22"/>
          <w:szCs w:val="22"/>
        </w:rPr>
        <w:t xml:space="preserve">exonic, 5’-untranslated region (UTR), 3’-UTR, or up to 1 kb downstream of transcriptional termination site (TTS).  </w:t>
      </w:r>
    </w:p>
    <w:p w14:paraId="11530EFC" w14:textId="77777777" w:rsidR="003959B6" w:rsidRPr="003959B6" w:rsidRDefault="003959B6" w:rsidP="003959B6">
      <w:pPr>
        <w:pStyle w:val="ListParagraph"/>
        <w:numPr>
          <w:ilvl w:val="0"/>
          <w:numId w:val="1"/>
        </w:numPr>
        <w:jc w:val="both"/>
        <w:rPr>
          <w:rFonts w:ascii="Arial" w:eastAsia="Times New Roman" w:hAnsi="Arial" w:cs="Arial"/>
          <w:sz w:val="22"/>
          <w:szCs w:val="22"/>
        </w:rPr>
      </w:pPr>
      <w:r>
        <w:rPr>
          <w:rFonts w:ascii="Arial" w:hAnsi="Arial" w:cs="Arial"/>
          <w:sz w:val="22"/>
          <w:szCs w:val="22"/>
        </w:rPr>
        <w:t xml:space="preserve">Identify lncRNA-PCG pair: </w:t>
      </w:r>
      <w:r w:rsidRPr="003959B6">
        <w:rPr>
          <w:rFonts w:ascii="Arial" w:hAnsi="Arial" w:cs="Arial"/>
          <w:sz w:val="22"/>
          <w:szCs w:val="22"/>
        </w:rPr>
        <w:t xml:space="preserve">a lncRNA-PCG pair </w:t>
      </w:r>
      <w:r>
        <w:rPr>
          <w:rFonts w:ascii="Arial" w:hAnsi="Arial" w:cs="Arial"/>
          <w:sz w:val="22"/>
          <w:szCs w:val="22"/>
        </w:rPr>
        <w:t>should meet</w:t>
      </w:r>
      <w:r w:rsidRPr="003959B6">
        <w:rPr>
          <w:rFonts w:ascii="Arial" w:hAnsi="Arial" w:cs="Arial"/>
          <w:sz w:val="22"/>
          <w:szCs w:val="22"/>
        </w:rPr>
        <w:t xml:space="preserve"> the following criteria: 1) the lncRNA overlaps with or is within 5 kb upstream of TSS or 1 kb downstream of TTS of its closest PCG, and 2) both the PCG and the neighboring lncRNA are differentially regulated by PBDE exposure compared to vehicle-treated group of the same enterotypes of mice (p &lt; 0.05).  </w:t>
      </w:r>
    </w:p>
    <w:p w14:paraId="591A1F85" w14:textId="357F92B3" w:rsidR="00662A97" w:rsidRPr="009D7878" w:rsidRDefault="003959B6" w:rsidP="009D7878">
      <w:pPr>
        <w:pStyle w:val="ListParagraph"/>
        <w:numPr>
          <w:ilvl w:val="0"/>
          <w:numId w:val="1"/>
        </w:numPr>
        <w:jc w:val="both"/>
        <w:rPr>
          <w:rFonts w:ascii="Arial" w:eastAsia="Times New Roman" w:hAnsi="Arial" w:cs="Arial"/>
          <w:sz w:val="22"/>
          <w:szCs w:val="22"/>
        </w:rPr>
      </w:pPr>
      <w:r w:rsidRPr="003959B6">
        <w:rPr>
          <w:rFonts w:ascii="Arial" w:hAnsi="Arial" w:cs="Arial"/>
          <w:sz w:val="22"/>
          <w:szCs w:val="22"/>
        </w:rPr>
        <w:t xml:space="preserve">The gene structure and relative genomic location of the lncRNA-PCG pairs are visualized using Integrated Genome Viewer (Broad Institute, Cambridge, MA).  </w:t>
      </w:r>
    </w:p>
    <w:p w14:paraId="367AA7E4" w14:textId="758D399E" w:rsidR="003959B6" w:rsidRPr="009D7878" w:rsidRDefault="003959B6" w:rsidP="009D7878">
      <w:pPr>
        <w:pStyle w:val="ListParagraph"/>
        <w:numPr>
          <w:ilvl w:val="0"/>
          <w:numId w:val="1"/>
        </w:numPr>
        <w:jc w:val="both"/>
        <w:outlineLvl w:val="0"/>
        <w:rPr>
          <w:rFonts w:ascii="Arial" w:hAnsi="Arial" w:cs="Arial"/>
          <w:sz w:val="22"/>
          <w:szCs w:val="22"/>
        </w:rPr>
      </w:pPr>
      <w:r w:rsidRPr="003959B6">
        <w:rPr>
          <w:rFonts w:ascii="Arial" w:hAnsi="Arial" w:cs="Arial"/>
          <w:sz w:val="22"/>
          <w:szCs w:val="22"/>
        </w:rPr>
        <w:t>Pathway analysis of differentially regulated PCGs and lncRNAs</w:t>
      </w:r>
      <w:r w:rsidR="009D7878">
        <w:rPr>
          <w:rFonts w:ascii="Arial" w:hAnsi="Arial" w:cs="Arial"/>
          <w:sz w:val="22"/>
          <w:szCs w:val="22"/>
        </w:rPr>
        <w:t xml:space="preserve">: </w:t>
      </w:r>
      <w:r w:rsidRPr="009D7878">
        <w:rPr>
          <w:rFonts w:ascii="Arial" w:hAnsi="Arial" w:cs="Arial"/>
          <w:sz w:val="22"/>
          <w:szCs w:val="22"/>
        </w:rPr>
        <w:t>The differentially regulated PCGs by 1) BDE-47 in CV mice, 2) BDE-99 in CV mice, 3) BDE-47 in GF mice or 4) BDE-99 in GF mice were each analyzed using Ingenuity Pathway Analysis (IPA, QIAGEN, Valencia, CA) to determine significantly altered gene networks.  The PCGs that were uniquely regulated by each of the above four cases were further analyzed by IPA to determine the specific effect of BDE-47 and BDE-99 in CV and GF conditions.  LncRNAs that were differentially regulated in each of the above four cases were separated into four datasets, and their paired PCGs in each dataset were submitted for STRING (Search Tool for the Retrieval of Interacting Genes/Proteins) analysis (</w:t>
      </w:r>
      <w:hyperlink r:id="rId7" w:history="1">
        <w:r w:rsidRPr="009D7878">
          <w:rPr>
            <w:rFonts w:ascii="Arial" w:hAnsi="Arial"/>
            <w:sz w:val="22"/>
            <w:szCs w:val="22"/>
          </w:rPr>
          <w:t>https://string-db.org/)</w:t>
        </w:r>
      </w:hyperlink>
      <w:r w:rsidRPr="009D7878">
        <w:rPr>
          <w:rFonts w:ascii="Arial" w:hAnsi="Arial" w:cs="Arial"/>
          <w:sz w:val="22"/>
          <w:szCs w:val="22"/>
        </w:rPr>
        <w:t xml:space="preserve">. </w:t>
      </w:r>
    </w:p>
    <w:p w14:paraId="1A87960B" w14:textId="77777777" w:rsidR="00146913" w:rsidRPr="003959B6" w:rsidRDefault="00146913">
      <w:pPr>
        <w:rPr>
          <w:rFonts w:ascii="Arial" w:hAnsi="Arial" w:cs="Arial"/>
          <w:sz w:val="22"/>
          <w:szCs w:val="22"/>
        </w:rPr>
      </w:pPr>
    </w:p>
    <w:sectPr w:rsidR="00146913" w:rsidRPr="003959B6" w:rsidSect="00662A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9259A6"/>
    <w:multiLevelType w:val="hybridMultilevel"/>
    <w:tmpl w:val="D2967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97"/>
    <w:rsid w:val="00146913"/>
    <w:rsid w:val="00211253"/>
    <w:rsid w:val="003959B6"/>
    <w:rsid w:val="00662A97"/>
    <w:rsid w:val="0088678C"/>
    <w:rsid w:val="009D78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C92428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A97"/>
    <w:pPr>
      <w:ind w:left="720"/>
      <w:contextualSpacing/>
    </w:pPr>
  </w:style>
  <w:style w:type="character" w:styleId="Hyperlink">
    <w:name w:val="Hyperlink"/>
    <w:basedOn w:val="DefaultParagraphFont"/>
    <w:uiPriority w:val="99"/>
    <w:unhideWhenUsed/>
    <w:rsid w:val="003959B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A97"/>
    <w:pPr>
      <w:ind w:left="720"/>
      <w:contextualSpacing/>
    </w:pPr>
  </w:style>
  <w:style w:type="character" w:styleId="Hyperlink">
    <w:name w:val="Hyperlink"/>
    <w:basedOn w:val="DefaultParagraphFont"/>
    <w:uiPriority w:val="99"/>
    <w:unhideWhenUsed/>
    <w:rsid w:val="003959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0593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manticore.niehs.nih.gov/pavis2/" TargetMode="External"/><Relationship Id="rId7" Type="http://schemas.openxmlformats.org/officeDocument/2006/relationships/hyperlink" Target="https://string-db.org/)"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539</Words>
  <Characters>3075</Characters>
  <Application>Microsoft Macintosh Word</Application>
  <DocSecurity>0</DocSecurity>
  <Lines>25</Lines>
  <Paragraphs>7</Paragraphs>
  <ScaleCrop>false</ScaleCrop>
  <Company>University of Washington</Company>
  <LinksUpToDate>false</LinksUpToDate>
  <CharactersWithSpaces>3607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Yue Cui</dc:creator>
  <cp:keywords/>
  <dc:description/>
  <cp:lastModifiedBy>Julia Yue Cui</cp:lastModifiedBy>
  <cp:revision>4</cp:revision>
  <dcterms:created xsi:type="dcterms:W3CDTF">2018-03-26T23:01:00Z</dcterms:created>
  <dcterms:modified xsi:type="dcterms:W3CDTF">2018-03-26T23:11:00Z</dcterms:modified>
</cp:coreProperties>
</file>