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941A4" w:rsidRDefault="006941A4" w:rsidP="006941A4">
      <w:pPr>
        <w:pStyle w:val="Normal1"/>
        <w:contextualSpacing w:val="0"/>
        <w:rPr>
          <w:b/>
          <w:sz w:val="28"/>
        </w:rPr>
      </w:pPr>
      <w:r w:rsidRPr="008E3EA1">
        <w:rPr>
          <w:b/>
          <w:sz w:val="28"/>
        </w:rPr>
        <w:t>M</w:t>
      </w:r>
      <w:r>
        <w:rPr>
          <w:b/>
          <w:sz w:val="28"/>
        </w:rPr>
        <w:t>aterials &amp; Methods</w:t>
      </w:r>
    </w:p>
    <w:p w:rsidR="006941A4" w:rsidRDefault="006941A4" w:rsidP="006941A4">
      <w:pPr>
        <w:pStyle w:val="Normal1"/>
        <w:contextualSpacing w:val="0"/>
        <w:rPr>
          <w:b/>
          <w:sz w:val="24"/>
        </w:rPr>
      </w:pPr>
      <w:r w:rsidRPr="008D5DEF">
        <w:rPr>
          <w:b/>
          <w:sz w:val="24"/>
        </w:rPr>
        <w:t>Plant materials and growth conditions</w:t>
      </w:r>
    </w:p>
    <w:p w:rsidR="006941A4" w:rsidRPr="008D5DEF" w:rsidRDefault="006941A4" w:rsidP="006941A4">
      <w:pPr>
        <w:pStyle w:val="Normal1"/>
        <w:contextualSpacing w:val="0"/>
        <w:rPr>
          <w:rFonts w:ascii="Times" w:hAnsi="Times"/>
          <w:sz w:val="24"/>
        </w:rPr>
      </w:pPr>
      <w:r w:rsidRPr="008D5DEF">
        <w:rPr>
          <w:rFonts w:ascii="Times" w:hAnsi="Times"/>
          <w:sz w:val="24"/>
        </w:rPr>
        <w:t xml:space="preserve">The experimental plants used in this study were Funaria </w:t>
      </w:r>
      <w:proofErr w:type="spellStart"/>
      <w:r w:rsidRPr="008D5DEF">
        <w:rPr>
          <w:rFonts w:ascii="Times" w:hAnsi="Times"/>
          <w:sz w:val="24"/>
        </w:rPr>
        <w:t>hygrometrica</w:t>
      </w:r>
      <w:proofErr w:type="spellEnd"/>
      <w:r w:rsidRPr="008D5DEF">
        <w:rPr>
          <w:rFonts w:ascii="Times" w:hAnsi="Times"/>
          <w:sz w:val="24"/>
        </w:rPr>
        <w:t xml:space="preserve"> </w:t>
      </w:r>
      <w:proofErr w:type="spellStart"/>
      <w:r w:rsidRPr="008D5DEF">
        <w:rPr>
          <w:rFonts w:ascii="Times" w:hAnsi="Times"/>
          <w:sz w:val="24"/>
        </w:rPr>
        <w:t>Hedw</w:t>
      </w:r>
      <w:proofErr w:type="spellEnd"/>
      <w:r w:rsidRPr="008D5DEF">
        <w:rPr>
          <w:rFonts w:ascii="Times" w:hAnsi="Times"/>
          <w:sz w:val="24"/>
        </w:rPr>
        <w:t xml:space="preserve">., </w:t>
      </w:r>
      <w:proofErr w:type="spellStart"/>
      <w:r w:rsidRPr="008D5DEF">
        <w:rPr>
          <w:rFonts w:ascii="Times" w:hAnsi="Times"/>
          <w:sz w:val="24"/>
        </w:rPr>
        <w:t>Physcomitrium</w:t>
      </w:r>
      <w:proofErr w:type="spellEnd"/>
      <w:r w:rsidRPr="008D5DEF">
        <w:rPr>
          <w:rFonts w:ascii="Times" w:hAnsi="Times"/>
          <w:sz w:val="24"/>
        </w:rPr>
        <w:t xml:space="preserve"> </w:t>
      </w:r>
      <w:proofErr w:type="spellStart"/>
      <w:r w:rsidRPr="008D5DEF">
        <w:rPr>
          <w:rFonts w:ascii="Times" w:hAnsi="Times"/>
          <w:sz w:val="24"/>
        </w:rPr>
        <w:t>acutifolium</w:t>
      </w:r>
      <w:proofErr w:type="spellEnd"/>
      <w:r w:rsidRPr="008D5DEF">
        <w:rPr>
          <w:rFonts w:ascii="Times" w:hAnsi="Times"/>
          <w:sz w:val="24"/>
        </w:rPr>
        <w:t xml:space="preserve"> Broth., and </w:t>
      </w:r>
      <w:proofErr w:type="spellStart"/>
      <w:r w:rsidRPr="008D5DEF">
        <w:rPr>
          <w:rFonts w:ascii="Times" w:hAnsi="Times"/>
          <w:sz w:val="24"/>
        </w:rPr>
        <w:t>Physcomitrella</w:t>
      </w:r>
      <w:proofErr w:type="spellEnd"/>
      <w:r w:rsidRPr="008D5DEF">
        <w:rPr>
          <w:rFonts w:ascii="Times" w:hAnsi="Times"/>
          <w:sz w:val="24"/>
        </w:rPr>
        <w:t xml:space="preserve"> patens (</w:t>
      </w:r>
      <w:proofErr w:type="spellStart"/>
      <w:r w:rsidRPr="008D5DEF">
        <w:rPr>
          <w:rFonts w:ascii="Times" w:hAnsi="Times"/>
          <w:sz w:val="24"/>
        </w:rPr>
        <w:t>Hedw</w:t>
      </w:r>
      <w:proofErr w:type="spellEnd"/>
      <w:r w:rsidRPr="008D5DEF">
        <w:rPr>
          <w:rFonts w:ascii="Times" w:hAnsi="Times"/>
          <w:sz w:val="24"/>
        </w:rPr>
        <w:t xml:space="preserve">.) Brunch &amp; </w:t>
      </w:r>
      <w:proofErr w:type="spellStart"/>
      <w:r w:rsidRPr="008D5DEF">
        <w:rPr>
          <w:rFonts w:ascii="Times" w:hAnsi="Times"/>
          <w:sz w:val="24"/>
        </w:rPr>
        <w:t>Schimp</w:t>
      </w:r>
      <w:proofErr w:type="spellEnd"/>
      <w:r w:rsidRPr="008D5DEF">
        <w:rPr>
          <w:rFonts w:ascii="Times" w:hAnsi="Times"/>
          <w:sz w:val="24"/>
        </w:rPr>
        <w:t xml:space="preserve">, as represented in Figure 6A, B, and C, respectively. The plant culture protocol methods were carried out according to the methods described by </w:t>
      </w:r>
      <w:proofErr w:type="spellStart"/>
      <w:r w:rsidRPr="008D5DEF">
        <w:rPr>
          <w:rFonts w:ascii="Times" w:hAnsi="Times"/>
          <w:sz w:val="24"/>
        </w:rPr>
        <w:t>Reski</w:t>
      </w:r>
      <w:proofErr w:type="spellEnd"/>
      <w:r w:rsidRPr="008D5DEF">
        <w:rPr>
          <w:rFonts w:ascii="Times" w:hAnsi="Times"/>
          <w:sz w:val="24"/>
        </w:rPr>
        <w:t xml:space="preserve"> et al. </w:t>
      </w:r>
      <w:r>
        <w:rPr>
          <w:rFonts w:ascii="Times" w:hAnsi="Times"/>
          <w:sz w:val="24"/>
        </w:rPr>
        <w:t>(</w:t>
      </w:r>
      <w:r w:rsidRPr="002B08F1">
        <w:rPr>
          <w:rFonts w:ascii="Times" w:hAnsi="Times"/>
          <w:i/>
          <w:sz w:val="24"/>
        </w:rPr>
        <w:t>1994</w:t>
      </w:r>
      <w:r>
        <w:rPr>
          <w:rFonts w:ascii="Times" w:hAnsi="Times"/>
          <w:sz w:val="24"/>
        </w:rPr>
        <w:t>)</w:t>
      </w:r>
      <w:r w:rsidRPr="008D5DEF">
        <w:rPr>
          <w:rFonts w:ascii="Times" w:hAnsi="Times"/>
          <w:sz w:val="24"/>
        </w:rPr>
        <w:t xml:space="preserve">. Two to three gametophytes were grown in KNOP </w:t>
      </w:r>
      <w:r>
        <w:rPr>
          <w:rFonts w:ascii="Times" w:hAnsi="Times"/>
          <w:sz w:val="24"/>
        </w:rPr>
        <w:t>(</w:t>
      </w:r>
      <w:proofErr w:type="spellStart"/>
      <w:r w:rsidRPr="002B08F1">
        <w:rPr>
          <w:rFonts w:ascii="Times" w:hAnsi="Times"/>
          <w:i/>
          <w:sz w:val="24"/>
        </w:rPr>
        <w:t>Reski</w:t>
      </w:r>
      <w:proofErr w:type="spellEnd"/>
      <w:r w:rsidRPr="002B08F1">
        <w:rPr>
          <w:rFonts w:ascii="Times" w:hAnsi="Times"/>
          <w:i/>
          <w:sz w:val="24"/>
        </w:rPr>
        <w:t xml:space="preserve"> &amp; Abel, 1985</w:t>
      </w:r>
      <w:r>
        <w:rPr>
          <w:rFonts w:ascii="Times" w:hAnsi="Times"/>
          <w:sz w:val="24"/>
        </w:rPr>
        <w:t>)</w:t>
      </w:r>
      <w:r w:rsidRPr="008D5DEF">
        <w:rPr>
          <w:rFonts w:ascii="Times" w:hAnsi="Times"/>
          <w:sz w:val="24"/>
        </w:rPr>
        <w:t xml:space="preserve"> liquid medium, containing 250 mg/L KH</w:t>
      </w:r>
      <w:r w:rsidRPr="002B08F1">
        <w:rPr>
          <w:rFonts w:ascii="Times" w:hAnsi="Times"/>
          <w:sz w:val="24"/>
          <w:vertAlign w:val="subscript"/>
        </w:rPr>
        <w:t>2</w:t>
      </w:r>
      <w:r w:rsidRPr="008D5DEF">
        <w:rPr>
          <w:rFonts w:ascii="Times" w:hAnsi="Times"/>
          <w:sz w:val="24"/>
        </w:rPr>
        <w:t>PO</w:t>
      </w:r>
      <w:r w:rsidRPr="002B08F1">
        <w:rPr>
          <w:rFonts w:ascii="Times" w:hAnsi="Times"/>
          <w:sz w:val="24"/>
          <w:vertAlign w:val="subscript"/>
        </w:rPr>
        <w:t>4</w:t>
      </w:r>
      <w:r w:rsidRPr="008D5DEF">
        <w:rPr>
          <w:rFonts w:ascii="Times" w:hAnsi="Times"/>
          <w:sz w:val="24"/>
        </w:rPr>
        <w:t>, 250 mg/L MgSO</w:t>
      </w:r>
      <w:r w:rsidRPr="002B08F1">
        <w:rPr>
          <w:rFonts w:ascii="Times" w:hAnsi="Times"/>
          <w:sz w:val="24"/>
          <w:vertAlign w:val="subscript"/>
        </w:rPr>
        <w:t>4</w:t>
      </w:r>
      <w:r w:rsidRPr="008D5DEF">
        <w:rPr>
          <w:rFonts w:ascii="Times" w:hAnsi="Times"/>
          <w:sz w:val="24"/>
        </w:rPr>
        <w:t xml:space="preserve"> × 7H</w:t>
      </w:r>
      <w:r w:rsidRPr="002B08F1">
        <w:rPr>
          <w:rFonts w:ascii="Times" w:hAnsi="Times"/>
          <w:sz w:val="24"/>
          <w:vertAlign w:val="subscript"/>
        </w:rPr>
        <w:t>2</w:t>
      </w:r>
      <w:r w:rsidRPr="008D5DEF">
        <w:rPr>
          <w:rFonts w:ascii="Times" w:hAnsi="Times"/>
          <w:sz w:val="24"/>
        </w:rPr>
        <w:t xml:space="preserve">O, 250 mg/L KCL, 1000 mg/L </w:t>
      </w:r>
      <w:proofErr w:type="gramStart"/>
      <w:r w:rsidRPr="008D5DEF">
        <w:rPr>
          <w:rFonts w:ascii="Times" w:hAnsi="Times"/>
          <w:sz w:val="24"/>
        </w:rPr>
        <w:t>Ca(</w:t>
      </w:r>
      <w:proofErr w:type="gramEnd"/>
      <w:r w:rsidRPr="008D5DEF">
        <w:rPr>
          <w:rFonts w:ascii="Times" w:hAnsi="Times"/>
          <w:sz w:val="24"/>
        </w:rPr>
        <w:t>NO</w:t>
      </w:r>
      <w:r w:rsidRPr="002B08F1">
        <w:rPr>
          <w:rFonts w:ascii="Times" w:hAnsi="Times"/>
          <w:sz w:val="24"/>
          <w:vertAlign w:val="subscript"/>
        </w:rPr>
        <w:t>3</w:t>
      </w:r>
      <w:r w:rsidRPr="008D5DEF">
        <w:rPr>
          <w:rFonts w:ascii="Times" w:hAnsi="Times"/>
          <w:sz w:val="24"/>
        </w:rPr>
        <w:t>)</w:t>
      </w:r>
      <w:r w:rsidRPr="002B08F1">
        <w:rPr>
          <w:rFonts w:ascii="Times" w:hAnsi="Times"/>
          <w:sz w:val="24"/>
          <w:vertAlign w:val="subscript"/>
        </w:rPr>
        <w:t>2</w:t>
      </w:r>
      <w:r w:rsidRPr="008D5DEF">
        <w:rPr>
          <w:rFonts w:ascii="Times" w:hAnsi="Times"/>
          <w:sz w:val="24"/>
        </w:rPr>
        <w:t xml:space="preserve"> × 7H</w:t>
      </w:r>
      <w:r w:rsidRPr="002B08F1">
        <w:rPr>
          <w:rFonts w:ascii="Times" w:hAnsi="Times"/>
          <w:sz w:val="24"/>
          <w:vertAlign w:val="subscript"/>
        </w:rPr>
        <w:t>2</w:t>
      </w:r>
      <w:r w:rsidRPr="008D5DEF">
        <w:rPr>
          <w:rFonts w:ascii="Times" w:hAnsi="Times"/>
          <w:sz w:val="24"/>
        </w:rPr>
        <w:t>O, 12,5 mg/L FeSO</w:t>
      </w:r>
      <w:r w:rsidRPr="002B08F1">
        <w:rPr>
          <w:rFonts w:ascii="Times" w:hAnsi="Times"/>
          <w:sz w:val="24"/>
          <w:vertAlign w:val="subscript"/>
        </w:rPr>
        <w:t>4</w:t>
      </w:r>
      <w:r w:rsidRPr="008D5DEF">
        <w:rPr>
          <w:rFonts w:ascii="Times" w:hAnsi="Times"/>
          <w:sz w:val="24"/>
        </w:rPr>
        <w:t xml:space="preserve"> × 7H</w:t>
      </w:r>
      <w:r w:rsidRPr="002B08F1">
        <w:rPr>
          <w:rFonts w:ascii="Times" w:hAnsi="Times"/>
          <w:sz w:val="24"/>
          <w:vertAlign w:val="subscript"/>
        </w:rPr>
        <w:t>2</w:t>
      </w:r>
      <w:r w:rsidRPr="008D5DEF">
        <w:rPr>
          <w:rFonts w:ascii="Times" w:hAnsi="Times"/>
          <w:sz w:val="24"/>
        </w:rPr>
        <w:t>O, pH 5.8, under constant agitation.</w:t>
      </w:r>
    </w:p>
    <w:p w:rsidR="006941A4" w:rsidRDefault="006941A4" w:rsidP="006941A4">
      <w:pPr>
        <w:pStyle w:val="Normal1"/>
        <w:contextualSpacing w:val="0"/>
        <w:rPr>
          <w:rFonts w:ascii="Times" w:hAnsi="Times"/>
          <w:sz w:val="24"/>
        </w:rPr>
      </w:pPr>
      <w:r w:rsidRPr="008D5DEF">
        <w:rPr>
          <w:rFonts w:ascii="Times" w:hAnsi="Times"/>
          <w:sz w:val="24"/>
        </w:rPr>
        <w:t xml:space="preserve">The plants were grown in the medium for 7 days in a photoperiod greenhouse with 16 h/8 h light/dark at a temperature of 23 ± 1°C. After initial growth, the regenerated tufts were transferred to liquid KNOP medium supplemented with different concentrations of NaCl (200, 400, 600, and 800 mM) to obtain the same stages of development for all the plants. The plants were grown under the same conditions in both the 12 h and 24 h experiments. All plant and treatment experiments were performed in 4 replicates. After the salinity experiments, the samples were stored at </w:t>
      </w:r>
      <w:r w:rsidRPr="008D5DEF">
        <w:rPr>
          <w:rFonts w:ascii="Times New Roman" w:hAnsi="Times New Roman" w:cs="Times New Roman"/>
          <w:sz w:val="24"/>
        </w:rPr>
        <w:t>‒</w:t>
      </w:r>
      <w:r w:rsidRPr="008D5DEF">
        <w:rPr>
          <w:rFonts w:ascii="Times" w:hAnsi="Times"/>
          <w:sz w:val="24"/>
        </w:rPr>
        <w:t>80°C until RNA extraction</w:t>
      </w:r>
      <w:r>
        <w:rPr>
          <w:rFonts w:ascii="Times" w:hAnsi="Times"/>
          <w:sz w:val="24"/>
        </w:rPr>
        <w:t>.</w:t>
      </w:r>
    </w:p>
    <w:p w:rsidR="006941A4" w:rsidRDefault="006941A4" w:rsidP="006941A4">
      <w:pPr>
        <w:pStyle w:val="Normal1"/>
        <w:contextualSpacing w:val="0"/>
        <w:rPr>
          <w:rFonts w:ascii="Times" w:hAnsi="Times"/>
          <w:sz w:val="24"/>
        </w:rPr>
      </w:pPr>
    </w:p>
    <w:p w:rsidR="006941A4" w:rsidRDefault="006941A4" w:rsidP="006941A4">
      <w:pPr>
        <w:pStyle w:val="Normal1"/>
        <w:contextualSpacing w:val="0"/>
        <w:rPr>
          <w:b/>
          <w:sz w:val="24"/>
        </w:rPr>
      </w:pPr>
      <w:r w:rsidRPr="008D5DEF">
        <w:rPr>
          <w:b/>
          <w:sz w:val="24"/>
        </w:rPr>
        <w:t>RNA extraction and quantification</w:t>
      </w:r>
    </w:p>
    <w:p w:rsidR="006941A4" w:rsidRPr="007B6DD5" w:rsidRDefault="006941A4" w:rsidP="006941A4">
      <w:pPr>
        <w:pStyle w:val="Normal1"/>
        <w:contextualSpacing w:val="0"/>
        <w:rPr>
          <w:rFonts w:ascii="Times" w:hAnsi="Times"/>
          <w:sz w:val="24"/>
        </w:rPr>
      </w:pPr>
      <w:r w:rsidRPr="008D5DEF">
        <w:rPr>
          <w:rFonts w:ascii="Times" w:hAnsi="Times"/>
          <w:sz w:val="24"/>
        </w:rPr>
        <w:t xml:space="preserve">After the salinity experiments, the samples were subjected to total RNA extraction protocol using a </w:t>
      </w:r>
      <w:proofErr w:type="spellStart"/>
      <w:r w:rsidRPr="008D5DEF">
        <w:rPr>
          <w:rFonts w:ascii="Times" w:hAnsi="Times"/>
          <w:sz w:val="24"/>
        </w:rPr>
        <w:t>PureLink</w:t>
      </w:r>
      <w:proofErr w:type="spellEnd"/>
      <w:r w:rsidRPr="008D5DEF">
        <w:rPr>
          <w:rFonts w:ascii="Times" w:hAnsi="Times"/>
          <w:sz w:val="24"/>
        </w:rPr>
        <w:t>™ RNA Mini Kit (Invitrogen, CA, USA). Briefly, &lt;100 mg of plant tissue was used for extraction, according to the recommendations established by the kit. The extraction product was quantitated using a Qubit™ RNA HS Assay Kit (Invitrogen, CA, USA) with Qubit Fluorometric Quantitation (Thermo Fisher Scientific, CA, USA) kit.</w:t>
      </w:r>
    </w:p>
    <w:p w:rsidR="006941A4" w:rsidRDefault="006941A4" w:rsidP="006941A4">
      <w:pPr>
        <w:pStyle w:val="Normal1"/>
        <w:contextualSpacing w:val="0"/>
        <w:rPr>
          <w:rFonts w:ascii="Times" w:hAnsi="Times"/>
          <w:sz w:val="24"/>
        </w:rPr>
      </w:pPr>
    </w:p>
    <w:p w:rsidR="006941A4" w:rsidRDefault="006941A4" w:rsidP="006941A4">
      <w:pPr>
        <w:pStyle w:val="Normal1"/>
        <w:contextualSpacing w:val="0"/>
        <w:rPr>
          <w:b/>
          <w:sz w:val="24"/>
        </w:rPr>
      </w:pPr>
      <w:r w:rsidRPr="002B08F1">
        <w:rPr>
          <w:b/>
          <w:sz w:val="24"/>
        </w:rPr>
        <w:t>cDNA synthesis and quantification</w:t>
      </w:r>
    </w:p>
    <w:p w:rsidR="006941A4" w:rsidRDefault="006941A4" w:rsidP="006941A4">
      <w:pPr>
        <w:pStyle w:val="Normal1"/>
        <w:contextualSpacing w:val="0"/>
        <w:rPr>
          <w:rFonts w:ascii="Times" w:hAnsi="Times"/>
          <w:sz w:val="24"/>
        </w:rPr>
      </w:pPr>
      <w:r w:rsidRPr="002B08F1">
        <w:rPr>
          <w:rFonts w:ascii="Times" w:hAnsi="Times"/>
          <w:sz w:val="24"/>
        </w:rPr>
        <w:t>The replicates of each treatment were pooled for further analysis. The samples were cDNA-transformed using a High-Capacity RNA-to-</w:t>
      </w:r>
      <w:proofErr w:type="spellStart"/>
      <w:r w:rsidRPr="002B08F1">
        <w:rPr>
          <w:rFonts w:ascii="Times" w:hAnsi="Times"/>
          <w:sz w:val="24"/>
        </w:rPr>
        <w:t>cDNATM</w:t>
      </w:r>
      <w:proofErr w:type="spellEnd"/>
      <w:r w:rsidRPr="002B08F1">
        <w:rPr>
          <w:rFonts w:ascii="Times" w:hAnsi="Times"/>
          <w:sz w:val="24"/>
        </w:rPr>
        <w:t xml:space="preserve"> Kit (Applied Biosystems, Foster City, CA, US) and quantitated using a Qubit™ dsDNA HS Assay Kit (Invitrogen, CA, USA) by Qubit Fluorometric Quantitation (Thermo Fisher Scientific, CA, USA).</w:t>
      </w:r>
    </w:p>
    <w:p w:rsidR="006941A4" w:rsidRDefault="006941A4" w:rsidP="006941A4">
      <w:pPr>
        <w:pStyle w:val="Normal1"/>
        <w:contextualSpacing w:val="0"/>
        <w:rPr>
          <w:rFonts w:ascii="Times" w:hAnsi="Times"/>
          <w:sz w:val="24"/>
        </w:rPr>
      </w:pPr>
    </w:p>
    <w:p w:rsidR="006941A4" w:rsidRDefault="006941A4" w:rsidP="006941A4">
      <w:pPr>
        <w:pStyle w:val="Normal1"/>
        <w:contextualSpacing w:val="0"/>
        <w:rPr>
          <w:b/>
          <w:sz w:val="24"/>
        </w:rPr>
      </w:pPr>
      <w:r w:rsidRPr="002B08F1">
        <w:rPr>
          <w:b/>
          <w:sz w:val="24"/>
        </w:rPr>
        <w:t>Gene expression analysis</w:t>
      </w:r>
    </w:p>
    <w:p w:rsidR="006941A4" w:rsidRDefault="006941A4" w:rsidP="006941A4">
      <w:pPr>
        <w:pStyle w:val="Normal1"/>
        <w:contextualSpacing w:val="0"/>
        <w:rPr>
          <w:rFonts w:ascii="Times" w:hAnsi="Times"/>
          <w:sz w:val="24"/>
        </w:rPr>
      </w:pPr>
      <w:r w:rsidRPr="002B08F1">
        <w:rPr>
          <w:rFonts w:ascii="Times" w:hAnsi="Times"/>
          <w:sz w:val="24"/>
        </w:rPr>
        <w:t xml:space="preserve">Samples were diluted with nuclease-free water (Promega) to standardize the amount of cDNA. The standard used was 20 ng of cDNA per </w:t>
      </w:r>
      <w:proofErr w:type="spellStart"/>
      <w:r w:rsidRPr="002B08F1">
        <w:rPr>
          <w:rFonts w:ascii="Times" w:hAnsi="Times"/>
          <w:sz w:val="24"/>
        </w:rPr>
        <w:t>millilitre</w:t>
      </w:r>
      <w:proofErr w:type="spellEnd"/>
      <w:r w:rsidRPr="002B08F1">
        <w:rPr>
          <w:rFonts w:ascii="Times" w:hAnsi="Times"/>
          <w:sz w:val="24"/>
        </w:rPr>
        <w:t xml:space="preserve">. The </w:t>
      </w:r>
      <w:proofErr w:type="spellStart"/>
      <w:r w:rsidRPr="002B08F1">
        <w:rPr>
          <w:rFonts w:ascii="Times" w:hAnsi="Times"/>
          <w:sz w:val="24"/>
        </w:rPr>
        <w:t>qRT</w:t>
      </w:r>
      <w:proofErr w:type="spellEnd"/>
      <w:r w:rsidRPr="002B08F1">
        <w:rPr>
          <w:rFonts w:ascii="Times" w:hAnsi="Times"/>
          <w:sz w:val="24"/>
        </w:rPr>
        <w:t xml:space="preserve">-PCR experiments were performed post-standardization using the </w:t>
      </w:r>
      <w:proofErr w:type="spellStart"/>
      <w:r w:rsidRPr="002B08F1">
        <w:rPr>
          <w:rFonts w:ascii="Times" w:hAnsi="Times"/>
          <w:sz w:val="24"/>
        </w:rPr>
        <w:t>GoTaq</w:t>
      </w:r>
      <w:proofErr w:type="spellEnd"/>
      <w:r w:rsidRPr="002B08F1">
        <w:rPr>
          <w:rFonts w:ascii="Times" w:hAnsi="Times"/>
          <w:sz w:val="24"/>
        </w:rPr>
        <w:t xml:space="preserve">® qPCR Master Mix kit (Promega), a system consisting of a fluorescent DNA-binding dye, BRYT Green® Dye. The protocol was carried out according to the manufacturer’s instructions and run on Rotor-Gene Q (Qiagen). The PaMBF1c gene was </w:t>
      </w:r>
      <w:proofErr w:type="spellStart"/>
      <w:r w:rsidRPr="002B08F1">
        <w:rPr>
          <w:rFonts w:ascii="Times" w:hAnsi="Times"/>
          <w:sz w:val="24"/>
        </w:rPr>
        <w:t>analysed</w:t>
      </w:r>
      <w:proofErr w:type="spellEnd"/>
      <w:r w:rsidRPr="002B08F1">
        <w:rPr>
          <w:rFonts w:ascii="Times" w:hAnsi="Times"/>
          <w:sz w:val="24"/>
        </w:rPr>
        <w:t xml:space="preserve"> using the following primer pair: forward primer: 5'- CCGAACTTGCACAGAAGAT-3', reverse primer: 5'-GCGTCTGTTTACGAATTTACAC-3', as described by </w:t>
      </w:r>
      <w:proofErr w:type="spellStart"/>
      <w:r w:rsidRPr="002B08F1">
        <w:rPr>
          <w:rFonts w:ascii="Times" w:hAnsi="Times"/>
          <w:sz w:val="24"/>
        </w:rPr>
        <w:t>Alavilli</w:t>
      </w:r>
      <w:proofErr w:type="spellEnd"/>
      <w:r w:rsidRPr="002B08F1">
        <w:rPr>
          <w:rFonts w:ascii="Times" w:hAnsi="Times"/>
          <w:sz w:val="24"/>
        </w:rPr>
        <w:t xml:space="preserve"> et al. (</w:t>
      </w:r>
      <w:r w:rsidRPr="002B08F1">
        <w:rPr>
          <w:rFonts w:ascii="Times" w:hAnsi="Times"/>
          <w:i/>
          <w:sz w:val="24"/>
        </w:rPr>
        <w:t>2017</w:t>
      </w:r>
      <w:r w:rsidRPr="002B08F1">
        <w:rPr>
          <w:rFonts w:ascii="Times" w:hAnsi="Times"/>
          <w:sz w:val="24"/>
        </w:rPr>
        <w:t xml:space="preserve">). The expression was calculated by normalizing the expression values against those of the housekeeping gene, actin 2/8: forward primer: 5'- </w:t>
      </w:r>
      <w:r w:rsidRPr="002B08F1">
        <w:rPr>
          <w:rFonts w:ascii="Times" w:hAnsi="Times"/>
          <w:sz w:val="24"/>
        </w:rPr>
        <w:lastRenderedPageBreak/>
        <w:t>GGTAACATTGTGCTCAGTGGTGG-3',</w:t>
      </w:r>
      <w:r w:rsidRPr="002B08F1">
        <w:rPr>
          <w:rFonts w:ascii="Times" w:hAnsi="Times"/>
          <w:sz w:val="24"/>
        </w:rPr>
        <w:tab/>
        <w:t>reverse</w:t>
      </w:r>
      <w:r w:rsidRPr="002B08F1">
        <w:rPr>
          <w:rFonts w:ascii="Times" w:hAnsi="Times"/>
          <w:sz w:val="24"/>
        </w:rPr>
        <w:tab/>
        <w:t>primer:</w:t>
      </w:r>
      <w:r w:rsidRPr="002B08F1">
        <w:rPr>
          <w:rFonts w:ascii="Times" w:hAnsi="Times"/>
          <w:sz w:val="24"/>
        </w:rPr>
        <w:tab/>
        <w:t xml:space="preserve">5'- AACGACCTTAATCTTCATGCTGC-3'. The amplification protocol consisted of 2 min for </w:t>
      </w:r>
      <w:proofErr w:type="spellStart"/>
      <w:r w:rsidRPr="002B08F1">
        <w:rPr>
          <w:rFonts w:ascii="Times" w:hAnsi="Times"/>
          <w:sz w:val="24"/>
        </w:rPr>
        <w:t>GoTaq</w:t>
      </w:r>
      <w:proofErr w:type="spellEnd"/>
      <w:r w:rsidRPr="002B08F1">
        <w:rPr>
          <w:rFonts w:ascii="Times" w:hAnsi="Times"/>
          <w:sz w:val="24"/>
        </w:rPr>
        <w:t xml:space="preserve">® Hot Start Polymerase Activation at 95 °C, followed by 45 cycles at 95 °C for 15 s, 60 °C for 1 min. The ΔΔCT method was used to calculate the expression levels </w:t>
      </w:r>
      <w:r>
        <w:rPr>
          <w:rFonts w:ascii="Times" w:hAnsi="Times"/>
          <w:sz w:val="24"/>
        </w:rPr>
        <w:t>(</w:t>
      </w:r>
      <w:proofErr w:type="spellStart"/>
      <w:r w:rsidRPr="002B08F1">
        <w:rPr>
          <w:rFonts w:ascii="Times" w:hAnsi="Times"/>
          <w:i/>
          <w:sz w:val="24"/>
        </w:rPr>
        <w:t>Livak</w:t>
      </w:r>
      <w:proofErr w:type="spellEnd"/>
      <w:r w:rsidRPr="002B08F1">
        <w:rPr>
          <w:rFonts w:ascii="Times" w:hAnsi="Times"/>
          <w:i/>
          <w:sz w:val="24"/>
        </w:rPr>
        <w:t xml:space="preserve"> &amp; </w:t>
      </w:r>
      <w:proofErr w:type="spellStart"/>
      <w:r w:rsidRPr="002B08F1">
        <w:rPr>
          <w:rFonts w:ascii="Times" w:hAnsi="Times"/>
          <w:i/>
          <w:sz w:val="24"/>
        </w:rPr>
        <w:t>Schmittgen</w:t>
      </w:r>
      <w:proofErr w:type="spellEnd"/>
      <w:r w:rsidRPr="002B08F1">
        <w:rPr>
          <w:rFonts w:ascii="Times" w:hAnsi="Times"/>
          <w:i/>
          <w:sz w:val="24"/>
        </w:rPr>
        <w:t>, 2001</w:t>
      </w:r>
      <w:r>
        <w:rPr>
          <w:rFonts w:ascii="Times" w:hAnsi="Times"/>
          <w:sz w:val="24"/>
        </w:rPr>
        <w:t>)</w:t>
      </w:r>
      <w:r w:rsidRPr="002B08F1">
        <w:rPr>
          <w:rFonts w:ascii="Times" w:hAnsi="Times"/>
          <w:sz w:val="24"/>
        </w:rPr>
        <w:t>.</w:t>
      </w:r>
    </w:p>
    <w:p w:rsidR="006941A4" w:rsidRDefault="006941A4" w:rsidP="006941A4">
      <w:pPr>
        <w:pStyle w:val="Normal1"/>
        <w:contextualSpacing w:val="0"/>
        <w:rPr>
          <w:rFonts w:ascii="Times" w:hAnsi="Times"/>
          <w:sz w:val="24"/>
        </w:rPr>
      </w:pPr>
    </w:p>
    <w:p w:rsidR="006941A4" w:rsidRDefault="006941A4" w:rsidP="006941A4">
      <w:pPr>
        <w:pStyle w:val="Normal1"/>
        <w:contextualSpacing w:val="0"/>
        <w:rPr>
          <w:b/>
          <w:sz w:val="24"/>
        </w:rPr>
      </w:pPr>
      <w:r w:rsidRPr="002B08F1">
        <w:rPr>
          <w:b/>
          <w:sz w:val="24"/>
        </w:rPr>
        <w:t>GENEVESTIGATOR analysis</w:t>
      </w:r>
    </w:p>
    <w:p w:rsidR="006941A4" w:rsidRDefault="006941A4" w:rsidP="006941A4">
      <w:pPr>
        <w:pStyle w:val="Normal1"/>
        <w:contextualSpacing w:val="0"/>
        <w:rPr>
          <w:rFonts w:ascii="Times" w:hAnsi="Times"/>
          <w:sz w:val="24"/>
        </w:rPr>
      </w:pPr>
      <w:r w:rsidRPr="002B08F1">
        <w:rPr>
          <w:rFonts w:ascii="Times" w:hAnsi="Times"/>
          <w:sz w:val="24"/>
        </w:rPr>
        <w:t xml:space="preserve">The P. patens MBF1 sequences were searched for in </w:t>
      </w:r>
      <w:proofErr w:type="spellStart"/>
      <w:r w:rsidRPr="002B08F1">
        <w:rPr>
          <w:rFonts w:ascii="Times" w:hAnsi="Times"/>
          <w:sz w:val="24"/>
        </w:rPr>
        <w:t>Phytozome</w:t>
      </w:r>
      <w:proofErr w:type="spellEnd"/>
      <w:r w:rsidRPr="002B08F1">
        <w:rPr>
          <w:rFonts w:ascii="Times" w:hAnsi="Times"/>
          <w:sz w:val="24"/>
        </w:rPr>
        <w:t xml:space="preserve"> 12.1.6 </w:t>
      </w:r>
      <w:r>
        <w:rPr>
          <w:rFonts w:ascii="Times" w:hAnsi="Times"/>
          <w:sz w:val="24"/>
        </w:rPr>
        <w:t>(</w:t>
      </w:r>
      <w:r w:rsidRPr="002B08F1">
        <w:rPr>
          <w:rFonts w:ascii="Times" w:hAnsi="Times"/>
          <w:i/>
          <w:sz w:val="24"/>
        </w:rPr>
        <w:t>Goodstein et al., 2011</w:t>
      </w:r>
      <w:r>
        <w:rPr>
          <w:rFonts w:ascii="Times" w:hAnsi="Times"/>
          <w:sz w:val="24"/>
        </w:rPr>
        <w:t>)</w:t>
      </w:r>
      <w:r w:rsidRPr="002B08F1">
        <w:rPr>
          <w:rFonts w:ascii="Times" w:hAnsi="Times"/>
          <w:sz w:val="24"/>
        </w:rPr>
        <w:t xml:space="preserve">. The selected "Phypa_110138" sequence is an alias of the Pp3c10_13060 gene, which shares information with the transcription factor PaMBF1c. Using the GENEVESTIGATOR software </w:t>
      </w:r>
      <w:r>
        <w:rPr>
          <w:rFonts w:ascii="Times" w:hAnsi="Times"/>
          <w:sz w:val="24"/>
        </w:rPr>
        <w:t>(</w:t>
      </w:r>
      <w:proofErr w:type="spellStart"/>
      <w:r w:rsidRPr="002B08F1">
        <w:rPr>
          <w:rFonts w:ascii="Times" w:hAnsi="Times"/>
          <w:i/>
          <w:sz w:val="24"/>
        </w:rPr>
        <w:t>Hruz</w:t>
      </w:r>
      <w:proofErr w:type="spellEnd"/>
      <w:r w:rsidRPr="002B08F1">
        <w:rPr>
          <w:rFonts w:ascii="Times" w:hAnsi="Times"/>
          <w:i/>
          <w:sz w:val="24"/>
        </w:rPr>
        <w:t xml:space="preserve"> et al., 2008</w:t>
      </w:r>
      <w:r>
        <w:rPr>
          <w:rFonts w:ascii="Times" w:hAnsi="Times"/>
          <w:sz w:val="24"/>
        </w:rPr>
        <w:t>)</w:t>
      </w:r>
      <w:r w:rsidRPr="002B08F1">
        <w:rPr>
          <w:rFonts w:ascii="Times" w:hAnsi="Times"/>
          <w:sz w:val="24"/>
        </w:rPr>
        <w:t xml:space="preserve">, investigations into the "Custom </w:t>
      </w:r>
      <w:proofErr w:type="spellStart"/>
      <w:r w:rsidRPr="002B08F1">
        <w:rPr>
          <w:rFonts w:ascii="Times" w:hAnsi="Times"/>
          <w:sz w:val="24"/>
        </w:rPr>
        <w:t>Physcomitrella</w:t>
      </w:r>
      <w:proofErr w:type="spellEnd"/>
      <w:r w:rsidRPr="002B08F1">
        <w:rPr>
          <w:rFonts w:ascii="Times" w:hAnsi="Times"/>
          <w:sz w:val="24"/>
        </w:rPr>
        <w:t xml:space="preserve"> all-gene-array" platform demonstrated the presence of perturbations co-related to the Phypa_110138 gene.</w:t>
      </w:r>
    </w:p>
    <w:p w:rsidR="006941A4" w:rsidRDefault="006941A4" w:rsidP="006941A4">
      <w:pPr>
        <w:pStyle w:val="Normal1"/>
        <w:contextualSpacing w:val="0"/>
        <w:rPr>
          <w:rFonts w:ascii="Times" w:hAnsi="Times"/>
          <w:sz w:val="24"/>
        </w:rPr>
      </w:pPr>
    </w:p>
    <w:p w:rsidR="006941A4" w:rsidRDefault="006941A4" w:rsidP="006941A4">
      <w:pPr>
        <w:pStyle w:val="Normal1"/>
        <w:contextualSpacing w:val="0"/>
        <w:rPr>
          <w:b/>
          <w:sz w:val="24"/>
        </w:rPr>
      </w:pPr>
      <w:proofErr w:type="spellStart"/>
      <w:r w:rsidRPr="002B08F1">
        <w:rPr>
          <w:b/>
          <w:sz w:val="24"/>
        </w:rPr>
        <w:t>PEATmoss</w:t>
      </w:r>
      <w:proofErr w:type="spellEnd"/>
      <w:r w:rsidRPr="002B08F1">
        <w:rPr>
          <w:b/>
          <w:sz w:val="24"/>
        </w:rPr>
        <w:t xml:space="preserve"> assays</w:t>
      </w:r>
    </w:p>
    <w:p w:rsidR="006941A4" w:rsidRPr="003774B5" w:rsidRDefault="006941A4" w:rsidP="006941A4">
      <w:pPr>
        <w:pStyle w:val="Normal1"/>
        <w:contextualSpacing w:val="0"/>
        <w:rPr>
          <w:rFonts w:ascii="Times" w:hAnsi="Times"/>
          <w:sz w:val="24"/>
        </w:rPr>
      </w:pPr>
      <w:r w:rsidRPr="002B08F1">
        <w:rPr>
          <w:rFonts w:ascii="Times" w:hAnsi="Times"/>
          <w:sz w:val="24"/>
        </w:rPr>
        <w:t xml:space="preserve">The heatmap assays and expression levels at different stages of </w:t>
      </w:r>
      <w:proofErr w:type="spellStart"/>
      <w:r w:rsidRPr="002B08F1">
        <w:rPr>
          <w:rFonts w:ascii="Times" w:hAnsi="Times"/>
          <w:i/>
          <w:sz w:val="24"/>
        </w:rPr>
        <w:t>Physcomitrella</w:t>
      </w:r>
      <w:proofErr w:type="spellEnd"/>
      <w:r w:rsidRPr="002B08F1">
        <w:rPr>
          <w:rFonts w:ascii="Times" w:hAnsi="Times"/>
          <w:i/>
          <w:sz w:val="24"/>
        </w:rPr>
        <w:t xml:space="preserve"> patens</w:t>
      </w:r>
      <w:r w:rsidRPr="002B08F1">
        <w:rPr>
          <w:rFonts w:ascii="Times" w:hAnsi="Times"/>
          <w:sz w:val="24"/>
        </w:rPr>
        <w:t xml:space="preserve"> development were performed using the </w:t>
      </w:r>
      <w:proofErr w:type="spellStart"/>
      <w:r w:rsidRPr="002B08F1">
        <w:rPr>
          <w:rFonts w:ascii="Times" w:hAnsi="Times"/>
          <w:sz w:val="24"/>
        </w:rPr>
        <w:t>PEATmoss</w:t>
      </w:r>
      <w:proofErr w:type="spellEnd"/>
      <w:r w:rsidRPr="002B08F1">
        <w:rPr>
          <w:rFonts w:ascii="Times" w:hAnsi="Times"/>
          <w:sz w:val="24"/>
        </w:rPr>
        <w:t xml:space="preserve"> platform </w:t>
      </w:r>
      <w:r>
        <w:rPr>
          <w:rFonts w:ascii="Times" w:hAnsi="Times"/>
          <w:sz w:val="24"/>
        </w:rPr>
        <w:t>(</w:t>
      </w:r>
      <w:r w:rsidRPr="002B08F1">
        <w:rPr>
          <w:rFonts w:ascii="Times" w:hAnsi="Times"/>
          <w:i/>
          <w:sz w:val="24"/>
        </w:rPr>
        <w:t>Fernandez-</w:t>
      </w:r>
      <w:proofErr w:type="spellStart"/>
      <w:r w:rsidRPr="002B08F1">
        <w:rPr>
          <w:rFonts w:ascii="Times" w:hAnsi="Times"/>
          <w:i/>
          <w:sz w:val="24"/>
        </w:rPr>
        <w:t>Pozo</w:t>
      </w:r>
      <w:proofErr w:type="spellEnd"/>
      <w:r w:rsidRPr="002B08F1">
        <w:rPr>
          <w:rFonts w:ascii="Times" w:hAnsi="Times"/>
          <w:i/>
          <w:sz w:val="24"/>
        </w:rPr>
        <w:t xml:space="preserve"> et al., 2019</w:t>
      </w:r>
      <w:r>
        <w:rPr>
          <w:rFonts w:ascii="Times" w:hAnsi="Times"/>
          <w:sz w:val="24"/>
        </w:rPr>
        <w:t>)</w:t>
      </w:r>
      <w:r w:rsidRPr="002B08F1">
        <w:rPr>
          <w:rFonts w:ascii="Times" w:hAnsi="Times"/>
          <w:sz w:val="24"/>
        </w:rPr>
        <w:t xml:space="preserve">. The reference genome used is the most recent and currently available gene annotation, v3.3 </w:t>
      </w:r>
      <w:r>
        <w:rPr>
          <w:rFonts w:ascii="Times" w:hAnsi="Times"/>
          <w:sz w:val="24"/>
        </w:rPr>
        <w:t>(</w:t>
      </w:r>
      <w:r w:rsidRPr="002B08F1">
        <w:rPr>
          <w:rFonts w:ascii="Times" w:hAnsi="Times"/>
          <w:i/>
          <w:sz w:val="24"/>
        </w:rPr>
        <w:t>Lang et al., 2018</w:t>
      </w:r>
      <w:r>
        <w:rPr>
          <w:rFonts w:ascii="Times" w:hAnsi="Times"/>
          <w:sz w:val="24"/>
        </w:rPr>
        <w:t>)</w:t>
      </w:r>
      <w:r w:rsidRPr="002B08F1">
        <w:rPr>
          <w:rFonts w:ascii="Times" w:hAnsi="Times"/>
          <w:sz w:val="24"/>
        </w:rPr>
        <w:t>. ID Pp3c8_3310V3.1, Pp3c3_36750V3.1, and Pp3c10_13060V3.1 refer to the MBF1 copies of MBF1b, MBF1b, and MBF1a, respectively.</w:t>
      </w:r>
    </w:p>
    <w:p w:rsidR="006941A4" w:rsidRPr="006941A4" w:rsidRDefault="006941A4">
      <w:pPr>
        <w:rPr>
          <w:lang w:val="en-US"/>
        </w:rPr>
      </w:pPr>
    </w:p>
    <w:sectPr w:rsidR="006941A4" w:rsidRPr="006941A4" w:rsidSect="003D7713">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1A4"/>
    <w:rsid w:val="003D7713"/>
    <w:rsid w:val="006941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ACB8E7-C4BF-2243-8719-7DE0E0D26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Normal1">
    <w:name w:val="Normal1"/>
    <w:rsid w:val="006941A4"/>
    <w:pPr>
      <w:spacing w:line="276" w:lineRule="auto"/>
      <w:contextualSpacing/>
    </w:pPr>
    <w:rPr>
      <w:rFonts w:ascii="Arial" w:eastAsia="Arial" w:hAnsi="Arial" w:cs="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3406</Characters>
  <Application>Microsoft Office Word</Application>
  <DocSecurity>0</DocSecurity>
  <Lines>28</Lines>
  <Paragraphs>8</Paragraphs>
  <ScaleCrop>false</ScaleCrop>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filipevictoria@icloud.com</dc:creator>
  <cp:keywords/>
  <dc:description/>
  <cp:lastModifiedBy>filipevictoria@icloud.com</cp:lastModifiedBy>
  <cp:revision>1</cp:revision>
  <dcterms:created xsi:type="dcterms:W3CDTF">2020-04-14T09:13:00Z</dcterms:created>
  <dcterms:modified xsi:type="dcterms:W3CDTF">2020-04-14T09:14:00Z</dcterms:modified>
</cp:coreProperties>
</file>